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31" w:rsidRPr="00682B31" w:rsidRDefault="00682B31" w:rsidP="00682B31">
      <w:pPr>
        <w:tabs>
          <w:tab w:val="left" w:pos="-1057"/>
          <w:tab w:val="left" w:pos="-720"/>
        </w:tabs>
        <w:ind w:left="-90"/>
        <w:rPr>
          <w:rFonts w:ascii="Arial" w:hAnsi="Arial" w:cs="Arial"/>
          <w:spacing w:val="-8"/>
          <w:sz w:val="12"/>
          <w:szCs w:val="12"/>
          <w:lang w:val="en-GB"/>
        </w:rPr>
      </w:pPr>
    </w:p>
    <w:p w:rsidR="00260772" w:rsidRPr="00260772" w:rsidRDefault="00260772" w:rsidP="003A0D8F">
      <w:pPr>
        <w:tabs>
          <w:tab w:val="left" w:pos="-1057"/>
          <w:tab w:val="left" w:pos="-720"/>
        </w:tabs>
        <w:rPr>
          <w:rFonts w:ascii="Arial" w:hAnsi="Arial" w:cs="Arial"/>
          <w:sz w:val="22"/>
          <w:szCs w:val="22"/>
          <w:lang w:val="fr-FR"/>
        </w:rPr>
      </w:pPr>
      <w:r w:rsidRPr="00260772">
        <w:rPr>
          <w:rFonts w:ascii="Arial" w:hAnsi="Arial" w:cs="Arial"/>
          <w:sz w:val="22"/>
          <w:szCs w:val="22"/>
          <w:lang w:val="fr-FR"/>
        </w:rPr>
        <w:t>12</w:t>
      </w:r>
      <w:r w:rsidRPr="00260772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260772">
        <w:rPr>
          <w:rFonts w:ascii="Arial" w:hAnsi="Arial" w:cs="Arial"/>
          <w:sz w:val="22"/>
          <w:szCs w:val="22"/>
          <w:lang w:val="fr-FR"/>
        </w:rPr>
        <w:t xml:space="preserve"> SESSION DE LA CONFÉRENCE DES PARTIES</w:t>
      </w:r>
    </w:p>
    <w:p w:rsidR="00260772" w:rsidRPr="001E7B2E" w:rsidRDefault="00260772" w:rsidP="003A0D8F">
      <w:pPr>
        <w:pStyle w:val="Heading2"/>
        <w:keepNext w:val="0"/>
        <w:spacing w:line="228" w:lineRule="auto"/>
        <w:rPr>
          <w:rFonts w:ascii="Arial" w:hAnsi="Arial" w:cs="Arial"/>
          <w:b w:val="0"/>
          <w:bCs w:val="0"/>
          <w:sz w:val="22"/>
          <w:szCs w:val="22"/>
          <w:lang w:val="pt-PT"/>
        </w:rPr>
      </w:pPr>
      <w:r w:rsidRPr="001E7B2E">
        <w:rPr>
          <w:rFonts w:ascii="Arial" w:hAnsi="Arial" w:cs="Arial"/>
          <w:b w:val="0"/>
          <w:sz w:val="22"/>
          <w:szCs w:val="22"/>
          <w:lang w:val="pt-PT"/>
        </w:rPr>
        <w:t>Manille, P</w:t>
      </w:r>
      <w:r w:rsidR="00436CD2">
        <w:rPr>
          <w:rFonts w:ascii="Arial" w:hAnsi="Arial" w:cs="Arial"/>
          <w:b w:val="0"/>
          <w:sz w:val="22"/>
          <w:szCs w:val="22"/>
          <w:lang w:val="pt-PT"/>
        </w:rPr>
        <w:t>hilippines, 23 - 28 octobre 2017</w:t>
      </w:r>
    </w:p>
    <w:p w:rsidR="00260772" w:rsidRPr="001E7B2E" w:rsidRDefault="00260772" w:rsidP="003A0D8F">
      <w:pPr>
        <w:spacing w:line="228" w:lineRule="auto"/>
        <w:rPr>
          <w:rFonts w:ascii="Arial" w:hAnsi="Arial" w:cs="Arial"/>
          <w:iCs/>
          <w:sz w:val="22"/>
          <w:szCs w:val="22"/>
          <w:lang w:val="pt-PT"/>
        </w:rPr>
      </w:pPr>
      <w:r w:rsidRPr="00E10DE8">
        <w:rPr>
          <w:rFonts w:ascii="Arial" w:hAnsi="Arial" w:cs="Arial"/>
          <w:iCs/>
          <w:sz w:val="22"/>
          <w:szCs w:val="22"/>
          <w:lang w:val="pt-PT"/>
        </w:rPr>
        <w:t xml:space="preserve">Point </w:t>
      </w:r>
      <w:r w:rsidR="00E10DE8" w:rsidRPr="00E10DE8">
        <w:rPr>
          <w:rFonts w:ascii="Arial" w:hAnsi="Arial" w:cs="Arial"/>
          <w:iCs/>
          <w:sz w:val="22"/>
          <w:szCs w:val="22"/>
          <w:lang w:val="pt-PT"/>
        </w:rPr>
        <w:t>21.</w:t>
      </w:r>
      <w:r w:rsidR="00E10DE8">
        <w:rPr>
          <w:rFonts w:ascii="Arial" w:hAnsi="Arial" w:cs="Arial"/>
          <w:iCs/>
          <w:sz w:val="22"/>
          <w:szCs w:val="22"/>
          <w:lang w:val="pt-PT"/>
        </w:rPr>
        <w:t>1</w:t>
      </w:r>
      <w:r w:rsidRPr="001E7B2E">
        <w:rPr>
          <w:rFonts w:ascii="Arial" w:hAnsi="Arial" w:cs="Arial"/>
          <w:iCs/>
          <w:sz w:val="22"/>
          <w:szCs w:val="22"/>
          <w:lang w:val="pt-PT"/>
        </w:rPr>
        <w:t xml:space="preserve"> de l’ordre du jour</w:t>
      </w:r>
    </w:p>
    <w:tbl>
      <w:tblPr>
        <w:tblpPr w:leftFromText="180" w:rightFromText="180" w:horzAnchor="margin" w:tblpY="-401"/>
        <w:tblW w:w="9648" w:type="dxa"/>
        <w:tblLayout w:type="fixed"/>
        <w:tblCellMar>
          <w:top w:w="198" w:type="dxa"/>
        </w:tblCellMar>
        <w:tblLook w:val="0000" w:firstRow="0" w:lastRow="0" w:firstColumn="0" w:lastColumn="0" w:noHBand="0" w:noVBand="0"/>
      </w:tblPr>
      <w:tblGrid>
        <w:gridCol w:w="1526"/>
        <w:gridCol w:w="4072"/>
        <w:gridCol w:w="4050"/>
      </w:tblGrid>
      <w:tr w:rsidR="0081600F" w:rsidRPr="00E10DE8" w:rsidTr="00972D36">
        <w:trPr>
          <w:trHeight w:val="3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81600F" w:rsidRPr="00E10DE8" w:rsidRDefault="00EB2285" w:rsidP="00EB2285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left" w:pos="1155"/>
                <w:tab w:val="right" w:pos="9072"/>
                <w:tab w:val="right" w:pos="9432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Pr="00260772">
              <w:rPr>
                <w:rFonts w:ascii="Arial" w:hAnsi="Arial" w:cs="Arial"/>
                <w:b/>
                <w:sz w:val="28"/>
                <w:szCs w:val="28"/>
                <w:lang w:val="fr-FR"/>
              </w:rPr>
              <w:tab/>
            </w:r>
            <w:r w:rsidR="00FA61AF" w:rsidRPr="00E10DE8">
              <w:rPr>
                <w:rFonts w:ascii="Arial" w:hAnsi="Arial" w:cs="Arial"/>
                <w:b/>
                <w:sz w:val="28"/>
                <w:szCs w:val="28"/>
                <w:lang w:val="fr-FR"/>
              </w:rPr>
              <w:t>CMS</w:t>
            </w:r>
          </w:p>
          <w:p w:rsidR="00FA61AF" w:rsidRPr="00E10DE8" w:rsidRDefault="00FA61AF" w:rsidP="00972D36">
            <w:pPr>
              <w:tabs>
                <w:tab w:val="left" w:pos="-1057"/>
                <w:tab w:val="left" w:pos="-720"/>
                <w:tab w:val="left" w:pos="0"/>
                <w:tab w:val="left" w:pos="141"/>
                <w:tab w:val="left" w:pos="720"/>
                <w:tab w:val="right" w:pos="9072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60772" w:rsidRPr="00682B31" w:rsidTr="00682B31">
        <w:trPr>
          <w:trHeight w:val="1328"/>
        </w:trPr>
        <w:tc>
          <w:tcPr>
            <w:tcW w:w="15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E10DE8" w:rsidRDefault="009A4CD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682B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2475" cy="771525"/>
                  <wp:effectExtent l="0" t="0" r="9525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533" t="-726" r="-2533" b="-7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772" w:rsidRPr="00E10DE8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4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E10DE8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12"/>
                <w:szCs w:val="12"/>
                <w:lang w:val="fr-FR"/>
              </w:rPr>
            </w:pP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CONVENTION SUR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Cs w:val="0"/>
                <w:sz w:val="28"/>
                <w:szCs w:val="28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LES ESPÈCES</w:t>
            </w:r>
          </w:p>
          <w:p w:rsidR="00260772" w:rsidRPr="00667726" w:rsidRDefault="00260772" w:rsidP="00260772">
            <w:pPr>
              <w:pStyle w:val="Heading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108"/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r w:rsidRPr="00667726">
              <w:rPr>
                <w:rFonts w:ascii="Arial" w:hAnsi="Arial" w:cs="Arial"/>
                <w:bCs w:val="0"/>
                <w:sz w:val="28"/>
                <w:szCs w:val="28"/>
                <w:lang w:val="fr-FR"/>
              </w:rPr>
              <w:t>MIGRATRICES</w:t>
            </w:r>
          </w:p>
        </w:tc>
        <w:tc>
          <w:tcPr>
            <w:tcW w:w="40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260772" w:rsidRPr="00667726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260772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Distribution: Générale</w:t>
            </w:r>
          </w:p>
          <w:p w:rsidR="00260772" w:rsidRPr="00260772" w:rsidRDefault="00260772" w:rsidP="00260772">
            <w:pPr>
              <w:tabs>
                <w:tab w:val="left" w:pos="-1057"/>
                <w:tab w:val="left" w:pos="-720"/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260772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0772">
              <w:rPr>
                <w:rFonts w:ascii="Arial" w:hAnsi="Arial" w:cs="Arial"/>
                <w:sz w:val="22"/>
                <w:szCs w:val="22"/>
                <w:lang w:val="fr-FR"/>
              </w:rPr>
              <w:t>UNEP/CMS/COP12/Doc.</w:t>
            </w:r>
            <w:r w:rsidR="00E10DE8" w:rsidRPr="00E35A2B">
              <w:rPr>
                <w:rFonts w:ascii="Arial" w:hAnsi="Arial" w:cs="Arial"/>
                <w:sz w:val="22"/>
                <w:szCs w:val="22"/>
                <w:lang w:val="fr-FR"/>
              </w:rPr>
              <w:t>21.1</w:t>
            </w:r>
          </w:p>
          <w:p w:rsidR="00260772" w:rsidRPr="00E10DE8" w:rsidRDefault="00E10DE8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 aout</w:t>
            </w:r>
            <w:r w:rsidR="00436CD2" w:rsidRPr="00E10DE8">
              <w:rPr>
                <w:rFonts w:ascii="Arial" w:hAnsi="Arial" w:cs="Arial"/>
                <w:sz w:val="22"/>
                <w:szCs w:val="22"/>
                <w:lang w:val="fr-FR"/>
              </w:rPr>
              <w:t xml:space="preserve"> 2017</w:t>
            </w:r>
          </w:p>
          <w:p w:rsidR="00260772" w:rsidRPr="00E10DE8" w:rsidRDefault="00260772" w:rsidP="00260772">
            <w:pPr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260772" w:rsidRPr="001E7B2E" w:rsidRDefault="00260772" w:rsidP="0026077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E7B2E">
              <w:rPr>
                <w:rFonts w:ascii="Arial" w:hAnsi="Arial" w:cs="Arial"/>
                <w:sz w:val="22"/>
                <w:szCs w:val="22"/>
                <w:lang w:val="fr-FR"/>
              </w:rPr>
              <w:t>Français</w:t>
            </w:r>
          </w:p>
          <w:p w:rsidR="00260772" w:rsidRPr="001E7B2E" w:rsidRDefault="00260772" w:rsidP="0026077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E10DE8">
              <w:rPr>
                <w:rFonts w:ascii="Arial" w:hAnsi="Arial" w:cs="Arial"/>
                <w:sz w:val="22"/>
                <w:szCs w:val="22"/>
                <w:lang w:val="fr-FR"/>
              </w:rPr>
              <w:t>Or</w:t>
            </w:r>
            <w:proofErr w:type="spellStart"/>
            <w:r w:rsidRPr="001E7B2E">
              <w:rPr>
                <w:rFonts w:ascii="Arial" w:hAnsi="Arial" w:cs="Arial"/>
                <w:sz w:val="22"/>
                <w:szCs w:val="22"/>
                <w:lang w:val="en-GB"/>
              </w:rPr>
              <w:t>iginal</w:t>
            </w:r>
            <w:proofErr w:type="spellEnd"/>
            <w:r w:rsidRPr="001E7B2E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proofErr w:type="gramEnd"/>
            <w:r w:rsidRPr="001E7B2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E7B2E">
              <w:rPr>
                <w:rFonts w:ascii="Arial" w:hAnsi="Arial" w:cs="Arial"/>
                <w:sz w:val="22"/>
                <w:szCs w:val="22"/>
                <w:lang w:val="en-GB"/>
              </w:rPr>
              <w:t>Anglais</w:t>
            </w:r>
            <w:proofErr w:type="spellEnd"/>
          </w:p>
          <w:p w:rsidR="00260772" w:rsidRPr="00682B31" w:rsidRDefault="00260772" w:rsidP="00260772">
            <w:pPr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:rsidR="00354A9C" w:rsidRDefault="00354A9C" w:rsidP="0092279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8876D2" w:rsidRPr="00682B31" w:rsidRDefault="008876D2" w:rsidP="00922791">
      <w:pPr>
        <w:tabs>
          <w:tab w:val="left" w:pos="7020"/>
        </w:tabs>
        <w:rPr>
          <w:rFonts w:ascii="Arial" w:hAnsi="Arial" w:cs="Arial"/>
          <w:sz w:val="22"/>
          <w:szCs w:val="22"/>
        </w:rPr>
      </w:pPr>
    </w:p>
    <w:p w:rsidR="008876D2" w:rsidRDefault="008876D2" w:rsidP="00E10DE8">
      <w:pPr>
        <w:jc w:val="center"/>
        <w:rPr>
          <w:rFonts w:ascii="Arial" w:hAnsi="Arial" w:cs="Arial"/>
          <w:sz w:val="22"/>
          <w:szCs w:val="22"/>
        </w:rPr>
      </w:pPr>
    </w:p>
    <w:p w:rsidR="00E10DE8" w:rsidRDefault="00E10DE8" w:rsidP="00E10DE8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  <w:r w:rsidRPr="00E10DE8">
        <w:rPr>
          <w:rFonts w:ascii="Arial" w:hAnsi="Arial" w:cs="Arial"/>
          <w:b/>
          <w:bCs/>
          <w:sz w:val="22"/>
          <w:szCs w:val="22"/>
          <w:lang w:val="fr-FR"/>
        </w:rPr>
        <w:t>EXAMEN DES DÉCISIONS</w:t>
      </w:r>
    </w:p>
    <w:p w:rsidR="00E10DE8" w:rsidRPr="00E10DE8" w:rsidRDefault="00E10DE8" w:rsidP="00E10DE8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E10DE8" w:rsidRPr="00E10DE8" w:rsidRDefault="00E10DE8" w:rsidP="00E10DE8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 w:rsidRPr="00E10DE8">
        <w:rPr>
          <w:rFonts w:ascii="Arial" w:hAnsi="Arial" w:cs="Arial"/>
          <w:sz w:val="22"/>
          <w:szCs w:val="22"/>
          <w:lang w:val="fr-FR"/>
        </w:rPr>
        <w:t>RÉSOLUTIONS À ABROGER EN PARTIE</w:t>
      </w:r>
    </w:p>
    <w:p w:rsidR="00260772" w:rsidRPr="008876D2" w:rsidRDefault="00260772" w:rsidP="00260772">
      <w:pPr>
        <w:rPr>
          <w:sz w:val="12"/>
          <w:szCs w:val="12"/>
          <w:lang w:val="fr-FR"/>
        </w:rPr>
      </w:pPr>
    </w:p>
    <w:p w:rsidR="00260772" w:rsidRPr="00260772" w:rsidRDefault="00260772" w:rsidP="00260772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260772">
        <w:rPr>
          <w:rFonts w:ascii="Arial" w:hAnsi="Arial" w:cs="Arial"/>
          <w:i/>
          <w:sz w:val="22"/>
          <w:szCs w:val="22"/>
          <w:lang w:val="fr-FR"/>
        </w:rPr>
        <w:t>(</w:t>
      </w:r>
      <w:r w:rsidR="00E10DE8" w:rsidRPr="00E10DE8">
        <w:rPr>
          <w:rFonts w:ascii="Arial" w:hAnsi="Arial" w:cs="Arial"/>
          <w:i/>
          <w:sz w:val="22"/>
          <w:szCs w:val="22"/>
          <w:lang w:val="fr-FR"/>
        </w:rPr>
        <w:t>Préparé par le Secrétariat au nom du Comité permanen</w:t>
      </w:r>
      <w:r w:rsidR="00E10DE8">
        <w:rPr>
          <w:rFonts w:ascii="Arial" w:hAnsi="Arial" w:cs="Arial"/>
          <w:i/>
          <w:sz w:val="22"/>
          <w:szCs w:val="22"/>
          <w:lang w:val="fr-FR"/>
        </w:rPr>
        <w:t>t</w:t>
      </w:r>
      <w:r w:rsidRPr="00260772">
        <w:rPr>
          <w:rFonts w:ascii="Arial" w:hAnsi="Arial" w:cs="Arial"/>
          <w:i/>
          <w:sz w:val="22"/>
          <w:szCs w:val="22"/>
          <w:lang w:val="fr-FR"/>
        </w:rPr>
        <w:t>)</w:t>
      </w:r>
    </w:p>
    <w:p w:rsidR="001764E6" w:rsidRPr="00260772" w:rsidRDefault="001764E6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1764E6" w:rsidRPr="00260772" w:rsidRDefault="001764E6" w:rsidP="00D605A4">
      <w:pPr>
        <w:tabs>
          <w:tab w:val="left" w:pos="8295"/>
        </w:tabs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1764E6">
      <w:pPr>
        <w:jc w:val="both"/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8A40FD" w:rsidP="00D605A4">
      <w:pPr>
        <w:rPr>
          <w:rFonts w:ascii="Arial" w:hAnsi="Arial" w:cs="Arial"/>
          <w:sz w:val="21"/>
          <w:szCs w:val="21"/>
          <w:lang w:val="fr-FR"/>
        </w:rPr>
      </w:pPr>
      <w:r w:rsidRPr="00C169ED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153035</wp:posOffset>
                </wp:positionV>
                <wp:extent cx="4305300" cy="1076325"/>
                <wp:effectExtent l="0" t="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D4" w:rsidRPr="00E10DE8" w:rsidRDefault="00553795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gramStart"/>
                            <w:r w:rsidRPr="00E10D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Résumé</w:t>
                            </w:r>
                            <w:r w:rsidR="00E475D4" w:rsidRPr="00E10D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:</w:t>
                            </w:r>
                            <w:proofErr w:type="gramEnd"/>
                          </w:p>
                          <w:p w:rsidR="00E475D4" w:rsidRPr="00E10DE8" w:rsidRDefault="00E475D4" w:rsidP="00E475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:rsidR="00E8776E" w:rsidRPr="00E10DE8" w:rsidRDefault="00E10DE8" w:rsidP="00E10DE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E10D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Comme demandé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par la R</w:t>
                            </w:r>
                            <w:r w:rsidRPr="00E10D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ésolution 11.6, et conformément au UNEP/CMS/COP12/Doc.21, ce document explique le processus d'abrogation </w:t>
                            </w:r>
                            <w:r w:rsidR="008A40F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en partie des</w:t>
                            </w:r>
                            <w:r w:rsidRPr="00E10DE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 résolutions et recommandations.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45pt;margin-top:12.05pt;width:339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g7KgIAAFEEAAAOAAAAZHJzL2Uyb0RvYy54bWysVNtu2zAMfR+wfxD0vtjOpemMOEWXLsOA&#10;7gK0+wBZlm1hsqhJSuzs60vJbpb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" strokeweight=".25pt">
                <v:textbox>
                  <w:txbxContent>
                    <w:p w:rsidR="00E475D4" w:rsidRPr="00E10DE8" w:rsidRDefault="00553795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gramStart"/>
                      <w:r w:rsidRPr="00E10DE8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Résumé</w:t>
                      </w:r>
                      <w:r w:rsidR="00E475D4" w:rsidRPr="00E10DE8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:</w:t>
                      </w:r>
                      <w:proofErr w:type="gramEnd"/>
                    </w:p>
                    <w:p w:rsidR="00E475D4" w:rsidRPr="00E10DE8" w:rsidRDefault="00E475D4" w:rsidP="00E475D4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:rsidR="00E8776E" w:rsidRPr="00E10DE8" w:rsidRDefault="00E10DE8" w:rsidP="00E10DE8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E10DE8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Comme demandé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par la R</w:t>
                      </w:r>
                      <w:r w:rsidRPr="00E10DE8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ésolution 11.6, et conformément au UNEP/CMS/COP12/Doc.21, ce document explique le processus d'abrogation </w:t>
                      </w:r>
                      <w:r w:rsidR="008A40FD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en partie des</w:t>
                      </w:r>
                      <w:r w:rsidRPr="00E10DE8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 résolutions et recommandations.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1"/>
          <w:szCs w:val="21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260772" w:rsidRDefault="00D605A4" w:rsidP="00D605A4">
      <w:pPr>
        <w:rPr>
          <w:rFonts w:ascii="Arial" w:hAnsi="Arial" w:cs="Arial"/>
          <w:sz w:val="22"/>
          <w:szCs w:val="22"/>
          <w:lang w:val="fr-FR"/>
        </w:rPr>
      </w:pPr>
    </w:p>
    <w:p w:rsidR="00D605A4" w:rsidRPr="00260772" w:rsidRDefault="00D605A4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  <w:sectPr w:rsidR="00D605A4" w:rsidRPr="00260772" w:rsidSect="00520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5" w:h="16837" w:code="9"/>
          <w:pgMar w:top="1008" w:right="1411" w:bottom="1152" w:left="1411" w:header="432" w:footer="432" w:gutter="0"/>
          <w:cols w:space="720"/>
          <w:noEndnote/>
          <w:titlePg/>
          <w:docGrid w:linePitch="272"/>
        </w:sectPr>
      </w:pPr>
    </w:p>
    <w:p w:rsidR="008A40FD" w:rsidRPr="00E10DE8" w:rsidRDefault="008A40FD" w:rsidP="008A40FD">
      <w:pPr>
        <w:pStyle w:val="Heading2"/>
        <w:keepNext w:val="0"/>
        <w:ind w:left="-90" w:right="-367"/>
        <w:jc w:val="center"/>
        <w:rPr>
          <w:rFonts w:ascii="Arial" w:hAnsi="Arial" w:cs="Arial"/>
          <w:sz w:val="22"/>
          <w:szCs w:val="22"/>
          <w:lang w:val="fr-FR"/>
        </w:rPr>
      </w:pPr>
      <w:r w:rsidRPr="00E10DE8">
        <w:rPr>
          <w:rFonts w:ascii="Arial" w:hAnsi="Arial" w:cs="Arial"/>
          <w:sz w:val="22"/>
          <w:szCs w:val="22"/>
          <w:lang w:val="fr-FR"/>
        </w:rPr>
        <w:lastRenderedPageBreak/>
        <w:t xml:space="preserve">RÉSOLUTIONS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Pr="00E10DE8">
        <w:rPr>
          <w:rFonts w:ascii="Arial" w:hAnsi="Arial" w:cs="Arial"/>
          <w:sz w:val="22"/>
          <w:szCs w:val="22"/>
          <w:lang w:val="fr-FR"/>
        </w:rPr>
        <w:t xml:space="preserve"> ABROGER EN PARTIE</w:t>
      </w:r>
    </w:p>
    <w:p w:rsidR="0079075D" w:rsidRDefault="0079075D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</w:pPr>
    </w:p>
    <w:p w:rsidR="008A40FD" w:rsidRDefault="008A40FD" w:rsidP="00D605A4">
      <w:pPr>
        <w:tabs>
          <w:tab w:val="left" w:pos="1020"/>
        </w:tabs>
        <w:rPr>
          <w:rFonts w:ascii="Arial" w:hAnsi="Arial" w:cs="Arial"/>
          <w:sz w:val="22"/>
          <w:szCs w:val="22"/>
          <w:lang w:val="fr-FR"/>
        </w:rPr>
      </w:pPr>
    </w:p>
    <w:p w:rsidR="008A40FD" w:rsidRPr="008F4B37" w:rsidRDefault="008A40FD" w:rsidP="008A40FD">
      <w:pPr>
        <w:rPr>
          <w:rFonts w:ascii="Arial" w:hAnsi="Arial" w:cs="Arial"/>
          <w:sz w:val="22"/>
          <w:szCs w:val="22"/>
          <w:u w:val="single"/>
          <w:lang w:val="fr-FR"/>
        </w:rPr>
      </w:pPr>
      <w:r w:rsidRPr="008F4B37">
        <w:rPr>
          <w:rFonts w:ascii="Arial" w:hAnsi="Arial" w:cs="Arial"/>
          <w:sz w:val="22"/>
          <w:szCs w:val="22"/>
          <w:u w:val="single"/>
          <w:lang w:val="fr-FR"/>
        </w:rPr>
        <w:t>Contexte</w:t>
      </w:r>
    </w:p>
    <w:p w:rsidR="008A40FD" w:rsidRDefault="008A40FD" w:rsidP="008A40FD">
      <w:pPr>
        <w:rPr>
          <w:rFonts w:ascii="Arial" w:hAnsi="Arial" w:cs="Arial"/>
          <w:sz w:val="22"/>
          <w:szCs w:val="22"/>
          <w:u w:val="single"/>
        </w:rPr>
      </w:pPr>
    </w:p>
    <w:p w:rsidR="008A40FD" w:rsidRDefault="008A40FD" w:rsidP="008F4B37">
      <w:pPr>
        <w:pStyle w:val="ListParagraph"/>
        <w:numPr>
          <w:ilvl w:val="0"/>
          <w:numId w:val="42"/>
        </w:numPr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8A40FD">
        <w:rPr>
          <w:rFonts w:ascii="Arial" w:hAnsi="Arial" w:cs="Arial"/>
          <w:sz w:val="22"/>
          <w:szCs w:val="22"/>
          <w:lang w:val="fr-FR"/>
        </w:rPr>
        <w:t xml:space="preserve">La </w:t>
      </w:r>
      <w:r w:rsidR="008F4B37" w:rsidRPr="008A40FD">
        <w:rPr>
          <w:rFonts w:ascii="Arial" w:hAnsi="Arial" w:cs="Arial"/>
          <w:sz w:val="22"/>
          <w:szCs w:val="22"/>
          <w:lang w:val="fr-FR"/>
        </w:rPr>
        <w:t>Résolution</w:t>
      </w:r>
      <w:r w:rsidRPr="008A40FD">
        <w:rPr>
          <w:rFonts w:ascii="Arial" w:hAnsi="Arial" w:cs="Arial"/>
          <w:sz w:val="22"/>
          <w:szCs w:val="22"/>
          <w:lang w:val="fr-FR"/>
        </w:rPr>
        <w:t xml:space="preserve"> 11.6 a</w:t>
      </w:r>
      <w:r w:rsidR="00455732">
        <w:rPr>
          <w:rFonts w:ascii="Arial" w:hAnsi="Arial" w:cs="Arial"/>
          <w:sz w:val="22"/>
          <w:szCs w:val="22"/>
          <w:lang w:val="fr-FR"/>
        </w:rPr>
        <w:t xml:space="preserve"> chargé</w:t>
      </w:r>
      <w:r w:rsidRPr="008A40FD">
        <w:rPr>
          <w:rFonts w:ascii="Arial" w:hAnsi="Arial" w:cs="Arial"/>
          <w:sz w:val="22"/>
          <w:szCs w:val="22"/>
          <w:lang w:val="fr-FR"/>
        </w:rPr>
        <w:t xml:space="preserve"> le Secretaria</w:t>
      </w:r>
      <w:r>
        <w:rPr>
          <w:rFonts w:ascii="Arial" w:hAnsi="Arial" w:cs="Arial"/>
          <w:sz w:val="22"/>
          <w:szCs w:val="22"/>
          <w:lang w:val="fr-FR"/>
        </w:rPr>
        <w:t xml:space="preserve">t de </w:t>
      </w:r>
      <w:r w:rsidR="008F4B37">
        <w:rPr>
          <w:rFonts w:ascii="Arial" w:hAnsi="Arial" w:cs="Arial"/>
          <w:sz w:val="22"/>
          <w:szCs w:val="22"/>
          <w:lang w:val="fr-FR"/>
        </w:rPr>
        <w:t>préparer</w:t>
      </w:r>
      <w:r>
        <w:rPr>
          <w:rFonts w:ascii="Arial" w:hAnsi="Arial" w:cs="Arial"/>
          <w:sz w:val="22"/>
          <w:szCs w:val="22"/>
          <w:lang w:val="fr-FR"/>
        </w:rPr>
        <w:t xml:space="preserve"> une liste de </w:t>
      </w:r>
      <w:r w:rsidR="008F4B37">
        <w:rPr>
          <w:rFonts w:ascii="Arial" w:hAnsi="Arial" w:cs="Arial"/>
          <w:sz w:val="22"/>
          <w:szCs w:val="22"/>
          <w:lang w:val="fr-FR"/>
        </w:rPr>
        <w:t>Résolutions</w:t>
      </w:r>
      <w:r>
        <w:rPr>
          <w:rFonts w:ascii="Arial" w:hAnsi="Arial" w:cs="Arial"/>
          <w:sz w:val="22"/>
          <w:szCs w:val="22"/>
          <w:lang w:val="fr-FR"/>
        </w:rPr>
        <w:t xml:space="preserve"> et </w:t>
      </w:r>
      <w:r w:rsidR="008F4B37">
        <w:rPr>
          <w:rFonts w:ascii="Arial" w:hAnsi="Arial" w:cs="Arial"/>
          <w:sz w:val="22"/>
          <w:szCs w:val="22"/>
          <w:lang w:val="fr-FR"/>
        </w:rPr>
        <w:t>Recommandations</w:t>
      </w:r>
      <w:r>
        <w:rPr>
          <w:rFonts w:ascii="Arial" w:hAnsi="Arial" w:cs="Arial"/>
          <w:sz w:val="22"/>
          <w:szCs w:val="22"/>
          <w:lang w:val="fr-FR"/>
        </w:rPr>
        <w:t xml:space="preserve"> qui devraient </w:t>
      </w:r>
      <w:r w:rsidR="008F4B37">
        <w:rPr>
          <w:rFonts w:ascii="Arial" w:hAnsi="Arial" w:cs="Arial"/>
          <w:sz w:val="22"/>
          <w:szCs w:val="22"/>
          <w:lang w:val="fr-FR"/>
        </w:rPr>
        <w:t>être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8F4B37">
        <w:rPr>
          <w:rFonts w:ascii="Arial" w:hAnsi="Arial" w:cs="Arial"/>
          <w:sz w:val="22"/>
          <w:szCs w:val="22"/>
          <w:lang w:val="fr-FR"/>
        </w:rPr>
        <w:t>complètement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8F4B37">
        <w:rPr>
          <w:rFonts w:ascii="Arial" w:hAnsi="Arial" w:cs="Arial"/>
          <w:sz w:val="22"/>
          <w:szCs w:val="22"/>
          <w:lang w:val="fr-FR"/>
        </w:rPr>
        <w:t>abrogées</w:t>
      </w:r>
      <w:r>
        <w:rPr>
          <w:rFonts w:ascii="Arial" w:hAnsi="Arial" w:cs="Arial"/>
          <w:sz w:val="22"/>
          <w:szCs w:val="22"/>
          <w:lang w:val="fr-FR"/>
        </w:rPr>
        <w:t xml:space="preserve"> ou </w:t>
      </w:r>
      <w:r w:rsidR="008F4B37">
        <w:rPr>
          <w:rFonts w:ascii="Arial" w:hAnsi="Arial" w:cs="Arial"/>
          <w:sz w:val="22"/>
          <w:szCs w:val="22"/>
          <w:lang w:val="fr-FR"/>
        </w:rPr>
        <w:t>abrogées</w:t>
      </w:r>
      <w:r>
        <w:rPr>
          <w:rFonts w:ascii="Arial" w:hAnsi="Arial" w:cs="Arial"/>
          <w:sz w:val="22"/>
          <w:szCs w:val="22"/>
          <w:lang w:val="fr-FR"/>
        </w:rPr>
        <w:t xml:space="preserve"> en partie</w:t>
      </w:r>
      <w:r w:rsidR="008F4B37">
        <w:rPr>
          <w:rFonts w:ascii="Arial" w:hAnsi="Arial" w:cs="Arial"/>
          <w:sz w:val="22"/>
          <w:szCs w:val="22"/>
          <w:lang w:val="fr-FR"/>
        </w:rPr>
        <w:t xml:space="preserve"> et </w:t>
      </w:r>
      <w:r w:rsidR="00EB3B2A">
        <w:rPr>
          <w:rFonts w:ascii="Arial" w:hAnsi="Arial" w:cs="Arial"/>
          <w:sz w:val="22"/>
          <w:szCs w:val="22"/>
          <w:lang w:val="fr-FR"/>
        </w:rPr>
        <w:t xml:space="preserve">de </w:t>
      </w:r>
      <w:r w:rsidR="00455732">
        <w:rPr>
          <w:rFonts w:ascii="Arial" w:hAnsi="Arial" w:cs="Arial"/>
          <w:sz w:val="22"/>
          <w:szCs w:val="22"/>
          <w:lang w:val="fr-FR"/>
        </w:rPr>
        <w:t>présent</w:t>
      </w:r>
      <w:r w:rsidR="00EB3B2A">
        <w:rPr>
          <w:rFonts w:ascii="Arial" w:hAnsi="Arial" w:cs="Arial"/>
          <w:sz w:val="22"/>
          <w:szCs w:val="22"/>
          <w:lang w:val="fr-FR"/>
        </w:rPr>
        <w:t>er</w:t>
      </w:r>
      <w:r w:rsidR="008F4B37">
        <w:rPr>
          <w:rFonts w:ascii="Arial" w:hAnsi="Arial" w:cs="Arial"/>
          <w:sz w:val="22"/>
          <w:szCs w:val="22"/>
          <w:lang w:val="fr-FR"/>
        </w:rPr>
        <w:t xml:space="preserve"> un rapport au 45</w:t>
      </w:r>
      <w:r w:rsidR="008F4B37" w:rsidRPr="008F4B37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 w:rsidR="008F4B37">
        <w:rPr>
          <w:rFonts w:ascii="Arial" w:hAnsi="Arial" w:cs="Arial"/>
          <w:sz w:val="22"/>
          <w:szCs w:val="22"/>
          <w:lang w:val="fr-FR"/>
        </w:rPr>
        <w:t xml:space="preserve"> Comité Permanent pour considération. Voir </w:t>
      </w:r>
      <w:r w:rsidR="008F4B37" w:rsidRPr="008F4B37">
        <w:rPr>
          <w:rFonts w:ascii="Arial" w:hAnsi="Arial" w:cs="Arial"/>
          <w:sz w:val="22"/>
          <w:szCs w:val="22"/>
          <w:lang w:val="fr-FR"/>
        </w:rPr>
        <w:t>UNEP/CMS/StC45/Doc.19/Rev.1.</w:t>
      </w:r>
    </w:p>
    <w:p w:rsidR="008F4B37" w:rsidRPr="008F4B37" w:rsidRDefault="008F4B37" w:rsidP="008F4B37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8F4B37" w:rsidRDefault="008F4B37" w:rsidP="008F4B37">
      <w:pPr>
        <w:pStyle w:val="ListParagraph"/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</w:t>
      </w:r>
      <w:r w:rsidR="00455732">
        <w:rPr>
          <w:rFonts w:ascii="Arial" w:hAnsi="Arial" w:cs="Arial"/>
          <w:sz w:val="22"/>
          <w:szCs w:val="22"/>
          <w:lang w:val="fr-FR"/>
        </w:rPr>
        <w:t>e Comit</w:t>
      </w:r>
      <w:r w:rsidR="00455732" w:rsidRPr="008A40FD">
        <w:rPr>
          <w:rFonts w:ascii="Arial" w:hAnsi="Arial" w:cs="Arial"/>
          <w:sz w:val="22"/>
          <w:szCs w:val="22"/>
          <w:lang w:val="fr-FR"/>
        </w:rPr>
        <w:t>é</w:t>
      </w:r>
      <w:r>
        <w:rPr>
          <w:rFonts w:ascii="Arial" w:hAnsi="Arial" w:cs="Arial"/>
          <w:sz w:val="22"/>
          <w:szCs w:val="22"/>
          <w:lang w:val="fr-FR"/>
        </w:rPr>
        <w:t xml:space="preserve"> Permanent, à sa 45</w:t>
      </w:r>
      <w:r w:rsidRPr="008F4B37">
        <w:rPr>
          <w:rFonts w:ascii="Arial" w:hAnsi="Arial" w:cs="Arial"/>
          <w:sz w:val="22"/>
          <w:szCs w:val="22"/>
          <w:vertAlign w:val="superscript"/>
          <w:lang w:val="fr-FR"/>
        </w:rPr>
        <w:t>e</w:t>
      </w:r>
      <w:r>
        <w:rPr>
          <w:rFonts w:ascii="Arial" w:hAnsi="Arial" w:cs="Arial"/>
          <w:sz w:val="22"/>
          <w:szCs w:val="22"/>
          <w:lang w:val="fr-FR"/>
        </w:rPr>
        <w:t xml:space="preserve"> réunion, </w:t>
      </w:r>
      <w:r w:rsidRPr="008F4B37">
        <w:rPr>
          <w:rFonts w:ascii="Arial" w:hAnsi="Arial" w:cs="Arial"/>
          <w:sz w:val="22"/>
          <w:szCs w:val="22"/>
          <w:lang w:val="fr-FR"/>
        </w:rPr>
        <w:t>a approuvé les recommandations du Secrétariat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8F4B37">
        <w:rPr>
          <w:rFonts w:ascii="Arial" w:hAnsi="Arial" w:cs="Arial"/>
          <w:sz w:val="22"/>
          <w:szCs w:val="22"/>
          <w:lang w:val="fr-FR"/>
        </w:rPr>
        <w:t xml:space="preserve">visant à abroger certaines dispositions des Résolutions et Recommandations </w:t>
      </w:r>
      <w:r>
        <w:rPr>
          <w:rFonts w:ascii="Arial" w:hAnsi="Arial" w:cs="Arial"/>
          <w:sz w:val="22"/>
          <w:szCs w:val="22"/>
          <w:lang w:val="fr-FR"/>
        </w:rPr>
        <w:t>particulières</w:t>
      </w:r>
      <w:r w:rsidRPr="008F4B37">
        <w:rPr>
          <w:rFonts w:ascii="Arial" w:hAnsi="Arial" w:cs="Arial"/>
          <w:sz w:val="22"/>
          <w:szCs w:val="22"/>
          <w:lang w:val="fr-FR"/>
        </w:rPr>
        <w:t>.</w:t>
      </w:r>
    </w:p>
    <w:p w:rsidR="008F4B37" w:rsidRPr="008F4B37" w:rsidRDefault="008F4B37" w:rsidP="008F4B37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8F4B37" w:rsidRDefault="008F4B37" w:rsidP="008F4B37">
      <w:pPr>
        <w:pStyle w:val="ListParagraph"/>
        <w:numPr>
          <w:ilvl w:val="0"/>
          <w:numId w:val="42"/>
        </w:num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fr-FR"/>
        </w:rPr>
      </w:pPr>
      <w:r w:rsidRPr="008F4B37">
        <w:rPr>
          <w:rFonts w:ascii="Arial" w:hAnsi="Arial" w:cs="Arial"/>
          <w:sz w:val="22"/>
          <w:szCs w:val="22"/>
          <w:lang w:val="fr-FR"/>
        </w:rPr>
        <w:t xml:space="preserve">Lors de la préparation des projets de Résolutions et Recommandations </w:t>
      </w:r>
      <w:r>
        <w:rPr>
          <w:rFonts w:ascii="Arial" w:hAnsi="Arial" w:cs="Arial"/>
          <w:sz w:val="22"/>
          <w:szCs w:val="22"/>
          <w:lang w:val="fr-FR"/>
        </w:rPr>
        <w:t>à</w:t>
      </w:r>
      <w:r w:rsidRPr="008F4B37">
        <w:rPr>
          <w:rFonts w:ascii="Arial" w:hAnsi="Arial" w:cs="Arial"/>
          <w:sz w:val="22"/>
          <w:szCs w:val="22"/>
          <w:lang w:val="fr-FR"/>
        </w:rPr>
        <w:t xml:space="preserve"> abroger en partie, le Secrétariat a utilisé les informations et les conseils fournis dans UNEP/CMS/StC45/Doc.19/Rev.1 pour identifier les paragraphes périmés, </w:t>
      </w:r>
      <w:r>
        <w:rPr>
          <w:rFonts w:ascii="Arial" w:hAnsi="Arial" w:cs="Arial"/>
          <w:sz w:val="22"/>
          <w:szCs w:val="22"/>
          <w:lang w:val="fr-FR"/>
        </w:rPr>
        <w:t>superflus</w:t>
      </w:r>
      <w:r w:rsidRPr="008F4B37">
        <w:rPr>
          <w:rFonts w:ascii="Arial" w:hAnsi="Arial" w:cs="Arial"/>
          <w:sz w:val="22"/>
          <w:szCs w:val="22"/>
          <w:lang w:val="fr-FR"/>
        </w:rPr>
        <w:t xml:space="preserve"> ou remplacés. Le document </w:t>
      </w:r>
      <w:r w:rsidRPr="00CC5C60">
        <w:rPr>
          <w:rFonts w:ascii="Arial" w:hAnsi="Arial" w:cs="Arial"/>
          <w:sz w:val="22"/>
          <w:szCs w:val="22"/>
          <w:lang w:val="fr-FR"/>
        </w:rPr>
        <w:t>UNEP/CMS/StC45/Doc.19/Rev.1</w:t>
      </w:r>
      <w:r w:rsidRPr="008F4B37">
        <w:rPr>
          <w:rFonts w:ascii="Arial" w:hAnsi="Arial" w:cs="Arial"/>
          <w:sz w:val="22"/>
          <w:szCs w:val="22"/>
          <w:lang w:val="fr-FR"/>
        </w:rPr>
        <w:t xml:space="preserve"> est présenté aux Parties sous </w:t>
      </w:r>
      <w:r w:rsidR="00CC5C60" w:rsidRPr="00CC5C60">
        <w:rPr>
          <w:rFonts w:ascii="Arial" w:hAnsi="Arial" w:cs="Arial"/>
          <w:sz w:val="22"/>
          <w:szCs w:val="22"/>
          <w:lang w:val="fr-FR"/>
        </w:rPr>
        <w:t>UNEP/CMS/COP12/Doc.21</w:t>
      </w:r>
      <w:r w:rsidR="00CC5C60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852561" w:rsidRPr="00852561" w:rsidRDefault="00852561" w:rsidP="0085256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852561" w:rsidRDefault="00852561" w:rsidP="00852561">
      <w:pPr>
        <w:pStyle w:val="ListParagraph"/>
        <w:numPr>
          <w:ilvl w:val="0"/>
          <w:numId w:val="42"/>
        </w:numPr>
        <w:tabs>
          <w:tab w:val="left" w:pos="360"/>
        </w:tabs>
        <w:ind w:left="270"/>
        <w:jc w:val="both"/>
        <w:rPr>
          <w:rFonts w:ascii="Arial" w:hAnsi="Arial" w:cs="Arial"/>
          <w:sz w:val="22"/>
          <w:szCs w:val="22"/>
          <w:lang w:val="fr-FR"/>
        </w:rPr>
      </w:pPr>
      <w:r w:rsidRPr="00852561">
        <w:rPr>
          <w:rFonts w:ascii="Arial" w:hAnsi="Arial" w:cs="Arial"/>
          <w:sz w:val="22"/>
          <w:szCs w:val="22"/>
          <w:lang w:val="fr-FR"/>
        </w:rPr>
        <w:t>Le proces</w:t>
      </w:r>
      <w:r>
        <w:rPr>
          <w:rFonts w:ascii="Arial" w:hAnsi="Arial" w:cs="Arial"/>
          <w:sz w:val="22"/>
          <w:szCs w:val="22"/>
          <w:lang w:val="fr-FR"/>
        </w:rPr>
        <w:t>sus d'abrogation en partie des Résolutions et des R</w:t>
      </w:r>
      <w:r w:rsidRPr="00852561">
        <w:rPr>
          <w:rFonts w:ascii="Arial" w:hAnsi="Arial" w:cs="Arial"/>
          <w:sz w:val="22"/>
          <w:szCs w:val="22"/>
          <w:lang w:val="fr-FR"/>
        </w:rPr>
        <w:t xml:space="preserve">ecommandations comprenait un examen de toutes les dispositions contenues dans le préambule et les textes opérationnels. Le Secrétariat a mis en place une approche prudente lorsqu'il décide d'abroger des dispositions redondantes ou très similaires. Par exemple, la décision a été prise de conserver un matériel </w:t>
      </w:r>
      <w:r>
        <w:rPr>
          <w:rFonts w:ascii="Arial" w:hAnsi="Arial" w:cs="Arial"/>
          <w:sz w:val="22"/>
          <w:szCs w:val="22"/>
          <w:lang w:val="fr-FR"/>
        </w:rPr>
        <w:t>possiblement</w:t>
      </w:r>
      <w:r w:rsidRPr="00852561">
        <w:rPr>
          <w:rFonts w:ascii="Arial" w:hAnsi="Arial" w:cs="Arial"/>
          <w:sz w:val="22"/>
          <w:szCs w:val="22"/>
          <w:lang w:val="fr-FR"/>
        </w:rPr>
        <w:t xml:space="preserve"> redondant si les informations présentées dans la disposition incluaient une légère variation des informations indiquées précédemment.</w:t>
      </w:r>
    </w:p>
    <w:p w:rsidR="00852561" w:rsidRPr="00852561" w:rsidRDefault="00852561" w:rsidP="0085256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852561" w:rsidRDefault="00852561" w:rsidP="00852561">
      <w:pPr>
        <w:pStyle w:val="ListParagraph"/>
        <w:numPr>
          <w:ilvl w:val="0"/>
          <w:numId w:val="42"/>
        </w:numPr>
        <w:tabs>
          <w:tab w:val="left" w:pos="360"/>
        </w:tabs>
        <w:ind w:left="270"/>
        <w:jc w:val="both"/>
        <w:rPr>
          <w:rFonts w:ascii="Arial" w:hAnsi="Arial" w:cs="Arial"/>
          <w:sz w:val="22"/>
          <w:szCs w:val="22"/>
          <w:lang w:val="fr-FR"/>
        </w:rPr>
      </w:pPr>
      <w:r w:rsidRPr="00852561">
        <w:rPr>
          <w:rFonts w:ascii="Arial" w:hAnsi="Arial" w:cs="Arial"/>
          <w:sz w:val="22"/>
          <w:szCs w:val="22"/>
          <w:lang w:val="fr-FR"/>
        </w:rPr>
        <w:t xml:space="preserve">Étant donné </w:t>
      </w:r>
      <w:r>
        <w:rPr>
          <w:rFonts w:ascii="Arial" w:hAnsi="Arial" w:cs="Arial"/>
          <w:sz w:val="22"/>
          <w:szCs w:val="22"/>
          <w:lang w:val="fr-FR"/>
        </w:rPr>
        <w:t>que ce projet nécessitait une revue</w:t>
      </w:r>
      <w:r w:rsidRPr="00852561">
        <w:rPr>
          <w:rFonts w:ascii="Arial" w:hAnsi="Arial" w:cs="Arial"/>
          <w:sz w:val="22"/>
          <w:szCs w:val="22"/>
          <w:lang w:val="fr-FR"/>
        </w:rPr>
        <w:t xml:space="preserve"> des </w:t>
      </w:r>
      <w:r>
        <w:rPr>
          <w:rFonts w:ascii="Arial" w:hAnsi="Arial" w:cs="Arial"/>
          <w:sz w:val="22"/>
          <w:szCs w:val="22"/>
          <w:lang w:val="fr-FR"/>
        </w:rPr>
        <w:t>Résolutions et des R</w:t>
      </w:r>
      <w:r w:rsidRPr="00852561">
        <w:rPr>
          <w:rFonts w:ascii="Arial" w:hAnsi="Arial" w:cs="Arial"/>
          <w:sz w:val="22"/>
          <w:szCs w:val="22"/>
          <w:lang w:val="fr-FR"/>
        </w:rPr>
        <w:t>ecommandations reflétant les préoccupations précédemment exprimées par les Parties, le Secrétariat n'a inclus aucun nouveau texte sauf dans les circonstances suivantes :</w:t>
      </w:r>
    </w:p>
    <w:p w:rsidR="00852561" w:rsidRPr="00852561" w:rsidRDefault="00852561" w:rsidP="0085256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852561" w:rsidRDefault="00852561" w:rsidP="00852561">
      <w:pPr>
        <w:pStyle w:val="ListParagraph"/>
        <w:numPr>
          <w:ilvl w:val="1"/>
          <w:numId w:val="4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 clarifier la grammaire ;</w:t>
      </w:r>
    </w:p>
    <w:p w:rsidR="00852561" w:rsidRDefault="00852561" w:rsidP="00852561">
      <w:pPr>
        <w:pStyle w:val="ListParagraph"/>
        <w:numPr>
          <w:ilvl w:val="1"/>
          <w:numId w:val="4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 fournir une orthographe uniforme ;</w:t>
      </w:r>
    </w:p>
    <w:p w:rsidR="00852561" w:rsidRDefault="00852561" w:rsidP="00852561">
      <w:pPr>
        <w:pStyle w:val="ListParagraph"/>
        <w:numPr>
          <w:ilvl w:val="1"/>
          <w:numId w:val="42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Pour m</w:t>
      </w:r>
      <w:r w:rsidRPr="00852561">
        <w:rPr>
          <w:rFonts w:ascii="Arial" w:hAnsi="Arial" w:cs="Arial"/>
          <w:sz w:val="22"/>
          <w:szCs w:val="22"/>
          <w:lang w:val="fr-FR"/>
        </w:rPr>
        <w:t>ettre à jour les documents ou les informations référencés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852561" w:rsidRDefault="00852561" w:rsidP="00852561">
      <w:pPr>
        <w:pStyle w:val="ListParagraph"/>
        <w:tabs>
          <w:tab w:val="left" w:pos="360"/>
        </w:tabs>
        <w:ind w:left="1440"/>
        <w:jc w:val="both"/>
        <w:rPr>
          <w:rFonts w:ascii="Arial" w:hAnsi="Arial" w:cs="Arial"/>
          <w:sz w:val="22"/>
          <w:szCs w:val="22"/>
          <w:lang w:val="fr-FR"/>
        </w:rPr>
      </w:pPr>
    </w:p>
    <w:p w:rsidR="00852561" w:rsidRDefault="00455732" w:rsidP="00852561">
      <w:pPr>
        <w:pStyle w:val="ListParagraph"/>
        <w:numPr>
          <w:ilvl w:val="0"/>
          <w:numId w:val="42"/>
        </w:numPr>
        <w:tabs>
          <w:tab w:val="left" w:pos="360"/>
        </w:tabs>
        <w:ind w:left="27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Chaque</w:t>
      </w:r>
      <w:r w:rsidR="00852561">
        <w:rPr>
          <w:rFonts w:ascii="Arial" w:hAnsi="Arial" w:cs="Arial"/>
          <w:sz w:val="22"/>
          <w:szCs w:val="22"/>
          <w:lang w:val="fr-FR"/>
        </w:rPr>
        <w:t xml:space="preserve"> Résolution et Recommandation à abroger en partie </w:t>
      </w:r>
      <w:r>
        <w:rPr>
          <w:rFonts w:ascii="Arial" w:hAnsi="Arial" w:cs="Arial"/>
          <w:sz w:val="22"/>
          <w:szCs w:val="22"/>
          <w:lang w:val="fr-FR"/>
        </w:rPr>
        <w:t>sont</w:t>
      </w:r>
      <w:r w:rsidR="00852561">
        <w:rPr>
          <w:rFonts w:ascii="Arial" w:hAnsi="Arial" w:cs="Arial"/>
          <w:sz w:val="22"/>
          <w:szCs w:val="22"/>
          <w:lang w:val="fr-FR"/>
        </w:rPr>
        <w:t xml:space="preserve"> présentée</w:t>
      </w:r>
      <w:r>
        <w:rPr>
          <w:rFonts w:ascii="Arial" w:hAnsi="Arial" w:cs="Arial"/>
          <w:sz w:val="22"/>
          <w:szCs w:val="22"/>
          <w:lang w:val="fr-FR"/>
        </w:rPr>
        <w:t>s</w:t>
      </w:r>
      <w:r w:rsidR="00852561">
        <w:rPr>
          <w:rFonts w:ascii="Arial" w:hAnsi="Arial" w:cs="Arial"/>
          <w:sz w:val="22"/>
          <w:szCs w:val="22"/>
          <w:lang w:val="fr-FR"/>
        </w:rPr>
        <w:t xml:space="preserve"> sous deux formes figurant </w:t>
      </w:r>
      <w:r w:rsidR="00CA527E">
        <w:rPr>
          <w:rFonts w:ascii="Arial" w:hAnsi="Arial" w:cs="Arial"/>
          <w:sz w:val="22"/>
          <w:szCs w:val="22"/>
          <w:lang w:val="fr-FR"/>
        </w:rPr>
        <w:t>dans</w:t>
      </w:r>
      <w:r w:rsidR="00852561">
        <w:rPr>
          <w:rFonts w:ascii="Arial" w:hAnsi="Arial" w:cs="Arial"/>
          <w:sz w:val="22"/>
          <w:szCs w:val="22"/>
          <w:lang w:val="fr-FR"/>
        </w:rPr>
        <w:t xml:space="preserve"> l’Annexe 1 et l’Annexe 2. </w:t>
      </w:r>
    </w:p>
    <w:p w:rsidR="00852561" w:rsidRDefault="00852561" w:rsidP="00852561">
      <w:pPr>
        <w:pStyle w:val="ListParagraph"/>
        <w:tabs>
          <w:tab w:val="left" w:pos="360"/>
        </w:tabs>
        <w:ind w:left="270"/>
        <w:jc w:val="both"/>
        <w:rPr>
          <w:rFonts w:ascii="Arial" w:hAnsi="Arial" w:cs="Arial"/>
          <w:sz w:val="22"/>
          <w:szCs w:val="22"/>
          <w:lang w:val="fr-FR"/>
        </w:rPr>
      </w:pPr>
    </w:p>
    <w:p w:rsidR="00852561" w:rsidRDefault="00852561" w:rsidP="00852561">
      <w:pPr>
        <w:pStyle w:val="ListParagraph"/>
        <w:numPr>
          <w:ilvl w:val="0"/>
          <w:numId w:val="42"/>
        </w:numPr>
        <w:tabs>
          <w:tab w:val="left" w:pos="360"/>
        </w:tabs>
        <w:ind w:left="27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L'A</w:t>
      </w:r>
      <w:r w:rsidRPr="00852561">
        <w:rPr>
          <w:rFonts w:ascii="Arial" w:hAnsi="Arial" w:cs="Arial"/>
          <w:sz w:val="22"/>
          <w:szCs w:val="22"/>
          <w:lang w:val="fr-FR"/>
        </w:rPr>
        <w:t xml:space="preserve">nnexe 1 présente un projet de </w:t>
      </w:r>
      <w:r>
        <w:rPr>
          <w:rFonts w:ascii="Arial" w:hAnsi="Arial" w:cs="Arial"/>
          <w:sz w:val="22"/>
          <w:szCs w:val="22"/>
          <w:lang w:val="fr-FR"/>
        </w:rPr>
        <w:t>R</w:t>
      </w:r>
      <w:r w:rsidRPr="00852561">
        <w:rPr>
          <w:rFonts w:ascii="Arial" w:hAnsi="Arial" w:cs="Arial"/>
          <w:sz w:val="22"/>
          <w:szCs w:val="22"/>
          <w:lang w:val="fr-FR"/>
        </w:rPr>
        <w:t xml:space="preserve">ésolution qui comprend, dans la colonne de gauche, le texte original et le préambule de la Résolution ou de la Recommandation </w:t>
      </w:r>
      <w:r>
        <w:rPr>
          <w:rFonts w:ascii="Arial" w:hAnsi="Arial" w:cs="Arial"/>
          <w:sz w:val="22"/>
          <w:szCs w:val="22"/>
          <w:lang w:val="fr-FR"/>
        </w:rPr>
        <w:t>soumise à l’examen</w:t>
      </w:r>
      <w:r w:rsidRPr="00852561">
        <w:rPr>
          <w:rFonts w:ascii="Arial" w:hAnsi="Arial" w:cs="Arial"/>
          <w:sz w:val="22"/>
          <w:szCs w:val="22"/>
          <w:lang w:val="fr-FR"/>
        </w:rPr>
        <w:t>. La colonne de droite comprend un commentaire concernant tout changement proposé.</w:t>
      </w:r>
    </w:p>
    <w:p w:rsidR="00852561" w:rsidRPr="00852561" w:rsidRDefault="00852561" w:rsidP="0085256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852561" w:rsidRDefault="00852561" w:rsidP="00852561">
      <w:pPr>
        <w:pStyle w:val="ListParagraph"/>
        <w:numPr>
          <w:ilvl w:val="0"/>
          <w:numId w:val="42"/>
        </w:numPr>
        <w:tabs>
          <w:tab w:val="left" w:pos="360"/>
        </w:tabs>
        <w:ind w:left="270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L'A</w:t>
      </w:r>
      <w:r w:rsidRPr="00852561">
        <w:rPr>
          <w:rFonts w:ascii="Arial" w:hAnsi="Arial" w:cs="Arial"/>
          <w:sz w:val="22"/>
          <w:szCs w:val="22"/>
          <w:lang w:val="fr-FR"/>
        </w:rPr>
        <w:t xml:space="preserve">nnexe 2 contient la version propre du projet de </w:t>
      </w:r>
      <w:r>
        <w:rPr>
          <w:rFonts w:ascii="Arial" w:hAnsi="Arial" w:cs="Arial"/>
          <w:sz w:val="22"/>
          <w:szCs w:val="22"/>
          <w:lang w:val="fr-FR"/>
        </w:rPr>
        <w:t>R</w:t>
      </w:r>
      <w:r w:rsidRPr="00852561">
        <w:rPr>
          <w:rFonts w:ascii="Arial" w:hAnsi="Arial" w:cs="Arial"/>
          <w:sz w:val="22"/>
          <w:szCs w:val="22"/>
          <w:lang w:val="fr-FR"/>
        </w:rPr>
        <w:t>ésolution révisée, en tenant co</w:t>
      </w:r>
      <w:r w:rsidR="00CA527E">
        <w:rPr>
          <w:rFonts w:ascii="Arial" w:hAnsi="Arial" w:cs="Arial"/>
          <w:sz w:val="22"/>
          <w:szCs w:val="22"/>
          <w:lang w:val="fr-FR"/>
        </w:rPr>
        <w:t>mpte des commentaires figurant dans</w:t>
      </w:r>
      <w:r w:rsidRPr="00852561">
        <w:rPr>
          <w:rFonts w:ascii="Arial" w:hAnsi="Arial" w:cs="Arial"/>
          <w:sz w:val="22"/>
          <w:szCs w:val="22"/>
          <w:lang w:val="fr-FR"/>
        </w:rPr>
        <w:t xml:space="preserve"> l'</w:t>
      </w:r>
      <w:r>
        <w:rPr>
          <w:rFonts w:ascii="Arial" w:hAnsi="Arial" w:cs="Arial"/>
          <w:sz w:val="22"/>
          <w:szCs w:val="22"/>
          <w:lang w:val="fr-FR"/>
        </w:rPr>
        <w:t>A</w:t>
      </w:r>
      <w:r w:rsidRPr="00852561">
        <w:rPr>
          <w:rFonts w:ascii="Arial" w:hAnsi="Arial" w:cs="Arial"/>
          <w:sz w:val="22"/>
          <w:szCs w:val="22"/>
          <w:lang w:val="fr-FR"/>
        </w:rPr>
        <w:t>nnexe 1.</w:t>
      </w:r>
    </w:p>
    <w:p w:rsidR="00852561" w:rsidRPr="00852561" w:rsidRDefault="00852561" w:rsidP="0085256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852561" w:rsidRDefault="00852561" w:rsidP="00852561">
      <w:pPr>
        <w:pStyle w:val="ListParagraph"/>
        <w:numPr>
          <w:ilvl w:val="0"/>
          <w:numId w:val="42"/>
        </w:numPr>
        <w:tabs>
          <w:tab w:val="left" w:pos="360"/>
        </w:tabs>
        <w:ind w:left="270"/>
        <w:jc w:val="both"/>
        <w:rPr>
          <w:rFonts w:ascii="Arial" w:hAnsi="Arial" w:cs="Arial"/>
          <w:sz w:val="22"/>
          <w:szCs w:val="22"/>
          <w:lang w:val="fr-FR"/>
        </w:rPr>
      </w:pPr>
      <w:r w:rsidRPr="00852561">
        <w:rPr>
          <w:rFonts w:ascii="Arial" w:hAnsi="Arial" w:cs="Arial"/>
          <w:sz w:val="22"/>
          <w:szCs w:val="22"/>
          <w:lang w:val="fr-FR"/>
        </w:rPr>
        <w:t xml:space="preserve">Dans certains cas, les tâches à accomplir par un </w:t>
      </w:r>
      <w:r w:rsidR="00CA527E">
        <w:rPr>
          <w:rFonts w:ascii="Arial" w:hAnsi="Arial" w:cs="Arial"/>
          <w:sz w:val="22"/>
          <w:szCs w:val="22"/>
          <w:lang w:val="fr-FR"/>
        </w:rPr>
        <w:t>organe</w:t>
      </w:r>
      <w:r w:rsidRPr="00852561">
        <w:rPr>
          <w:rFonts w:ascii="Arial" w:hAnsi="Arial" w:cs="Arial"/>
          <w:sz w:val="22"/>
          <w:szCs w:val="22"/>
          <w:lang w:val="fr-FR"/>
        </w:rPr>
        <w:t xml:space="preserve"> de la Convention n'ont pas été complétées. Dans ces </w:t>
      </w:r>
      <w:r w:rsidR="00CA527E">
        <w:rPr>
          <w:rFonts w:ascii="Arial" w:hAnsi="Arial" w:cs="Arial"/>
          <w:sz w:val="22"/>
          <w:szCs w:val="22"/>
          <w:lang w:val="fr-FR"/>
        </w:rPr>
        <w:t>circonstances</w:t>
      </w:r>
      <w:r w:rsidRPr="00852561">
        <w:rPr>
          <w:rFonts w:ascii="Arial" w:hAnsi="Arial" w:cs="Arial"/>
          <w:sz w:val="22"/>
          <w:szCs w:val="22"/>
          <w:lang w:val="fr-FR"/>
        </w:rPr>
        <w:t>, le Secrét</w:t>
      </w:r>
      <w:r w:rsidR="00CA527E">
        <w:rPr>
          <w:rFonts w:ascii="Arial" w:hAnsi="Arial" w:cs="Arial"/>
          <w:sz w:val="22"/>
          <w:szCs w:val="22"/>
          <w:lang w:val="fr-FR"/>
        </w:rPr>
        <w:t>ariat a préparé des projets de D</w:t>
      </w:r>
      <w:r w:rsidRPr="00852561">
        <w:rPr>
          <w:rFonts w:ascii="Arial" w:hAnsi="Arial" w:cs="Arial"/>
          <w:sz w:val="22"/>
          <w:szCs w:val="22"/>
          <w:lang w:val="fr-FR"/>
        </w:rPr>
        <w:t>écision</w:t>
      </w:r>
      <w:r w:rsidR="00CA527E">
        <w:rPr>
          <w:rFonts w:ascii="Arial" w:hAnsi="Arial" w:cs="Arial"/>
          <w:sz w:val="22"/>
          <w:szCs w:val="22"/>
          <w:lang w:val="fr-FR"/>
        </w:rPr>
        <w:t>s. Ces projets de D</w:t>
      </w:r>
      <w:r w:rsidRPr="00852561">
        <w:rPr>
          <w:rFonts w:ascii="Arial" w:hAnsi="Arial" w:cs="Arial"/>
          <w:sz w:val="22"/>
          <w:szCs w:val="22"/>
          <w:lang w:val="fr-FR"/>
        </w:rPr>
        <w:t>écision</w:t>
      </w:r>
      <w:r w:rsidR="00CA527E">
        <w:rPr>
          <w:rFonts w:ascii="Arial" w:hAnsi="Arial" w:cs="Arial"/>
          <w:sz w:val="22"/>
          <w:szCs w:val="22"/>
          <w:lang w:val="fr-FR"/>
        </w:rPr>
        <w:t>s</w:t>
      </w:r>
      <w:r w:rsidRPr="00852561">
        <w:rPr>
          <w:rFonts w:ascii="Arial" w:hAnsi="Arial" w:cs="Arial"/>
          <w:sz w:val="22"/>
          <w:szCs w:val="22"/>
          <w:lang w:val="fr-FR"/>
        </w:rPr>
        <w:t xml:space="preserve"> sont inclus </w:t>
      </w:r>
      <w:r w:rsidR="00CA527E">
        <w:rPr>
          <w:rFonts w:ascii="Arial" w:hAnsi="Arial" w:cs="Arial"/>
          <w:sz w:val="22"/>
          <w:szCs w:val="22"/>
          <w:lang w:val="fr-FR"/>
        </w:rPr>
        <w:t>dans l'A</w:t>
      </w:r>
      <w:r w:rsidRPr="00852561">
        <w:rPr>
          <w:rFonts w:ascii="Arial" w:hAnsi="Arial" w:cs="Arial"/>
          <w:sz w:val="22"/>
          <w:szCs w:val="22"/>
          <w:lang w:val="fr-FR"/>
        </w:rPr>
        <w:t>nnexe 3 du document pertinent.</w:t>
      </w:r>
    </w:p>
    <w:p w:rsidR="00CA527E" w:rsidRPr="00CA527E" w:rsidRDefault="00CA527E" w:rsidP="00CA527E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CA527E" w:rsidRDefault="00CA527E" w:rsidP="00582771">
      <w:pPr>
        <w:pStyle w:val="ListParagraph"/>
        <w:numPr>
          <w:ilvl w:val="0"/>
          <w:numId w:val="42"/>
        </w:numPr>
        <w:tabs>
          <w:tab w:val="left" w:pos="360"/>
        </w:tabs>
        <w:ind w:left="270"/>
        <w:jc w:val="both"/>
        <w:rPr>
          <w:rFonts w:ascii="Arial" w:hAnsi="Arial" w:cs="Arial"/>
          <w:sz w:val="22"/>
          <w:szCs w:val="22"/>
          <w:lang w:val="fr-FR"/>
        </w:rPr>
      </w:pPr>
      <w:r w:rsidRPr="00CA527E">
        <w:rPr>
          <w:rFonts w:ascii="Arial" w:hAnsi="Arial" w:cs="Arial"/>
          <w:sz w:val="22"/>
          <w:szCs w:val="22"/>
          <w:lang w:val="fr-FR"/>
        </w:rPr>
        <w:t>Conformément à la Résolution 11.6, les documents précédemment étiquetés comme</w:t>
      </w:r>
      <w:proofErr w:type="gramStart"/>
      <w:r w:rsidRPr="00CA527E">
        <w:rPr>
          <w:rFonts w:ascii="Arial" w:hAnsi="Arial" w:cs="Arial"/>
          <w:sz w:val="22"/>
          <w:szCs w:val="22"/>
          <w:lang w:val="fr-FR"/>
        </w:rPr>
        <w:t xml:space="preserve"> «Recommandations</w:t>
      </w:r>
      <w:proofErr w:type="gramEnd"/>
      <w:r w:rsidRPr="00CA527E">
        <w:rPr>
          <w:rFonts w:ascii="Arial" w:hAnsi="Arial" w:cs="Arial"/>
          <w:sz w:val="22"/>
          <w:szCs w:val="22"/>
          <w:lang w:val="fr-FR"/>
        </w:rPr>
        <w:t xml:space="preserve">» seront renommés «Résolutions». Selon les mesures prises par les Parties à cette réunion, le </w:t>
      </w:r>
      <w:r w:rsidR="00EB3B2A" w:rsidRPr="008F4B37">
        <w:rPr>
          <w:rFonts w:ascii="Arial" w:hAnsi="Arial" w:cs="Arial"/>
          <w:sz w:val="22"/>
          <w:szCs w:val="22"/>
          <w:lang w:val="fr-FR"/>
        </w:rPr>
        <w:t>Secrétariat</w:t>
      </w:r>
      <w:r w:rsidR="00EB3B2A">
        <w:rPr>
          <w:rFonts w:ascii="Arial" w:hAnsi="Arial" w:cs="Arial"/>
          <w:sz w:val="22"/>
          <w:szCs w:val="22"/>
          <w:lang w:val="fr-FR"/>
        </w:rPr>
        <w:t xml:space="preserve"> </w:t>
      </w:r>
      <w:r w:rsidRPr="00CA527E">
        <w:rPr>
          <w:rFonts w:ascii="Arial" w:hAnsi="Arial" w:cs="Arial"/>
          <w:sz w:val="22"/>
          <w:szCs w:val="22"/>
          <w:lang w:val="fr-FR"/>
        </w:rPr>
        <w:t>pourrai</w:t>
      </w:r>
      <w:r w:rsidR="00455732">
        <w:rPr>
          <w:rFonts w:ascii="Arial" w:hAnsi="Arial" w:cs="Arial"/>
          <w:sz w:val="22"/>
          <w:szCs w:val="22"/>
          <w:lang w:val="fr-FR"/>
        </w:rPr>
        <w:t>t</w:t>
      </w:r>
      <w:r w:rsidRPr="00CA527E">
        <w:rPr>
          <w:rFonts w:ascii="Arial" w:hAnsi="Arial" w:cs="Arial"/>
          <w:sz w:val="22"/>
          <w:szCs w:val="22"/>
          <w:lang w:val="fr-FR"/>
        </w:rPr>
        <w:t xml:space="preserve"> avoir besoin de renuméroter une Recommandation. Par exemple, la Recommandation 7.5, </w:t>
      </w:r>
      <w:r w:rsidRPr="00CA527E">
        <w:rPr>
          <w:rFonts w:ascii="Arial" w:hAnsi="Arial" w:cs="Arial"/>
          <w:i/>
          <w:sz w:val="22"/>
          <w:szCs w:val="22"/>
          <w:lang w:val="fr-FR"/>
        </w:rPr>
        <w:t xml:space="preserve">Accord </w:t>
      </w:r>
      <w:r>
        <w:rPr>
          <w:rFonts w:ascii="Arial" w:hAnsi="Arial" w:cs="Arial"/>
          <w:i/>
          <w:sz w:val="22"/>
          <w:szCs w:val="22"/>
          <w:lang w:val="fr-FR"/>
        </w:rPr>
        <w:t>Entre les États de L’Aire de Répartition pour la Conservation du Dugong (Dugong dugon)</w:t>
      </w:r>
      <w:r w:rsidRPr="00CA527E">
        <w:rPr>
          <w:rFonts w:ascii="Arial" w:hAnsi="Arial" w:cs="Arial"/>
          <w:i/>
          <w:sz w:val="22"/>
          <w:szCs w:val="22"/>
          <w:lang w:val="fr-FR"/>
        </w:rPr>
        <w:t>,</w:t>
      </w:r>
      <w:r w:rsidRPr="00CA527E">
        <w:rPr>
          <w:rFonts w:ascii="Arial" w:hAnsi="Arial" w:cs="Arial"/>
          <w:sz w:val="22"/>
          <w:szCs w:val="22"/>
          <w:lang w:val="fr-FR"/>
        </w:rPr>
        <w:t xml:space="preserve"> ne peut pas être renuméroté comme Résolution 7.5, car la Résolution 7.5</w:t>
      </w:r>
      <w:r w:rsidRPr="00CA527E">
        <w:rPr>
          <w:rFonts w:ascii="Arial" w:hAnsi="Arial" w:cs="Arial"/>
          <w:i/>
          <w:sz w:val="22"/>
          <w:szCs w:val="22"/>
          <w:lang w:val="fr-FR"/>
        </w:rPr>
        <w:t>, É</w:t>
      </w:r>
      <w:r>
        <w:rPr>
          <w:rFonts w:ascii="Arial" w:hAnsi="Arial" w:cs="Arial"/>
          <w:i/>
          <w:sz w:val="22"/>
          <w:szCs w:val="22"/>
          <w:lang w:val="fr-FR"/>
        </w:rPr>
        <w:t>oliennes et Espèces M</w:t>
      </w:r>
      <w:r w:rsidRPr="00CA527E">
        <w:rPr>
          <w:rFonts w:ascii="Arial" w:hAnsi="Arial" w:cs="Arial"/>
          <w:i/>
          <w:sz w:val="22"/>
          <w:szCs w:val="22"/>
          <w:lang w:val="fr-FR"/>
        </w:rPr>
        <w:t>igratrices</w:t>
      </w:r>
      <w:r w:rsidRPr="00CA527E">
        <w:rPr>
          <w:rFonts w:ascii="Arial" w:hAnsi="Arial" w:cs="Arial"/>
          <w:sz w:val="22"/>
          <w:szCs w:val="22"/>
          <w:lang w:val="fr-FR"/>
        </w:rPr>
        <w:t xml:space="preserve"> existe déjà. Après cette réunion, le Secrétariat renumérotera les documents précédemment nommés Recommandations pour éviter toute confusion avec d'autres documents. Le </w:t>
      </w:r>
      <w:r w:rsidRPr="00CA527E">
        <w:rPr>
          <w:rFonts w:ascii="Arial" w:hAnsi="Arial" w:cs="Arial"/>
          <w:sz w:val="22"/>
          <w:szCs w:val="22"/>
          <w:lang w:val="fr-FR"/>
        </w:rPr>
        <w:lastRenderedPageBreak/>
        <w:t>Secrétariat a également inclus comme note de bas</w:t>
      </w:r>
      <w:r>
        <w:rPr>
          <w:rFonts w:ascii="Arial" w:hAnsi="Arial" w:cs="Arial"/>
          <w:sz w:val="22"/>
          <w:szCs w:val="22"/>
          <w:lang w:val="fr-FR"/>
        </w:rPr>
        <w:t xml:space="preserve"> de page dans chaque projet de R</w:t>
      </w:r>
      <w:r w:rsidRPr="00CA527E">
        <w:rPr>
          <w:rFonts w:ascii="Arial" w:hAnsi="Arial" w:cs="Arial"/>
          <w:sz w:val="22"/>
          <w:szCs w:val="22"/>
          <w:lang w:val="fr-FR"/>
        </w:rPr>
        <w:t xml:space="preserve">ésolution qui nécessitera une renumérotation qui identifie le document original adopté par les Parties. Le document </w:t>
      </w:r>
      <w:r>
        <w:rPr>
          <w:rFonts w:ascii="Arial" w:hAnsi="Arial" w:cs="Arial"/>
          <w:sz w:val="22"/>
          <w:szCs w:val="22"/>
        </w:rPr>
        <w:t>UNEP/CMS/COP12/Doc.21.1.6</w:t>
      </w:r>
      <w:r w:rsidRPr="00CA527E">
        <w:rPr>
          <w:rFonts w:ascii="Arial" w:hAnsi="Arial" w:cs="Arial"/>
          <w:sz w:val="22"/>
          <w:szCs w:val="22"/>
          <w:lang w:val="fr-FR"/>
        </w:rPr>
        <w:t xml:space="preserve"> fournit un exemple.</w:t>
      </w:r>
    </w:p>
    <w:p w:rsidR="00582771" w:rsidRPr="00582771" w:rsidRDefault="00582771" w:rsidP="00582771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36CEE" w:rsidRDefault="00582771" w:rsidP="00582771">
      <w:pPr>
        <w:pStyle w:val="ListParagraph"/>
        <w:numPr>
          <w:ilvl w:val="0"/>
          <w:numId w:val="42"/>
        </w:numPr>
        <w:tabs>
          <w:tab w:val="left" w:pos="360"/>
        </w:tabs>
        <w:ind w:left="270"/>
        <w:jc w:val="both"/>
        <w:rPr>
          <w:rFonts w:ascii="Arial" w:hAnsi="Arial" w:cs="Arial"/>
          <w:sz w:val="22"/>
          <w:szCs w:val="22"/>
          <w:lang w:val="fr-FR"/>
        </w:rPr>
      </w:pPr>
      <w:r w:rsidRPr="00582771">
        <w:rPr>
          <w:rFonts w:ascii="Arial" w:hAnsi="Arial" w:cs="Arial"/>
          <w:sz w:val="22"/>
          <w:szCs w:val="22"/>
          <w:lang w:val="fr-FR"/>
        </w:rPr>
        <w:t>Dans un certain nombre de cas, le Secrétariat a également jugé nécessaire d'apporter des mises à jour ou des révisions substantielles qui</w:t>
      </w:r>
      <w:r>
        <w:rPr>
          <w:rFonts w:ascii="Arial" w:hAnsi="Arial" w:cs="Arial"/>
          <w:sz w:val="22"/>
          <w:szCs w:val="22"/>
          <w:lang w:val="fr-FR"/>
        </w:rPr>
        <w:t xml:space="preserve"> vont au-delà de la portée des Résolutions ou R</w:t>
      </w:r>
      <w:r w:rsidRPr="00582771">
        <w:rPr>
          <w:rFonts w:ascii="Arial" w:hAnsi="Arial" w:cs="Arial"/>
          <w:sz w:val="22"/>
          <w:szCs w:val="22"/>
          <w:lang w:val="fr-FR"/>
        </w:rPr>
        <w:t xml:space="preserve">ecommandations initiales. Étant donné que ces révisions vont au-delà de la portée de cet exercice et afin d'éviter toute confusion, ces modifications seront présentées dans un document différent, </w:t>
      </w:r>
      <w:r w:rsidR="00A36CEE">
        <w:rPr>
          <w:rFonts w:ascii="Arial" w:hAnsi="Arial" w:cs="Arial"/>
          <w:sz w:val="22"/>
          <w:szCs w:val="22"/>
          <w:lang w:val="fr-FR"/>
        </w:rPr>
        <w:t>sous l’ordre du jour pertinent.</w:t>
      </w:r>
    </w:p>
    <w:p w:rsidR="00A36CEE" w:rsidRPr="00A36CEE" w:rsidRDefault="00A36CEE" w:rsidP="00A36CEE">
      <w:pPr>
        <w:pStyle w:val="ListParagraph"/>
        <w:rPr>
          <w:rFonts w:ascii="Arial" w:hAnsi="Arial" w:cs="Arial"/>
          <w:sz w:val="22"/>
          <w:szCs w:val="22"/>
          <w:lang w:val="fr-FR"/>
        </w:rPr>
      </w:pPr>
    </w:p>
    <w:p w:rsidR="00A36CEE" w:rsidRPr="00A36CEE" w:rsidRDefault="00A36CEE" w:rsidP="00A36CEE">
      <w:pPr>
        <w:tabs>
          <w:tab w:val="left" w:pos="36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36CEE" w:rsidRPr="00A36CEE" w:rsidRDefault="00A36CEE" w:rsidP="00A36CEE">
      <w:pPr>
        <w:contextualSpacing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A36CEE">
        <w:rPr>
          <w:rFonts w:ascii="Arial" w:hAnsi="Arial" w:cs="Arial"/>
          <w:sz w:val="22"/>
          <w:szCs w:val="22"/>
          <w:u w:val="single"/>
          <w:lang w:val="fr-FR"/>
        </w:rPr>
        <w:t>Actions Recommandées</w:t>
      </w:r>
    </w:p>
    <w:p w:rsidR="00A36CEE" w:rsidRPr="00A36CEE" w:rsidRDefault="00A36CEE" w:rsidP="00A36CEE">
      <w:pPr>
        <w:contextualSpacing/>
        <w:jc w:val="both"/>
        <w:rPr>
          <w:rFonts w:ascii="Arial" w:hAnsi="Arial" w:cs="Arial"/>
          <w:sz w:val="22"/>
          <w:szCs w:val="22"/>
          <w:u w:val="single"/>
          <w:lang w:val="fr-FR"/>
        </w:rPr>
      </w:pPr>
    </w:p>
    <w:p w:rsidR="00A36CEE" w:rsidRPr="00A36CEE" w:rsidRDefault="00A36CEE" w:rsidP="008876D2">
      <w:pPr>
        <w:pStyle w:val="ListParagraph"/>
        <w:numPr>
          <w:ilvl w:val="0"/>
          <w:numId w:val="42"/>
        </w:numPr>
        <w:ind w:left="360" w:hanging="450"/>
        <w:jc w:val="both"/>
        <w:rPr>
          <w:rFonts w:ascii="Arial" w:hAnsi="Arial" w:cs="Arial"/>
          <w:sz w:val="22"/>
          <w:szCs w:val="22"/>
          <w:lang w:val="fr-FR"/>
        </w:rPr>
      </w:pPr>
      <w:r w:rsidRPr="00A36CEE">
        <w:rPr>
          <w:rFonts w:ascii="Arial" w:hAnsi="Arial" w:cs="Arial"/>
          <w:sz w:val="22"/>
          <w:szCs w:val="22"/>
          <w:lang w:val="fr-FR"/>
        </w:rPr>
        <w:t>Il est recommandé à la Conférences des Parties</w:t>
      </w:r>
    </w:p>
    <w:p w:rsidR="00A36CEE" w:rsidRPr="00A36CEE" w:rsidRDefault="00A36CEE" w:rsidP="00A36CEE">
      <w:pPr>
        <w:pStyle w:val="ListParagraph"/>
        <w:ind w:left="270"/>
        <w:jc w:val="both"/>
        <w:rPr>
          <w:rFonts w:ascii="Arial" w:hAnsi="Arial" w:cs="Arial"/>
          <w:sz w:val="22"/>
          <w:szCs w:val="22"/>
          <w:lang w:val="fr-FR"/>
        </w:rPr>
      </w:pPr>
    </w:p>
    <w:p w:rsidR="00A36CEE" w:rsidRDefault="00A36CEE" w:rsidP="008876D2">
      <w:pPr>
        <w:pStyle w:val="ListParagraph"/>
        <w:numPr>
          <w:ilvl w:val="1"/>
          <w:numId w:val="42"/>
        </w:numPr>
        <w:ind w:left="720"/>
        <w:jc w:val="both"/>
        <w:rPr>
          <w:rFonts w:ascii="Arial" w:hAnsi="Arial" w:cs="Arial"/>
          <w:sz w:val="22"/>
          <w:szCs w:val="22"/>
          <w:lang w:val="fr-FR"/>
        </w:rPr>
      </w:pPr>
      <w:bookmarkStart w:id="0" w:name="_GoBack"/>
      <w:proofErr w:type="gramStart"/>
      <w:r>
        <w:rPr>
          <w:rFonts w:ascii="Arial" w:hAnsi="Arial" w:cs="Arial"/>
          <w:sz w:val="22"/>
          <w:szCs w:val="22"/>
          <w:lang w:val="fr-FR"/>
        </w:rPr>
        <w:t>d’adopter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les Résolutions révisées incluses dans les Documents 21.1.1 </w:t>
      </w:r>
      <w:r w:rsidRPr="00CA527E">
        <w:rPr>
          <w:rFonts w:ascii="Arial" w:hAnsi="Arial" w:cs="Arial"/>
          <w:sz w:val="22"/>
          <w:szCs w:val="22"/>
          <w:lang w:val="fr-FR"/>
        </w:rPr>
        <w:t>à</w:t>
      </w:r>
      <w:r>
        <w:rPr>
          <w:rFonts w:ascii="Arial" w:hAnsi="Arial" w:cs="Arial"/>
          <w:sz w:val="22"/>
          <w:szCs w:val="22"/>
          <w:lang w:val="fr-FR"/>
        </w:rPr>
        <w:t xml:space="preserve"> 21.1.35 ; et</w:t>
      </w:r>
    </w:p>
    <w:p w:rsidR="00A36CEE" w:rsidRDefault="00A36CEE" w:rsidP="008876D2">
      <w:pPr>
        <w:pStyle w:val="ListParagraph"/>
        <w:ind w:hanging="360"/>
        <w:jc w:val="both"/>
        <w:rPr>
          <w:rFonts w:ascii="Arial" w:hAnsi="Arial" w:cs="Arial"/>
          <w:sz w:val="22"/>
          <w:szCs w:val="22"/>
          <w:lang w:val="fr-FR"/>
        </w:rPr>
      </w:pPr>
    </w:p>
    <w:p w:rsidR="00A36CEE" w:rsidRPr="00A36CEE" w:rsidRDefault="00A36CEE" w:rsidP="008876D2">
      <w:pPr>
        <w:pStyle w:val="ListParagraph"/>
        <w:numPr>
          <w:ilvl w:val="1"/>
          <w:numId w:val="42"/>
        </w:numPr>
        <w:ind w:left="720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>
        <w:rPr>
          <w:rFonts w:ascii="Arial" w:hAnsi="Arial" w:cs="Arial"/>
          <w:sz w:val="22"/>
          <w:szCs w:val="22"/>
          <w:lang w:val="fr-FR"/>
        </w:rPr>
        <w:t>d’adopter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 tous projets de Décisions inclus dans les Documents 21.1.1 </w:t>
      </w:r>
      <w:r w:rsidRPr="00CA527E">
        <w:rPr>
          <w:rFonts w:ascii="Arial" w:hAnsi="Arial" w:cs="Arial"/>
          <w:sz w:val="22"/>
          <w:szCs w:val="22"/>
          <w:lang w:val="fr-FR"/>
        </w:rPr>
        <w:t>à</w:t>
      </w:r>
      <w:r>
        <w:rPr>
          <w:rFonts w:ascii="Arial" w:hAnsi="Arial" w:cs="Arial"/>
          <w:sz w:val="22"/>
          <w:szCs w:val="22"/>
          <w:lang w:val="fr-FR"/>
        </w:rPr>
        <w:t xml:space="preserve"> 21.1.35.</w:t>
      </w:r>
      <w:bookmarkEnd w:id="0"/>
    </w:p>
    <w:sectPr w:rsidR="00A36CEE" w:rsidRPr="00A36CEE" w:rsidSect="0052082F">
      <w:headerReference w:type="first" r:id="rId13"/>
      <w:footerReference w:type="first" r:id="rId14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A90" w:rsidRDefault="00AA7A90">
      <w:r>
        <w:separator/>
      </w:r>
    </w:p>
  </w:endnote>
  <w:endnote w:type="continuationSeparator" w:id="0">
    <w:p w:rsidR="00AA7A90" w:rsidRDefault="00AA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420040">
      <w:rPr>
        <w:rFonts w:ascii="Arial" w:hAnsi="Arial" w:cs="Arial"/>
        <w:noProof/>
        <w:sz w:val="18"/>
        <w:szCs w:val="18"/>
      </w:rPr>
      <w:t>2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056DC1">
    <w:pPr>
      <w:pStyle w:val="Footer"/>
      <w:ind w:right="-367"/>
      <w:jc w:val="center"/>
      <w:rPr>
        <w:rFonts w:ascii="Arial" w:hAnsi="Arial" w:cs="Arial"/>
        <w:sz w:val="18"/>
        <w:szCs w:val="18"/>
      </w:rPr>
    </w:pPr>
    <w:r w:rsidRPr="00922791">
      <w:rPr>
        <w:rFonts w:ascii="Arial" w:hAnsi="Arial" w:cs="Arial"/>
        <w:sz w:val="18"/>
        <w:szCs w:val="18"/>
      </w:rPr>
      <w:fldChar w:fldCharType="begin"/>
    </w:r>
    <w:r w:rsidRPr="00922791">
      <w:rPr>
        <w:rFonts w:ascii="Arial" w:hAnsi="Arial" w:cs="Arial"/>
        <w:sz w:val="18"/>
        <w:szCs w:val="18"/>
      </w:rPr>
      <w:instrText xml:space="preserve"> PAGE   \* MERGEFORMAT </w:instrText>
    </w:r>
    <w:r w:rsidRPr="00922791">
      <w:rPr>
        <w:rFonts w:ascii="Arial" w:hAnsi="Arial" w:cs="Arial"/>
        <w:sz w:val="18"/>
        <w:szCs w:val="18"/>
      </w:rPr>
      <w:fldChar w:fldCharType="separate"/>
    </w:r>
    <w:r w:rsidR="008876D2">
      <w:rPr>
        <w:rFonts w:ascii="Arial" w:hAnsi="Arial" w:cs="Arial"/>
        <w:noProof/>
        <w:sz w:val="18"/>
        <w:szCs w:val="18"/>
      </w:rPr>
      <w:t>3</w:t>
    </w:r>
    <w:r w:rsidRPr="00922791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>
    <w:pPr>
      <w:pStyle w:val="Footer"/>
      <w:jc w:val="center"/>
      <w:rPr>
        <w:rFonts w:ascii="Arial" w:hAnsi="Arial" w:cs="Arial"/>
        <w:sz w:val="18"/>
        <w:szCs w:val="18"/>
      </w:rPr>
    </w:pPr>
    <w:r w:rsidRPr="00D605A4">
      <w:rPr>
        <w:rFonts w:ascii="Arial" w:hAnsi="Arial" w:cs="Arial"/>
        <w:sz w:val="18"/>
        <w:szCs w:val="18"/>
      </w:rPr>
      <w:fldChar w:fldCharType="begin"/>
    </w:r>
    <w:r w:rsidRPr="00D605A4">
      <w:rPr>
        <w:rFonts w:ascii="Arial" w:hAnsi="Arial" w:cs="Arial"/>
        <w:sz w:val="18"/>
        <w:szCs w:val="18"/>
      </w:rPr>
      <w:instrText xml:space="preserve"> PAGE   \* MERGEFORMAT </w:instrText>
    </w:r>
    <w:r w:rsidRPr="00D605A4">
      <w:rPr>
        <w:rFonts w:ascii="Arial" w:hAnsi="Arial" w:cs="Arial"/>
        <w:sz w:val="18"/>
        <w:szCs w:val="18"/>
      </w:rPr>
      <w:fldChar w:fldCharType="separate"/>
    </w:r>
    <w:r w:rsidR="008876D2">
      <w:rPr>
        <w:rFonts w:ascii="Arial" w:hAnsi="Arial" w:cs="Arial"/>
        <w:noProof/>
        <w:sz w:val="18"/>
        <w:szCs w:val="18"/>
      </w:rPr>
      <w:t>2</w:t>
    </w:r>
    <w:r w:rsidRPr="00D605A4">
      <w:rPr>
        <w:rFonts w:ascii="Arial" w:hAnsi="Arial" w:cs="Arial"/>
        <w:noProof/>
        <w:sz w:val="18"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A90" w:rsidRDefault="00AA7A90">
      <w:r>
        <w:separator/>
      </w:r>
    </w:p>
  </w:footnote>
  <w:footnote w:type="continuationSeparator" w:id="0">
    <w:p w:rsidR="00AA7A90" w:rsidRDefault="00AA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9C" w:rsidRPr="00922791" w:rsidRDefault="00354A9C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/Doc.6.</w:t>
    </w:r>
    <w:r w:rsidR="002D5EC0" w:rsidRPr="00922791">
      <w:rPr>
        <w:rFonts w:ascii="Arial" w:hAnsi="Arial" w:cs="Arial"/>
        <w:b w:val="0"/>
        <w:i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721" w:rsidRPr="00922791" w:rsidRDefault="00254721" w:rsidP="00922791">
    <w:pPr>
      <w:pStyle w:val="Heading1"/>
      <w:keepNext w:val="0"/>
      <w:pBdr>
        <w:bottom w:val="single" w:sz="4" w:space="1" w:color="auto"/>
      </w:pBdr>
      <w:tabs>
        <w:tab w:val="clear" w:pos="-720"/>
      </w:tabs>
      <w:ind w:left="261" w:right="-277" w:hanging="261"/>
      <w:jc w:val="right"/>
      <w:rPr>
        <w:rFonts w:ascii="Arial" w:hAnsi="Arial" w:cs="Arial"/>
        <w:b w:val="0"/>
        <w:i/>
        <w:sz w:val="18"/>
        <w:szCs w:val="18"/>
        <w:lang w:val="en-US"/>
      </w:rPr>
    </w:pPr>
    <w:r w:rsidRPr="00922791">
      <w:rPr>
        <w:rFonts w:ascii="Arial" w:hAnsi="Arial" w:cs="Arial"/>
        <w:b w:val="0"/>
        <w:i/>
        <w:sz w:val="18"/>
        <w:szCs w:val="18"/>
        <w:lang w:val="en-US"/>
      </w:rPr>
      <w:t>U</w:t>
    </w:r>
    <w:r w:rsidR="00A36CEE">
      <w:rPr>
        <w:rFonts w:ascii="Arial" w:hAnsi="Arial" w:cs="Arial"/>
        <w:b w:val="0"/>
        <w:i/>
        <w:sz w:val="18"/>
        <w:szCs w:val="18"/>
        <w:lang w:val="en-US"/>
      </w:rPr>
      <w:t>NEP/CMS/COP12</w:t>
    </w:r>
    <w:r w:rsidRPr="00922791">
      <w:rPr>
        <w:rFonts w:ascii="Arial" w:hAnsi="Arial" w:cs="Arial"/>
        <w:b w:val="0"/>
        <w:i/>
        <w:sz w:val="18"/>
        <w:szCs w:val="18"/>
        <w:lang w:val="en-US"/>
      </w:rPr>
      <w:t>/Doc</w:t>
    </w:r>
    <w:r w:rsidR="00A36CEE">
      <w:rPr>
        <w:rFonts w:ascii="Arial" w:hAnsi="Arial" w:cs="Arial"/>
        <w:b w:val="0"/>
        <w:i/>
        <w:sz w:val="18"/>
        <w:szCs w:val="18"/>
        <w:lang w:val="en-US"/>
      </w:rPr>
      <w:t>.21.1</w:t>
    </w:r>
  </w:p>
  <w:p w:rsidR="00254721" w:rsidRPr="00354A9C" w:rsidRDefault="00254721" w:rsidP="00A27BE3">
    <w:pPr>
      <w:jc w:val="right"/>
      <w:rPr>
        <w:i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1AF" w:rsidRDefault="009A4CD2">
    <w:pPr>
      <w:pStyle w:val="Header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-59055</wp:posOffset>
          </wp:positionV>
          <wp:extent cx="945515" cy="510540"/>
          <wp:effectExtent l="0" t="0" r="0" b="0"/>
          <wp:wrapTight wrapText="bothSides">
            <wp:wrapPolygon edited="0">
              <wp:start x="2176" y="2418"/>
              <wp:lineTo x="1306" y="14507"/>
              <wp:lineTo x="1306" y="18537"/>
              <wp:lineTo x="20019" y="18537"/>
              <wp:lineTo x="19584" y="5642"/>
              <wp:lineTo x="19148" y="2418"/>
              <wp:lineTo x="2176" y="2418"/>
            </wp:wrapPolygon>
          </wp:wrapTight>
          <wp:docPr id="18" name="Picture 18" descr="UNEnvironment_Logo_French_Shor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Environment_Logo_French_Shor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-75565</wp:posOffset>
          </wp:positionV>
          <wp:extent cx="431165" cy="441325"/>
          <wp:effectExtent l="0" t="0" r="6985" b="0"/>
          <wp:wrapTight wrapText="bothSides">
            <wp:wrapPolygon edited="0">
              <wp:start x="0" y="0"/>
              <wp:lineTo x="0" y="20512"/>
              <wp:lineTo x="20996" y="20512"/>
              <wp:lineTo x="20996" y="0"/>
              <wp:lineTo x="0" y="0"/>
            </wp:wrapPolygon>
          </wp:wrapTight>
          <wp:docPr id="1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0" t="-1236" r="60236" b="48836"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5A4" w:rsidRPr="00D605A4" w:rsidRDefault="00D605A4" w:rsidP="00D605A4">
    <w:pPr>
      <w:pStyle w:val="Header"/>
      <w:pBdr>
        <w:bottom w:val="single" w:sz="4" w:space="1" w:color="auto"/>
      </w:pBdr>
      <w:rPr>
        <w:rFonts w:ascii="Arial" w:hAnsi="Arial" w:cs="Arial"/>
        <w:i/>
        <w:sz w:val="18"/>
        <w:szCs w:val="18"/>
        <w:lang w:val="de-DE"/>
      </w:rPr>
    </w:pPr>
    <w:r w:rsidRPr="00D605A4">
      <w:rPr>
        <w:rFonts w:ascii="Arial" w:hAnsi="Arial" w:cs="Arial"/>
        <w:i/>
        <w:sz w:val="18"/>
        <w:szCs w:val="18"/>
        <w:lang w:val="de-DE"/>
      </w:rPr>
      <w:t>UNEP/CMS/COP12/Doc.</w:t>
    </w:r>
    <w:r w:rsidR="008A40FD">
      <w:rPr>
        <w:rFonts w:ascii="Arial" w:hAnsi="Arial" w:cs="Arial"/>
        <w:i/>
        <w:sz w:val="18"/>
        <w:szCs w:val="18"/>
        <w:lang w:val="de-DE"/>
      </w:rPr>
      <w:t>21.1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6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9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1" w15:restartNumberingAfterBreak="0">
    <w:nsid w:val="5BED6AD8"/>
    <w:multiLevelType w:val="hybridMultilevel"/>
    <w:tmpl w:val="1A8C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4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6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D6372F"/>
    <w:multiLevelType w:val="hybridMultilevel"/>
    <w:tmpl w:val="E676DF7C"/>
    <w:lvl w:ilvl="0" w:tplc="B8EEF0EA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0"/>
  </w:num>
  <w:num w:numId="4">
    <w:abstractNumId w:val="21"/>
  </w:num>
  <w:num w:numId="5">
    <w:abstractNumId w:val="11"/>
  </w:num>
  <w:num w:numId="6">
    <w:abstractNumId w:val="30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29"/>
  </w:num>
  <w:num w:numId="9">
    <w:abstractNumId w:val="7"/>
  </w:num>
  <w:num w:numId="10">
    <w:abstractNumId w:val="20"/>
  </w:num>
  <w:num w:numId="11">
    <w:abstractNumId w:val="35"/>
  </w:num>
  <w:num w:numId="12">
    <w:abstractNumId w:val="3"/>
  </w:num>
  <w:num w:numId="13">
    <w:abstractNumId w:val="17"/>
  </w:num>
  <w:num w:numId="14">
    <w:abstractNumId w:val="33"/>
  </w:num>
  <w:num w:numId="15">
    <w:abstractNumId w:val="2"/>
  </w:num>
  <w:num w:numId="16">
    <w:abstractNumId w:val="9"/>
  </w:num>
  <w:num w:numId="17">
    <w:abstractNumId w:val="36"/>
  </w:num>
  <w:num w:numId="18">
    <w:abstractNumId w:val="19"/>
  </w:num>
  <w:num w:numId="19">
    <w:abstractNumId w:val="34"/>
  </w:num>
  <w:num w:numId="20">
    <w:abstractNumId w:val="41"/>
  </w:num>
  <w:num w:numId="21">
    <w:abstractNumId w:val="4"/>
  </w:num>
  <w:num w:numId="22">
    <w:abstractNumId w:val="15"/>
  </w:num>
  <w:num w:numId="23">
    <w:abstractNumId w:val="23"/>
  </w:num>
  <w:num w:numId="24">
    <w:abstractNumId w:val="14"/>
  </w:num>
  <w:num w:numId="25">
    <w:abstractNumId w:val="27"/>
  </w:num>
  <w:num w:numId="26">
    <w:abstractNumId w:val="0"/>
  </w:num>
  <w:num w:numId="27">
    <w:abstractNumId w:val="37"/>
  </w:num>
  <w:num w:numId="28">
    <w:abstractNumId w:val="6"/>
  </w:num>
  <w:num w:numId="29">
    <w:abstractNumId w:val="18"/>
  </w:num>
  <w:num w:numId="30">
    <w:abstractNumId w:val="12"/>
  </w:num>
  <w:num w:numId="31">
    <w:abstractNumId w:val="25"/>
  </w:num>
  <w:num w:numId="32">
    <w:abstractNumId w:val="24"/>
  </w:num>
  <w:num w:numId="33">
    <w:abstractNumId w:val="5"/>
  </w:num>
  <w:num w:numId="34">
    <w:abstractNumId w:val="16"/>
  </w:num>
  <w:num w:numId="35">
    <w:abstractNumId w:val="13"/>
  </w:num>
  <w:num w:numId="36">
    <w:abstractNumId w:val="28"/>
  </w:num>
  <w:num w:numId="37">
    <w:abstractNumId w:val="32"/>
  </w:num>
  <w:num w:numId="38">
    <w:abstractNumId w:val="8"/>
  </w:num>
  <w:num w:numId="39">
    <w:abstractNumId w:val="26"/>
  </w:num>
  <w:num w:numId="40">
    <w:abstractNumId w:val="39"/>
  </w:num>
  <w:num w:numId="41">
    <w:abstractNumId w:val="22"/>
  </w:num>
  <w:num w:numId="42">
    <w:abstractNumId w:val="31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37"/>
    <w:rsid w:val="00007296"/>
    <w:rsid w:val="000254DF"/>
    <w:rsid w:val="00036C53"/>
    <w:rsid w:val="000518C2"/>
    <w:rsid w:val="00056DC1"/>
    <w:rsid w:val="00060156"/>
    <w:rsid w:val="00070BBC"/>
    <w:rsid w:val="00073C92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52BA"/>
    <w:rsid w:val="001151A3"/>
    <w:rsid w:val="0012294F"/>
    <w:rsid w:val="001245DF"/>
    <w:rsid w:val="00130BFD"/>
    <w:rsid w:val="001419C7"/>
    <w:rsid w:val="00150AC4"/>
    <w:rsid w:val="00162D88"/>
    <w:rsid w:val="00166ABA"/>
    <w:rsid w:val="001743FD"/>
    <w:rsid w:val="001764E6"/>
    <w:rsid w:val="001808F1"/>
    <w:rsid w:val="001819C9"/>
    <w:rsid w:val="001A33B6"/>
    <w:rsid w:val="001C6038"/>
    <w:rsid w:val="001F60A1"/>
    <w:rsid w:val="00200A67"/>
    <w:rsid w:val="00201F88"/>
    <w:rsid w:val="00202332"/>
    <w:rsid w:val="002210F4"/>
    <w:rsid w:val="00234857"/>
    <w:rsid w:val="00254721"/>
    <w:rsid w:val="00260772"/>
    <w:rsid w:val="00263159"/>
    <w:rsid w:val="002779F7"/>
    <w:rsid w:val="002C187A"/>
    <w:rsid w:val="002C20F1"/>
    <w:rsid w:val="002D2863"/>
    <w:rsid w:val="002D5EC0"/>
    <w:rsid w:val="002E3DEA"/>
    <w:rsid w:val="002E7CC2"/>
    <w:rsid w:val="002F6F9B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A0D8F"/>
    <w:rsid w:val="003A3E30"/>
    <w:rsid w:val="003A70FE"/>
    <w:rsid w:val="003B0C35"/>
    <w:rsid w:val="003B219E"/>
    <w:rsid w:val="003E21B3"/>
    <w:rsid w:val="00411E65"/>
    <w:rsid w:val="00420040"/>
    <w:rsid w:val="00423388"/>
    <w:rsid w:val="00426D73"/>
    <w:rsid w:val="00436CD2"/>
    <w:rsid w:val="00454913"/>
    <w:rsid w:val="00455732"/>
    <w:rsid w:val="00457441"/>
    <w:rsid w:val="004579F6"/>
    <w:rsid w:val="004656D0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42FCC"/>
    <w:rsid w:val="00553795"/>
    <w:rsid w:val="0055762E"/>
    <w:rsid w:val="00565445"/>
    <w:rsid w:val="00575334"/>
    <w:rsid w:val="00582771"/>
    <w:rsid w:val="00593736"/>
    <w:rsid w:val="005B0F06"/>
    <w:rsid w:val="005B6141"/>
    <w:rsid w:val="005C3F15"/>
    <w:rsid w:val="005F3989"/>
    <w:rsid w:val="005F4303"/>
    <w:rsid w:val="00601B52"/>
    <w:rsid w:val="0060280B"/>
    <w:rsid w:val="00604422"/>
    <w:rsid w:val="00644060"/>
    <w:rsid w:val="00651341"/>
    <w:rsid w:val="00667726"/>
    <w:rsid w:val="006815B2"/>
    <w:rsid w:val="00682B31"/>
    <w:rsid w:val="006864E1"/>
    <w:rsid w:val="006B1037"/>
    <w:rsid w:val="006E56AD"/>
    <w:rsid w:val="006E5763"/>
    <w:rsid w:val="006F6A33"/>
    <w:rsid w:val="007101BB"/>
    <w:rsid w:val="00713308"/>
    <w:rsid w:val="00727E01"/>
    <w:rsid w:val="00757614"/>
    <w:rsid w:val="007728B4"/>
    <w:rsid w:val="0077622E"/>
    <w:rsid w:val="00777913"/>
    <w:rsid w:val="00777FE4"/>
    <w:rsid w:val="0079075D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52561"/>
    <w:rsid w:val="008641D1"/>
    <w:rsid w:val="00872F67"/>
    <w:rsid w:val="008876D2"/>
    <w:rsid w:val="00893346"/>
    <w:rsid w:val="008A0D8D"/>
    <w:rsid w:val="008A40FD"/>
    <w:rsid w:val="008B1A69"/>
    <w:rsid w:val="008C1A39"/>
    <w:rsid w:val="008E7DFB"/>
    <w:rsid w:val="008F4B37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A2C8F"/>
    <w:rsid w:val="009A4CD2"/>
    <w:rsid w:val="009A7B65"/>
    <w:rsid w:val="009D2AD6"/>
    <w:rsid w:val="009D3A07"/>
    <w:rsid w:val="009D4711"/>
    <w:rsid w:val="009D5DA6"/>
    <w:rsid w:val="009E3A84"/>
    <w:rsid w:val="009E7ACC"/>
    <w:rsid w:val="009F450E"/>
    <w:rsid w:val="009F54DA"/>
    <w:rsid w:val="00A06984"/>
    <w:rsid w:val="00A1324E"/>
    <w:rsid w:val="00A27BE3"/>
    <w:rsid w:val="00A339B9"/>
    <w:rsid w:val="00A36CEE"/>
    <w:rsid w:val="00A40EDF"/>
    <w:rsid w:val="00A568DF"/>
    <w:rsid w:val="00A73A79"/>
    <w:rsid w:val="00A91596"/>
    <w:rsid w:val="00A93C52"/>
    <w:rsid w:val="00AA7368"/>
    <w:rsid w:val="00AA7A90"/>
    <w:rsid w:val="00AB4FF9"/>
    <w:rsid w:val="00AE7B21"/>
    <w:rsid w:val="00AF1980"/>
    <w:rsid w:val="00AF2021"/>
    <w:rsid w:val="00B471BD"/>
    <w:rsid w:val="00B50C2D"/>
    <w:rsid w:val="00B64904"/>
    <w:rsid w:val="00BA60CE"/>
    <w:rsid w:val="00BC5607"/>
    <w:rsid w:val="00BE0D1D"/>
    <w:rsid w:val="00BE2448"/>
    <w:rsid w:val="00BE24D4"/>
    <w:rsid w:val="00BF2BE7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A527E"/>
    <w:rsid w:val="00CB1D26"/>
    <w:rsid w:val="00CC4C21"/>
    <w:rsid w:val="00CC57AD"/>
    <w:rsid w:val="00CC5C60"/>
    <w:rsid w:val="00CE5B83"/>
    <w:rsid w:val="00CF6EDD"/>
    <w:rsid w:val="00D05922"/>
    <w:rsid w:val="00D42AE1"/>
    <w:rsid w:val="00D605A4"/>
    <w:rsid w:val="00D61B13"/>
    <w:rsid w:val="00D7746A"/>
    <w:rsid w:val="00D838FE"/>
    <w:rsid w:val="00D8406F"/>
    <w:rsid w:val="00D859C7"/>
    <w:rsid w:val="00D9021F"/>
    <w:rsid w:val="00DA1080"/>
    <w:rsid w:val="00DA12C2"/>
    <w:rsid w:val="00DB30A6"/>
    <w:rsid w:val="00DD6A9E"/>
    <w:rsid w:val="00E10DE8"/>
    <w:rsid w:val="00E23367"/>
    <w:rsid w:val="00E30B00"/>
    <w:rsid w:val="00E31B92"/>
    <w:rsid w:val="00E35A2B"/>
    <w:rsid w:val="00E475D4"/>
    <w:rsid w:val="00E74D1C"/>
    <w:rsid w:val="00E8776E"/>
    <w:rsid w:val="00E9237A"/>
    <w:rsid w:val="00EA0B88"/>
    <w:rsid w:val="00EB2285"/>
    <w:rsid w:val="00EB3B2A"/>
    <w:rsid w:val="00EC4294"/>
    <w:rsid w:val="00EC681E"/>
    <w:rsid w:val="00ED02D3"/>
    <w:rsid w:val="00ED5E31"/>
    <w:rsid w:val="00EE64C1"/>
    <w:rsid w:val="00F05AA0"/>
    <w:rsid w:val="00F061CB"/>
    <w:rsid w:val="00F24050"/>
    <w:rsid w:val="00F248AA"/>
    <w:rsid w:val="00F31539"/>
    <w:rsid w:val="00F444EC"/>
    <w:rsid w:val="00F45FE3"/>
    <w:rsid w:val="00F54D03"/>
    <w:rsid w:val="00F6347A"/>
    <w:rsid w:val="00F7503A"/>
    <w:rsid w:val="00F81FEF"/>
    <w:rsid w:val="00F901E4"/>
    <w:rsid w:val="00F978B9"/>
    <w:rsid w:val="00FA61AF"/>
    <w:rsid w:val="00FD3A06"/>
    <w:rsid w:val="00FD7D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  <w14:docId w14:val="20745394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ascii="Arial" w:hAnsi="Arial"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2</TotalTime>
  <Pages>3</Pages>
  <Words>647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MEETING OF THE</vt:lpstr>
    </vt:vector>
  </TitlesOfParts>
  <Company>United Nations Volunteers (UNV) programme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MEETING OF THE</dc:title>
  <dc:subject/>
  <dc:creator>barbara.schoenberg@cms.int</dc:creator>
  <cp:keywords/>
  <cp:lastModifiedBy>Ximena Cancino</cp:lastModifiedBy>
  <cp:revision>2</cp:revision>
  <cp:lastPrinted>2017-01-20T10:09:00Z</cp:lastPrinted>
  <dcterms:created xsi:type="dcterms:W3CDTF">2017-08-10T10:01:00Z</dcterms:created>
  <dcterms:modified xsi:type="dcterms:W3CDTF">2017-08-10T10:01:00Z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