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260772" w:rsidRDefault="00260772" w:rsidP="003A0D8F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260772">
        <w:rPr>
          <w:rFonts w:ascii="Arial" w:hAnsi="Arial" w:cs="Arial"/>
          <w:sz w:val="22"/>
          <w:szCs w:val="22"/>
          <w:lang w:val="fr-FR"/>
        </w:rPr>
        <w:t>12</w:t>
      </w:r>
      <w:r w:rsidRPr="0026077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ascii="Arial" w:hAnsi="Arial" w:cs="Arial"/>
          <w:sz w:val="22"/>
          <w:szCs w:val="22"/>
          <w:lang w:val="fr-FR"/>
        </w:rPr>
        <w:t xml:space="preserve"> SESSION DE LA CONFÉRENCE DES PARTIES</w:t>
      </w:r>
    </w:p>
    <w:p w:rsidR="00260772" w:rsidRPr="001E7B2E" w:rsidRDefault="00260772" w:rsidP="003A0D8F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1E7B2E">
        <w:rPr>
          <w:rFonts w:ascii="Arial" w:hAnsi="Arial" w:cs="Arial"/>
          <w:b w:val="0"/>
          <w:sz w:val="22"/>
          <w:szCs w:val="22"/>
          <w:lang w:val="pt-PT"/>
        </w:rPr>
        <w:t>Manille, P</w:t>
      </w:r>
      <w:r w:rsidR="00436CD2">
        <w:rPr>
          <w:rFonts w:ascii="Arial" w:hAnsi="Arial" w:cs="Arial"/>
          <w:b w:val="0"/>
          <w:sz w:val="22"/>
          <w:szCs w:val="22"/>
          <w:lang w:val="pt-PT"/>
        </w:rPr>
        <w:t>hilippines, 23 - 28 octobre 2017</w:t>
      </w: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1E7B2E">
        <w:rPr>
          <w:rFonts w:ascii="Arial" w:hAnsi="Arial" w:cs="Arial"/>
          <w:iCs/>
          <w:sz w:val="22"/>
          <w:szCs w:val="22"/>
          <w:lang w:val="pt-PT"/>
        </w:rPr>
        <w:t xml:space="preserve">Point </w:t>
      </w:r>
      <w:r w:rsidR="000F0DF4">
        <w:rPr>
          <w:rFonts w:ascii="Arial" w:hAnsi="Arial" w:cs="Arial"/>
          <w:iCs/>
          <w:sz w:val="22"/>
          <w:szCs w:val="22"/>
          <w:lang w:val="pt-PT"/>
        </w:rPr>
        <w:t>25.1</w:t>
      </w:r>
      <w:r w:rsidRPr="001E7B2E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0772" w:rsidRPr="000F0DF4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67726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F34699" w:rsidRDefault="00F34699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Distribution :</w:t>
            </w:r>
            <w:r w:rsidR="00260772" w:rsidRPr="00F34699">
              <w:rPr>
                <w:rFonts w:ascii="Arial" w:hAnsi="Arial" w:cs="Arial"/>
                <w:sz w:val="22"/>
                <w:szCs w:val="22"/>
                <w:lang w:val="fr-FR"/>
              </w:rPr>
              <w:t xml:space="preserve"> Générale</w:t>
            </w:r>
          </w:p>
          <w:p w:rsidR="00260772" w:rsidRPr="00F34699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F3469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34699">
              <w:rPr>
                <w:rFonts w:ascii="Arial" w:hAnsi="Arial" w:cs="Arial"/>
                <w:sz w:val="22"/>
                <w:szCs w:val="22"/>
                <w:lang w:val="fr-FR"/>
              </w:rPr>
              <w:t>UNEP/CMS/COP12/Doc.</w:t>
            </w:r>
            <w:r w:rsidR="000F0DF4" w:rsidRPr="00F34699">
              <w:rPr>
                <w:rFonts w:ascii="Arial" w:hAnsi="Arial" w:cs="Arial"/>
                <w:sz w:val="22"/>
                <w:szCs w:val="22"/>
                <w:lang w:val="fr-FR"/>
              </w:rPr>
              <w:t>25.1</w:t>
            </w:r>
          </w:p>
          <w:p w:rsidR="00260772" w:rsidRPr="00F34699" w:rsidRDefault="000F0DF4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34699">
              <w:rPr>
                <w:rFonts w:ascii="Arial" w:hAnsi="Arial" w:cs="Arial"/>
                <w:sz w:val="22"/>
                <w:szCs w:val="22"/>
                <w:lang w:val="fr-FR"/>
              </w:rPr>
              <w:t>6 juin</w:t>
            </w:r>
            <w:r w:rsidR="00436CD2" w:rsidRPr="00F3469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F3469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F34699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34699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260772" w:rsidRPr="000F0DF4" w:rsidRDefault="00F34699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Original</w:t>
            </w:r>
            <w:r w:rsidR="00260772" w:rsidRPr="00F3469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 w:rsidR="00260772" w:rsidRPr="000F0DF4">
              <w:rPr>
                <w:rFonts w:ascii="Arial" w:hAnsi="Arial" w:cs="Arial"/>
                <w:sz w:val="22"/>
                <w:szCs w:val="22"/>
                <w:lang w:val="fr-FR"/>
              </w:rPr>
              <w:t xml:space="preserve"> Anglais</w:t>
            </w:r>
          </w:p>
          <w:p w:rsidR="00260772" w:rsidRPr="000F0DF4" w:rsidRDefault="00260772" w:rsidP="002607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354A9C" w:rsidRPr="000F0DF4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fr-FR"/>
        </w:rPr>
      </w:pPr>
    </w:p>
    <w:p w:rsidR="0052082F" w:rsidRPr="000F0DF4" w:rsidRDefault="0052082F" w:rsidP="00354A9C">
      <w:pPr>
        <w:rPr>
          <w:rFonts w:ascii="Arial" w:hAnsi="Arial" w:cs="Arial"/>
          <w:sz w:val="22"/>
          <w:szCs w:val="22"/>
          <w:lang w:val="fr-FR"/>
        </w:rPr>
      </w:pPr>
    </w:p>
    <w:p w:rsidR="00260772" w:rsidRPr="000F0DF4" w:rsidRDefault="00F34699" w:rsidP="00260772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PROPOSITIONS D’AMENDEMENT AUX</w:t>
      </w:r>
      <w:r w:rsidR="000F0DF4" w:rsidRPr="000F0DF4">
        <w:rPr>
          <w:rFonts w:ascii="Arial" w:hAnsi="Arial" w:cs="Arial"/>
          <w:sz w:val="22"/>
          <w:szCs w:val="22"/>
          <w:lang w:val="fr-FR"/>
        </w:rPr>
        <w:t xml:space="preserve"> ANNEXES I ET II DE LA CONVENTION</w:t>
      </w:r>
    </w:p>
    <w:p w:rsidR="00260772" w:rsidRPr="00260772" w:rsidRDefault="00260772" w:rsidP="00260772">
      <w:pPr>
        <w:rPr>
          <w:sz w:val="22"/>
          <w:szCs w:val="22"/>
          <w:lang w:val="fr-FR"/>
        </w:rPr>
      </w:pPr>
    </w:p>
    <w:p w:rsidR="00260772" w:rsidRPr="00260772" w:rsidRDefault="00260772" w:rsidP="00260772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0F0DF4">
        <w:rPr>
          <w:rFonts w:ascii="Arial" w:hAnsi="Arial" w:cs="Arial"/>
          <w:i/>
          <w:sz w:val="22"/>
          <w:szCs w:val="22"/>
          <w:lang w:val="fr-FR"/>
        </w:rPr>
        <w:t>(</w:t>
      </w:r>
      <w:r w:rsidR="00F901E4" w:rsidRPr="000F0DF4">
        <w:rPr>
          <w:rFonts w:ascii="Arial" w:hAnsi="Arial" w:cs="Arial"/>
          <w:i/>
          <w:sz w:val="22"/>
          <w:szCs w:val="22"/>
          <w:lang w:val="fr-FR"/>
        </w:rPr>
        <w:t>P</w:t>
      </w:r>
      <w:r w:rsidR="000F0DF4" w:rsidRPr="000F0DF4">
        <w:rPr>
          <w:rFonts w:ascii="Arial" w:hAnsi="Arial" w:cs="Arial"/>
          <w:i/>
          <w:sz w:val="22"/>
          <w:szCs w:val="22"/>
          <w:lang w:val="fr-FR"/>
        </w:rPr>
        <w:t>réparé par le Secrétariat</w:t>
      </w:r>
      <w:r w:rsidRPr="000F0DF4">
        <w:rPr>
          <w:rFonts w:ascii="Arial" w:hAnsi="Arial" w:cs="Arial"/>
          <w:i/>
          <w:sz w:val="22"/>
          <w:szCs w:val="22"/>
          <w:lang w:val="fr-FR"/>
        </w:rPr>
        <w:t>)</w:t>
      </w:r>
    </w:p>
    <w:p w:rsidR="001764E6" w:rsidRPr="00260772" w:rsidRDefault="001764E6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764E6" w:rsidRPr="00260772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1A4D8C" w:rsidP="00D605A4">
      <w:pPr>
        <w:rPr>
          <w:rFonts w:ascii="Arial" w:hAnsi="Arial" w:cs="Arial"/>
          <w:sz w:val="21"/>
          <w:szCs w:val="21"/>
          <w:lang w:val="fr-FR"/>
        </w:rPr>
      </w:pPr>
      <w:r w:rsidRPr="00C169E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152401</wp:posOffset>
                </wp:positionV>
                <wp:extent cx="4381500" cy="2400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E1" w:rsidRPr="001A4D8C" w:rsidRDefault="00C242E1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Résumé:</w:t>
                            </w:r>
                            <w:proofErr w:type="gramEnd"/>
                          </w:p>
                          <w:p w:rsidR="00C242E1" w:rsidRPr="001A4D8C" w:rsidRDefault="00C242E1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C242E1" w:rsidRDefault="00C242E1" w:rsidP="001A4D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Ce document résume les propositions d’amendement des Annexes de la CMS soumis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à l’examen de 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la 12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Réunion de la Conférence des Parties (COP12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). 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Le texte intégral 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tous les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éléments justifiant ces propositions est mis à disposition de 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COP12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dans des documents distincts. </w:t>
                            </w:r>
                          </w:p>
                          <w:p w:rsidR="00C242E1" w:rsidRDefault="00C242E1" w:rsidP="001A4D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C242E1" w:rsidRPr="001A4D8C" w:rsidRDefault="00C242E1" w:rsidP="001A4D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La Conférence des Parties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est 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invitée 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examiner c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es propositions d'amendements aux</w:t>
                            </w:r>
                            <w:r w:rsidR="00F3469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F34699" w:rsidRPr="00F3469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Annexes</w:t>
                            </w:r>
                            <w:r w:rsidRPr="00F3469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;</w:t>
                            </w:r>
                            <w:proofErr w:type="gramEnd"/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de p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rendre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des décisions</w:t>
                            </w:r>
                            <w:r w:rsidRPr="001A4D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en ce qui concerne l'adoption ou le rejet des propositions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:rsidR="00C242E1" w:rsidRPr="001A4D8C" w:rsidRDefault="00C242E1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pt;width:345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" strokeweight=".25pt">
                <v:textbox>
                  <w:txbxContent>
                    <w:p w:rsidR="00C242E1" w:rsidRPr="001A4D8C" w:rsidRDefault="00C242E1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Résumé:</w:t>
                      </w:r>
                    </w:p>
                    <w:p w:rsidR="00C242E1" w:rsidRPr="001A4D8C" w:rsidRDefault="00C242E1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C242E1" w:rsidRDefault="00C242E1" w:rsidP="001A4D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Ce document résume les propositions d’amendement des Annexes de la CMS soumis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à l’examen de 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la 12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fr-FR"/>
                        </w:rPr>
                        <w:t>e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Réunion de la Conférence des Parties (COP12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). 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Le texte intégral 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tous les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éléments justifiant ces propositions est mis à disposition de 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COP12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dans des documents distincts. </w:t>
                      </w:r>
                    </w:p>
                    <w:p w:rsidR="00C242E1" w:rsidRDefault="00C242E1" w:rsidP="001A4D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C242E1" w:rsidRPr="001A4D8C" w:rsidRDefault="00C242E1" w:rsidP="001A4D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La Conférence des Parties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est 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invitée 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examiner c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es propositions d'amendements aux</w:t>
                      </w:r>
                      <w:r w:rsidR="00F3469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34699" w:rsidRPr="00F3469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An</w:t>
                      </w:r>
                      <w:bookmarkStart w:id="1" w:name="_GoBack"/>
                      <w:bookmarkEnd w:id="1"/>
                      <w:r w:rsidR="00F34699" w:rsidRPr="00F3469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nexes</w:t>
                      </w:r>
                      <w:r w:rsidRPr="00F3469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;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de p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rendre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des décisions</w:t>
                      </w:r>
                      <w:r w:rsidRPr="001A4D8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en ce qui concerne l'adoption ou le rejet des propositions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:rsidR="00C242E1" w:rsidRPr="001A4D8C" w:rsidRDefault="00C242E1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  <w:sectPr w:rsidR="00D605A4" w:rsidRPr="00260772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1A4D8C" w:rsidRPr="000F0DF4" w:rsidRDefault="00F34699" w:rsidP="001A4D8C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PROPOSITIONS D’AMENDEMENT AUX</w:t>
      </w:r>
      <w:r w:rsidR="001A4D8C" w:rsidRPr="000F0DF4">
        <w:rPr>
          <w:rFonts w:ascii="Arial" w:hAnsi="Arial" w:cs="Arial"/>
          <w:sz w:val="22"/>
          <w:szCs w:val="22"/>
          <w:lang w:val="fr-FR"/>
        </w:rPr>
        <w:t xml:space="preserve"> ANNEXES I ET II DE LA CONVENTION</w:t>
      </w:r>
    </w:p>
    <w:p w:rsidR="00E8776E" w:rsidRDefault="00E8776E" w:rsidP="00E8776E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</w:p>
    <w:p w:rsidR="001A4D8C" w:rsidRDefault="001A4D8C" w:rsidP="001A4D8C">
      <w:pPr>
        <w:rPr>
          <w:lang w:val="fr-FR"/>
        </w:rPr>
      </w:pPr>
    </w:p>
    <w:p w:rsidR="001A4D8C" w:rsidRPr="001A4D8C" w:rsidRDefault="001A4D8C" w:rsidP="001A4D8C">
      <w:pPr>
        <w:rPr>
          <w:lang w:val="fr-FR"/>
        </w:rPr>
      </w:pPr>
    </w:p>
    <w:p w:rsidR="001A4D8C" w:rsidRPr="00BD7D16" w:rsidRDefault="001A4D8C" w:rsidP="00F34699">
      <w:pPr>
        <w:pStyle w:val="Level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1A4D8C">
        <w:rPr>
          <w:rFonts w:ascii="Arial" w:hAnsi="Arial" w:cs="Arial"/>
          <w:sz w:val="22"/>
          <w:szCs w:val="22"/>
          <w:lang w:val="fr-FR"/>
        </w:rPr>
        <w:t>1.</w:t>
      </w:r>
      <w:r w:rsidRPr="001A4D8C">
        <w:rPr>
          <w:rFonts w:ascii="Arial" w:hAnsi="Arial" w:cs="Arial"/>
          <w:sz w:val="22"/>
          <w:szCs w:val="22"/>
          <w:lang w:val="fr-FR"/>
        </w:rPr>
        <w:tab/>
        <w:t xml:space="preserve">Conformément aux dispositions de l’Article XI de la Convention, </w:t>
      </w:r>
      <w:r w:rsidR="00BD7D16">
        <w:rPr>
          <w:rFonts w:ascii="Arial" w:hAnsi="Arial" w:cs="Arial"/>
          <w:sz w:val="22"/>
          <w:szCs w:val="22"/>
          <w:lang w:val="fr-FR"/>
        </w:rPr>
        <w:t xml:space="preserve">le Secrétariat a </w:t>
      </w:r>
      <w:proofErr w:type="spellStart"/>
      <w:r w:rsidR="00BD7D16">
        <w:rPr>
          <w:rFonts w:ascii="Arial" w:hAnsi="Arial" w:cs="Arial"/>
          <w:sz w:val="22"/>
          <w:szCs w:val="22"/>
          <w:lang w:val="fr-FR"/>
        </w:rPr>
        <w:t>recu</w:t>
      </w:r>
      <w:proofErr w:type="spellEnd"/>
      <w:r w:rsidR="00BD7D16">
        <w:rPr>
          <w:rFonts w:ascii="Arial" w:hAnsi="Arial" w:cs="Arial"/>
          <w:sz w:val="22"/>
          <w:szCs w:val="22"/>
          <w:lang w:val="fr-FR"/>
        </w:rPr>
        <w:t xml:space="preserve"> </w:t>
      </w:r>
      <w:r w:rsidRPr="001A4D8C">
        <w:rPr>
          <w:rFonts w:ascii="Arial" w:hAnsi="Arial" w:cs="Arial"/>
          <w:sz w:val="22"/>
          <w:szCs w:val="22"/>
          <w:lang w:val="fr-FR"/>
        </w:rPr>
        <w:t>des propositions d’amendement des Annexes I et II de la Convention, qui seront étudiées lors de la 1</w:t>
      </w:r>
      <w:r w:rsidR="00BD7D16">
        <w:rPr>
          <w:rFonts w:ascii="Arial" w:hAnsi="Arial" w:cs="Arial"/>
          <w:sz w:val="22"/>
          <w:szCs w:val="22"/>
          <w:lang w:val="fr-FR"/>
        </w:rPr>
        <w:t>2</w:t>
      </w:r>
      <w:r w:rsidRPr="001A4D8C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1A4D8C">
        <w:rPr>
          <w:rFonts w:ascii="Arial" w:hAnsi="Arial" w:cs="Arial"/>
          <w:sz w:val="22"/>
          <w:szCs w:val="22"/>
          <w:lang w:val="fr-FR"/>
        </w:rPr>
        <w:t xml:space="preserve"> Réunion de la Conférence des</w:t>
      </w:r>
      <w:r w:rsidR="00BD7D16">
        <w:rPr>
          <w:rFonts w:ascii="Arial" w:hAnsi="Arial" w:cs="Arial"/>
          <w:sz w:val="22"/>
          <w:szCs w:val="22"/>
          <w:lang w:val="fr-FR"/>
        </w:rPr>
        <w:t xml:space="preserve"> Parties (COP12). </w:t>
      </w:r>
      <w:r w:rsidR="00BD7D16" w:rsidRPr="00BD7D16">
        <w:rPr>
          <w:rFonts w:ascii="Arial" w:hAnsi="Arial" w:cs="Arial"/>
          <w:sz w:val="22"/>
          <w:szCs w:val="22"/>
          <w:lang w:val="fr-FR"/>
        </w:rPr>
        <w:t>Les espèces couvertes par les propositions figurent dans le tableau figurant à l'annexe 1 du présent document, ainsi que les parties qui proposent l'amendement. Les parties ont été informées des propositions reçues dans le cadre de la notification 2017/010 du 31 mai 2017.</w:t>
      </w:r>
    </w:p>
    <w:p w:rsidR="001A4D8C" w:rsidRPr="001A4D8C" w:rsidRDefault="001A4D8C" w:rsidP="00F34699">
      <w:pPr>
        <w:pStyle w:val="Level1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BD7D16" w:rsidRPr="00BD7D16" w:rsidRDefault="001A4D8C" w:rsidP="00F34699">
      <w:pPr>
        <w:pStyle w:val="Level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BD7D16">
        <w:rPr>
          <w:rFonts w:ascii="Arial" w:hAnsi="Arial" w:cs="Arial"/>
          <w:sz w:val="22"/>
          <w:szCs w:val="22"/>
          <w:lang w:val="fr-FR"/>
        </w:rPr>
        <w:t>2.</w:t>
      </w:r>
      <w:r w:rsidRPr="00BD7D16">
        <w:rPr>
          <w:rFonts w:ascii="Arial" w:hAnsi="Arial" w:cs="Arial"/>
          <w:sz w:val="22"/>
          <w:szCs w:val="22"/>
          <w:lang w:val="fr-FR"/>
        </w:rPr>
        <w:tab/>
      </w:r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Les propositions d'amendement mentionnées </w:t>
      </w:r>
      <w:r w:rsidR="00BD7D16">
        <w:rPr>
          <w:rFonts w:ascii="Arial" w:hAnsi="Arial" w:cs="Arial"/>
          <w:sz w:val="22"/>
          <w:szCs w:val="22"/>
          <w:lang w:val="fr-FR"/>
        </w:rPr>
        <w:t xml:space="preserve">ci-dessus </w:t>
      </w:r>
      <w:r w:rsidR="00BD7D16" w:rsidRPr="00BD7D16">
        <w:rPr>
          <w:rFonts w:ascii="Arial" w:hAnsi="Arial" w:cs="Arial"/>
          <w:sz w:val="22"/>
          <w:szCs w:val="22"/>
          <w:lang w:val="fr-FR"/>
        </w:rPr>
        <w:t>sont accompagnées d</w:t>
      </w:r>
      <w:r w:rsidR="00BD7D16">
        <w:rPr>
          <w:rFonts w:ascii="Arial" w:hAnsi="Arial" w:cs="Arial"/>
          <w:sz w:val="22"/>
          <w:szCs w:val="22"/>
          <w:lang w:val="fr-FR"/>
        </w:rPr>
        <w:t>’un argumentaire présenté selon</w:t>
      </w:r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 le format convenu par le Comité permanent de la CMS lors de sa 45e réunion (Bonn, 9-10 novembre 2016). Le</w:t>
      </w:r>
      <w:r w:rsidR="00BD7D16">
        <w:rPr>
          <w:rFonts w:ascii="Arial" w:hAnsi="Arial" w:cs="Arial"/>
          <w:sz w:val="22"/>
          <w:szCs w:val="22"/>
          <w:lang w:val="fr-FR"/>
        </w:rPr>
        <w:t xml:space="preserve"> texte intégral</w:t>
      </w:r>
      <w:r w:rsidR="00AD2733">
        <w:rPr>
          <w:rFonts w:ascii="Arial" w:hAnsi="Arial" w:cs="Arial"/>
          <w:sz w:val="22"/>
          <w:szCs w:val="22"/>
          <w:lang w:val="fr-FR"/>
        </w:rPr>
        <w:t xml:space="preserve"> relatifs aux éléments justifiant les propositions est soumis à </w:t>
      </w:r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la COP12 </w:t>
      </w:r>
      <w:r w:rsidR="00AD2733">
        <w:rPr>
          <w:rFonts w:ascii="Arial" w:hAnsi="Arial" w:cs="Arial"/>
          <w:sz w:val="22"/>
          <w:szCs w:val="22"/>
          <w:lang w:val="fr-FR"/>
        </w:rPr>
        <w:t xml:space="preserve">dans des </w:t>
      </w:r>
      <w:r w:rsidR="00BD7D16" w:rsidRPr="00BD7D16">
        <w:rPr>
          <w:rFonts w:ascii="Arial" w:hAnsi="Arial" w:cs="Arial"/>
          <w:sz w:val="22"/>
          <w:szCs w:val="22"/>
          <w:lang w:val="fr-FR"/>
        </w:rPr>
        <w:t>documents distincts (UNEP/CMS/COP12/Doc.25.</w:t>
      </w:r>
      <w:proofErr w:type="gramStart"/>
      <w:r w:rsidR="00BD7D16" w:rsidRPr="00BD7D16">
        <w:rPr>
          <w:rFonts w:ascii="Arial" w:hAnsi="Arial" w:cs="Arial"/>
          <w:sz w:val="22"/>
          <w:szCs w:val="22"/>
          <w:lang w:val="fr-FR"/>
        </w:rPr>
        <w:t>1.xx</w:t>
      </w:r>
      <w:proofErr w:type="gramEnd"/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). Les textes des propositions sont traduits </w:t>
      </w:r>
      <w:r w:rsidR="00AD2733">
        <w:rPr>
          <w:rFonts w:ascii="Arial" w:hAnsi="Arial" w:cs="Arial"/>
          <w:sz w:val="22"/>
          <w:szCs w:val="22"/>
          <w:lang w:val="fr-FR"/>
        </w:rPr>
        <w:t>de manière sélective</w:t>
      </w:r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 dans les langues de travail de la Conférence des Parties, comme indiqué dans le tableau figurant à l'Annexe 1 du présent document.</w:t>
      </w:r>
    </w:p>
    <w:p w:rsidR="001A4D8C" w:rsidRPr="00BD7D16" w:rsidRDefault="001A4D8C" w:rsidP="00F34699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1A4D8C" w:rsidRPr="00BD7D16" w:rsidRDefault="001A4D8C" w:rsidP="00F34699">
      <w:p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  <w:r w:rsidRPr="001A4D8C">
        <w:rPr>
          <w:rFonts w:ascii="Arial" w:hAnsi="Arial" w:cs="Arial"/>
          <w:sz w:val="22"/>
          <w:szCs w:val="22"/>
          <w:lang w:val="fr-FR"/>
        </w:rPr>
        <w:t>3.</w:t>
      </w:r>
      <w:r w:rsidRPr="001A4D8C">
        <w:rPr>
          <w:rFonts w:ascii="Arial" w:hAnsi="Arial" w:cs="Arial"/>
          <w:sz w:val="22"/>
          <w:szCs w:val="22"/>
          <w:lang w:val="fr-FR"/>
        </w:rPr>
        <w:tab/>
      </w:r>
      <w:r w:rsidR="00BD7D16" w:rsidRPr="00BD7D16">
        <w:rPr>
          <w:rFonts w:ascii="Arial" w:hAnsi="Arial" w:cs="Arial"/>
          <w:sz w:val="22"/>
          <w:szCs w:val="22"/>
          <w:lang w:val="fr-FR"/>
        </w:rPr>
        <w:t>Pour quelques espèces (</w:t>
      </w:r>
      <w:r w:rsidR="00BD7D16" w:rsidRPr="00BD7D16">
        <w:rPr>
          <w:rFonts w:ascii="Arial" w:hAnsi="Arial" w:cs="Arial"/>
          <w:i/>
          <w:sz w:val="22"/>
          <w:szCs w:val="22"/>
          <w:lang w:val="fr-FR"/>
        </w:rPr>
        <w:t xml:space="preserve">Equus africanus, Aquila </w:t>
      </w:r>
      <w:proofErr w:type="spellStart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nipalensis</w:t>
      </w:r>
      <w:proofErr w:type="spellEnd"/>
      <w:r w:rsidR="00BD7D16" w:rsidRPr="00BD7D16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Torgos</w:t>
      </w:r>
      <w:proofErr w:type="spellEnd"/>
      <w:r w:rsidR="00BD7D16" w:rsidRPr="00BD7D1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tracheliotos</w:t>
      </w:r>
      <w:proofErr w:type="spellEnd"/>
      <w:r w:rsidR="00BD7D16" w:rsidRPr="00BD7D16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Rhinobatos</w:t>
      </w:r>
      <w:proofErr w:type="spellEnd"/>
      <w:r w:rsidR="00BD7D16" w:rsidRPr="00BD7D1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rhinobatos</w:t>
      </w:r>
      <w:proofErr w:type="spellEnd"/>
      <w:r w:rsidR="00BD7D16" w:rsidRPr="00BD7D16">
        <w:rPr>
          <w:rFonts w:ascii="Arial" w:hAnsi="Arial" w:cs="Arial"/>
          <w:i/>
          <w:sz w:val="22"/>
          <w:szCs w:val="22"/>
          <w:lang w:val="fr-FR"/>
        </w:rPr>
        <w:t>)</w:t>
      </w:r>
      <w:r w:rsidR="00BD7D16" w:rsidRPr="00BD7D16">
        <w:rPr>
          <w:rFonts w:ascii="Arial" w:hAnsi="Arial" w:cs="Arial"/>
          <w:sz w:val="22"/>
          <w:szCs w:val="22"/>
          <w:lang w:val="fr-FR"/>
        </w:rPr>
        <w:t>, des propositions ont été soumises de manière indépenda</w:t>
      </w:r>
      <w:r w:rsidR="00BD7D16">
        <w:rPr>
          <w:rFonts w:ascii="Arial" w:hAnsi="Arial" w:cs="Arial"/>
          <w:sz w:val="22"/>
          <w:szCs w:val="22"/>
          <w:lang w:val="fr-FR"/>
        </w:rPr>
        <w:t>nte par différentes Parties. Elles</w:t>
      </w:r>
      <w:r w:rsidR="00BD7D16" w:rsidRPr="00BD7D16">
        <w:rPr>
          <w:rFonts w:ascii="Arial" w:hAnsi="Arial" w:cs="Arial"/>
          <w:sz w:val="22"/>
          <w:szCs w:val="22"/>
          <w:lang w:val="fr-FR"/>
        </w:rPr>
        <w:t xml:space="preserve"> sont indiqué</w:t>
      </w:r>
      <w:r w:rsidR="00BD7D16">
        <w:rPr>
          <w:rFonts w:ascii="Arial" w:hAnsi="Arial" w:cs="Arial"/>
          <w:sz w:val="22"/>
          <w:szCs w:val="22"/>
          <w:lang w:val="fr-FR"/>
        </w:rPr>
        <w:t>e</w:t>
      </w:r>
      <w:r w:rsidR="00BD7D16" w:rsidRPr="00BD7D16">
        <w:rPr>
          <w:rFonts w:ascii="Arial" w:hAnsi="Arial" w:cs="Arial"/>
          <w:sz w:val="22"/>
          <w:szCs w:val="22"/>
          <w:lang w:val="fr-FR"/>
        </w:rPr>
        <w:t>s comme des propositions distinctes à l'Annexe 1, et seront inclu</w:t>
      </w:r>
      <w:r w:rsidR="00BD7D16">
        <w:rPr>
          <w:rFonts w:ascii="Arial" w:hAnsi="Arial" w:cs="Arial"/>
          <w:sz w:val="22"/>
          <w:szCs w:val="22"/>
          <w:lang w:val="fr-FR"/>
        </w:rPr>
        <w:t>e</w:t>
      </w:r>
      <w:r w:rsidR="00BD7D16" w:rsidRPr="00BD7D16">
        <w:rPr>
          <w:rFonts w:ascii="Arial" w:hAnsi="Arial" w:cs="Arial"/>
          <w:sz w:val="22"/>
          <w:szCs w:val="22"/>
          <w:lang w:val="fr-FR"/>
        </w:rPr>
        <w:t>s comme documents distincts dans la documentation de la COP12.</w:t>
      </w:r>
    </w:p>
    <w:p w:rsidR="001A4D8C" w:rsidRPr="001A4D8C" w:rsidRDefault="001A4D8C" w:rsidP="00F34699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D2733" w:rsidRDefault="001A4D8C" w:rsidP="00F34699">
      <w:pPr>
        <w:pStyle w:val="Level1"/>
        <w:numPr>
          <w:ilvl w:val="0"/>
          <w:numId w:val="0"/>
        </w:num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  <w:r w:rsidRPr="001A4D8C">
        <w:rPr>
          <w:rFonts w:ascii="Arial" w:hAnsi="Arial" w:cs="Arial"/>
          <w:sz w:val="22"/>
          <w:szCs w:val="22"/>
          <w:lang w:val="fr-FR"/>
        </w:rPr>
        <w:t>4.</w:t>
      </w:r>
      <w:r w:rsidRPr="001A4D8C">
        <w:rPr>
          <w:rFonts w:ascii="Arial" w:hAnsi="Arial" w:cs="Arial"/>
          <w:sz w:val="22"/>
          <w:szCs w:val="22"/>
          <w:lang w:val="fr-FR"/>
        </w:rPr>
        <w:tab/>
      </w:r>
      <w:r w:rsidR="00AD2733" w:rsidRPr="00AD2733">
        <w:rPr>
          <w:rFonts w:ascii="Arial" w:hAnsi="Arial" w:cs="Arial"/>
          <w:sz w:val="22"/>
          <w:szCs w:val="22"/>
          <w:lang w:val="fr-FR"/>
        </w:rPr>
        <w:t xml:space="preserve">Conformément à l’article XI, paragraphe 3, de la Convention, les Parties sont priées de faire part au Secrétariat de leurs commentaires sur les propositions pour le </w:t>
      </w:r>
      <w:r w:rsidR="00AD2733">
        <w:rPr>
          <w:rFonts w:ascii="Arial" w:hAnsi="Arial" w:cs="Arial"/>
          <w:sz w:val="22"/>
          <w:szCs w:val="22"/>
          <w:lang w:val="fr-FR"/>
        </w:rPr>
        <w:t>23 août 2017</w:t>
      </w:r>
      <w:r w:rsidR="00AD2733" w:rsidRPr="00AD2733">
        <w:rPr>
          <w:rFonts w:ascii="Arial" w:hAnsi="Arial" w:cs="Arial"/>
          <w:sz w:val="22"/>
          <w:szCs w:val="22"/>
          <w:lang w:val="fr-FR"/>
        </w:rPr>
        <w:t xml:space="preserve">. </w:t>
      </w:r>
      <w:r w:rsidR="00AD2733">
        <w:rPr>
          <w:rFonts w:ascii="Arial" w:hAnsi="Arial" w:cs="Arial"/>
          <w:sz w:val="22"/>
          <w:szCs w:val="22"/>
          <w:lang w:val="fr-FR"/>
        </w:rPr>
        <w:t>Tous l</w:t>
      </w:r>
      <w:r w:rsidR="00AD2733" w:rsidRPr="00AD2733">
        <w:rPr>
          <w:rFonts w:ascii="Arial" w:hAnsi="Arial" w:cs="Arial"/>
          <w:sz w:val="22"/>
          <w:szCs w:val="22"/>
          <w:lang w:val="fr-FR"/>
        </w:rPr>
        <w:t xml:space="preserve">es commentaires reçus pour la date limite du </w:t>
      </w:r>
      <w:r w:rsidR="00AD2733">
        <w:rPr>
          <w:rFonts w:ascii="Arial" w:hAnsi="Arial" w:cs="Arial"/>
          <w:sz w:val="22"/>
          <w:szCs w:val="22"/>
          <w:lang w:val="fr-FR"/>
        </w:rPr>
        <w:t>23 août 2017</w:t>
      </w:r>
      <w:r w:rsidR="00AD2733" w:rsidRPr="00AD2733">
        <w:rPr>
          <w:rFonts w:ascii="Arial" w:hAnsi="Arial" w:cs="Arial"/>
          <w:sz w:val="22"/>
          <w:szCs w:val="22"/>
          <w:lang w:val="fr-FR"/>
        </w:rPr>
        <w:t xml:space="preserve"> seront compilés par le Secrétariat sous la forme d’un addendum au présent document</w:t>
      </w:r>
      <w:r w:rsidR="00AD2733">
        <w:rPr>
          <w:rFonts w:ascii="Arial" w:hAnsi="Arial" w:cs="Arial"/>
          <w:sz w:val="22"/>
          <w:szCs w:val="22"/>
          <w:lang w:val="fr-FR"/>
        </w:rPr>
        <w:t>.</w:t>
      </w:r>
    </w:p>
    <w:p w:rsidR="00AD2733" w:rsidRDefault="00AD2733" w:rsidP="00F34699">
      <w:pPr>
        <w:pStyle w:val="Level1"/>
        <w:numPr>
          <w:ilvl w:val="0"/>
          <w:numId w:val="0"/>
        </w:num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</w:p>
    <w:p w:rsidR="00AD2733" w:rsidRDefault="00AD2733" w:rsidP="00F34699">
      <w:pPr>
        <w:pStyle w:val="Level1"/>
        <w:numPr>
          <w:ilvl w:val="0"/>
          <w:numId w:val="0"/>
        </w:numPr>
        <w:tabs>
          <w:tab w:val="left" w:pos="567"/>
        </w:tabs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5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AD2733">
        <w:rPr>
          <w:rFonts w:ascii="Arial" w:hAnsi="Arial" w:cs="Arial"/>
          <w:sz w:val="22"/>
          <w:szCs w:val="22"/>
          <w:lang w:val="fr-FR"/>
        </w:rPr>
        <w:t>Toutes les propositions seront examinée</w:t>
      </w:r>
      <w:r>
        <w:rPr>
          <w:rFonts w:ascii="Arial" w:hAnsi="Arial" w:cs="Arial"/>
          <w:sz w:val="22"/>
          <w:szCs w:val="22"/>
          <w:lang w:val="fr-FR"/>
        </w:rPr>
        <w:t>s lors de la 2</w:t>
      </w:r>
      <w:r w:rsidRPr="00AD2733">
        <w:rPr>
          <w:rFonts w:ascii="Arial" w:hAnsi="Arial" w:cs="Arial"/>
          <w:sz w:val="22"/>
          <w:szCs w:val="22"/>
          <w:lang w:val="fr-FR"/>
        </w:rPr>
        <w:t>e réunion du Comité de session du Conseil scientifique de la CMS (Bonn, 10-13 juillet 2017), qui les évaluera du point de vue scientifique et technique et fournira des conseils à la Conférence des Parties concernant les amendements proposés.</w:t>
      </w: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AD2733">
        <w:rPr>
          <w:rFonts w:ascii="Arial" w:hAnsi="Arial" w:cs="Arial"/>
          <w:sz w:val="22"/>
          <w:szCs w:val="22"/>
          <w:u w:val="single"/>
          <w:lang w:val="fr-FR"/>
        </w:rPr>
        <w:t>Actions recommandées :</w:t>
      </w: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AD2733" w:rsidRP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lang w:val="fr-FR"/>
        </w:rPr>
      </w:pPr>
      <w:r w:rsidRPr="00AD2733">
        <w:rPr>
          <w:rFonts w:ascii="Arial" w:hAnsi="Arial" w:cs="Arial"/>
          <w:sz w:val="22"/>
          <w:szCs w:val="22"/>
          <w:lang w:val="fr-FR"/>
        </w:rPr>
        <w:t>La Conférence des Parties est invitée à :</w:t>
      </w: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AD2733" w:rsidRPr="00AD2733" w:rsidRDefault="00AD2733" w:rsidP="00AD2733">
      <w:pPr>
        <w:pStyle w:val="ListParagraph"/>
        <w:widowControl/>
        <w:numPr>
          <w:ilvl w:val="0"/>
          <w:numId w:val="38"/>
        </w:numPr>
        <w:autoSpaceDE/>
        <w:autoSpaceDN/>
        <w:adjustRightInd/>
        <w:ind w:hanging="720"/>
        <w:jc w:val="both"/>
        <w:rPr>
          <w:rFonts w:ascii="Arial" w:hAnsi="Arial" w:cs="Arial"/>
          <w:sz w:val="22"/>
          <w:szCs w:val="22"/>
          <w:lang w:val="fr-FR"/>
        </w:rPr>
      </w:pPr>
      <w:r w:rsidRPr="00AD2733">
        <w:rPr>
          <w:rFonts w:ascii="Arial" w:hAnsi="Arial" w:cs="Arial"/>
          <w:sz w:val="22"/>
          <w:szCs w:val="22"/>
          <w:lang w:val="fr-FR"/>
        </w:rPr>
        <w:t>Examiner les propositions d'amendements aux Annexes.</w:t>
      </w:r>
    </w:p>
    <w:p w:rsidR="00AD2733" w:rsidRPr="00AD2733" w:rsidRDefault="00AD2733" w:rsidP="00AD2733">
      <w:pPr>
        <w:pStyle w:val="ListParagraph"/>
        <w:widowControl/>
        <w:autoSpaceDE/>
        <w:autoSpaceDN/>
        <w:adjustRightInd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AD2733" w:rsidRPr="00AD2733" w:rsidRDefault="00AD2733" w:rsidP="00AD2733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 w:rsidRPr="00AD2733">
        <w:rPr>
          <w:rFonts w:ascii="Arial" w:hAnsi="Arial" w:cs="Arial"/>
          <w:sz w:val="22"/>
          <w:szCs w:val="22"/>
          <w:lang w:val="fr-FR"/>
        </w:rPr>
        <w:t>Prendre des décisions en ce qui concerne l'adoption ou le rejet</w:t>
      </w:r>
      <w:r>
        <w:rPr>
          <w:rFonts w:ascii="Arial" w:hAnsi="Arial" w:cs="Arial"/>
          <w:sz w:val="22"/>
          <w:szCs w:val="22"/>
          <w:lang w:val="fr-FR"/>
        </w:rPr>
        <w:t xml:space="preserve"> de chaque proposition</w:t>
      </w:r>
      <w:r w:rsidRPr="00AD2733">
        <w:rPr>
          <w:rFonts w:ascii="Arial" w:hAnsi="Arial" w:cs="Arial"/>
          <w:sz w:val="22"/>
          <w:szCs w:val="22"/>
          <w:lang w:val="fr-FR"/>
        </w:rPr>
        <w:t>.</w:t>
      </w:r>
    </w:p>
    <w:p w:rsidR="00AD2733" w:rsidRPr="00AD2733" w:rsidRDefault="00AD2733" w:rsidP="00AD2733">
      <w:pPr>
        <w:pStyle w:val="Title"/>
        <w:jc w:val="right"/>
        <w:rPr>
          <w:sz w:val="22"/>
          <w:lang w:val="fr-FR"/>
        </w:rPr>
        <w:sectPr w:rsidR="00AD2733" w:rsidRPr="00AD2733" w:rsidSect="00C242E1"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418" w:right="1418" w:bottom="1418" w:left="1418" w:header="510" w:footer="510" w:gutter="0"/>
          <w:cols w:space="720"/>
          <w:noEndnote/>
          <w:titlePg/>
        </w:sectPr>
      </w:pPr>
    </w:p>
    <w:p w:rsidR="00AD2733" w:rsidRPr="00C242E1" w:rsidRDefault="00AD2733" w:rsidP="00AD2733">
      <w:pPr>
        <w:widowControl/>
        <w:autoSpaceDE/>
        <w:adjustRightInd/>
        <w:jc w:val="right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C242E1">
        <w:rPr>
          <w:rFonts w:ascii="Arial" w:hAnsi="Arial" w:cs="Arial"/>
          <w:b/>
          <w:caps/>
          <w:sz w:val="22"/>
          <w:szCs w:val="22"/>
          <w:lang w:val="fr-FR"/>
        </w:rPr>
        <w:lastRenderedPageBreak/>
        <w:t>AnnexE 1</w:t>
      </w:r>
    </w:p>
    <w:p w:rsidR="00AD2733" w:rsidRPr="00C242E1" w:rsidRDefault="00AD2733" w:rsidP="00AD2733">
      <w:pPr>
        <w:rPr>
          <w:rFonts w:ascii="Arial" w:hAnsi="Arial" w:cs="Arial"/>
          <w:sz w:val="22"/>
          <w:szCs w:val="22"/>
          <w:lang w:val="fr-FR"/>
        </w:rPr>
      </w:pPr>
    </w:p>
    <w:p w:rsidR="00AD2733" w:rsidRPr="00C242E1" w:rsidRDefault="00AD2733" w:rsidP="00AD2733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AD2733" w:rsidRPr="00C242E1" w:rsidRDefault="00AD2733" w:rsidP="00AD27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 w:rsidRPr="00C242E1">
        <w:rPr>
          <w:rFonts w:ascii="Arial" w:hAnsi="Arial" w:cs="Arial"/>
          <w:b/>
          <w:caps/>
          <w:sz w:val="22"/>
          <w:szCs w:val="22"/>
          <w:lang w:val="fr-FR"/>
        </w:rPr>
        <w:t>RÉSUMÉ DES PROPOSITIONS D’AMENDEMENT</w:t>
      </w:r>
    </w:p>
    <w:p w:rsidR="00AD2733" w:rsidRPr="00C242E1" w:rsidRDefault="00C242E1" w:rsidP="00AD27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>
        <w:rPr>
          <w:rFonts w:ascii="Arial" w:hAnsi="Arial" w:cs="Arial"/>
          <w:b/>
          <w:caps/>
          <w:sz w:val="22"/>
          <w:szCs w:val="22"/>
          <w:lang w:val="fr-FR"/>
        </w:rPr>
        <w:t>AUX</w:t>
      </w:r>
      <w:r w:rsidR="00AD2733" w:rsidRPr="00C242E1">
        <w:rPr>
          <w:rFonts w:ascii="Arial" w:hAnsi="Arial" w:cs="Arial"/>
          <w:b/>
          <w:caps/>
          <w:sz w:val="22"/>
          <w:szCs w:val="22"/>
          <w:lang w:val="fr-FR"/>
        </w:rPr>
        <w:t xml:space="preserve"> ANNEXES I ET II DE LA CONVENTION</w:t>
      </w:r>
    </w:p>
    <w:p w:rsidR="00AD2733" w:rsidRPr="00C242E1" w:rsidRDefault="00AD2733" w:rsidP="00AD27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AD2733" w:rsidRPr="00C242E1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i/>
          <w:sz w:val="22"/>
          <w:szCs w:val="22"/>
          <w:lang w:val="fr-FR"/>
        </w:rPr>
        <w:t>S</w:t>
      </w:r>
      <w:r w:rsidR="00C242E1" w:rsidRPr="00C242E1">
        <w:rPr>
          <w:rFonts w:ascii="Arial" w:hAnsi="Arial" w:cs="Arial"/>
          <w:i/>
          <w:sz w:val="22"/>
          <w:szCs w:val="22"/>
          <w:lang w:val="fr-FR"/>
        </w:rPr>
        <w:t>oumis par</w:t>
      </w:r>
    </w:p>
    <w:p w:rsidR="00AD2733" w:rsidRPr="00C242E1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</w:p>
    <w:p w:rsidR="00AD2733" w:rsidRPr="00C242E1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 xml:space="preserve">Angola </w:t>
      </w:r>
      <w:r w:rsidRPr="00F34699">
        <w:rPr>
          <w:rFonts w:ascii="Arial" w:hAnsi="Arial" w:cs="Arial"/>
          <w:sz w:val="22"/>
          <w:szCs w:val="22"/>
          <w:lang w:val="fr-FR"/>
        </w:rPr>
        <w:tab/>
      </w:r>
      <w:r w:rsidRPr="00F34699">
        <w:rPr>
          <w:rFonts w:ascii="Arial" w:hAnsi="Arial" w:cs="Arial"/>
          <w:sz w:val="22"/>
          <w:szCs w:val="22"/>
          <w:lang w:val="fr-FR"/>
        </w:rPr>
        <w:tab/>
        <w:t>(AGO)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>Arabie Saoudite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(SAU)</w:t>
      </w:r>
    </w:p>
    <w:p w:rsidR="00AD2733" w:rsidRPr="00C242E1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proofErr w:type="spellStart"/>
      <w:r w:rsidRPr="00C242E1">
        <w:rPr>
          <w:rFonts w:ascii="Arial" w:hAnsi="Arial" w:cs="Arial"/>
          <w:sz w:val="22"/>
          <w:szCs w:val="22"/>
          <w:lang w:val="fr-FR"/>
        </w:rPr>
        <w:t>Eritrée</w:t>
      </w:r>
      <w:proofErr w:type="spellEnd"/>
      <w:r w:rsidR="00AD2733" w:rsidRPr="00C242E1">
        <w:rPr>
          <w:rFonts w:ascii="Arial" w:hAnsi="Arial" w:cs="Arial"/>
          <w:sz w:val="22"/>
          <w:szCs w:val="22"/>
          <w:lang w:val="fr-FR"/>
        </w:rPr>
        <w:tab/>
      </w:r>
      <w:r w:rsidR="00AD2733" w:rsidRPr="00C242E1">
        <w:rPr>
          <w:rFonts w:ascii="Arial" w:hAnsi="Arial" w:cs="Arial"/>
          <w:sz w:val="22"/>
          <w:szCs w:val="22"/>
          <w:lang w:val="fr-FR"/>
        </w:rPr>
        <w:tab/>
        <w:t>(ERI)</w:t>
      </w:r>
    </w:p>
    <w:p w:rsidR="00AD2733" w:rsidRPr="00C242E1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>Ethiopie</w:t>
      </w:r>
      <w:r w:rsidR="00AD2733" w:rsidRPr="00C242E1">
        <w:rPr>
          <w:rFonts w:ascii="Arial" w:hAnsi="Arial" w:cs="Arial"/>
          <w:sz w:val="22"/>
          <w:szCs w:val="22"/>
          <w:lang w:val="fr-FR"/>
        </w:rPr>
        <w:tab/>
      </w:r>
      <w:r w:rsidR="00AD2733" w:rsidRPr="00C242E1">
        <w:rPr>
          <w:rFonts w:ascii="Arial" w:hAnsi="Arial" w:cs="Arial"/>
          <w:sz w:val="22"/>
          <w:szCs w:val="22"/>
          <w:lang w:val="fr-FR"/>
        </w:rPr>
        <w:tab/>
        <w:t>(ETH)</w:t>
      </w: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 xml:space="preserve">Ghana </w:t>
      </w:r>
      <w:r w:rsidRPr="00F34699">
        <w:rPr>
          <w:rFonts w:ascii="Arial" w:hAnsi="Arial" w:cs="Arial"/>
          <w:sz w:val="22"/>
          <w:szCs w:val="22"/>
          <w:lang w:val="fr-FR"/>
        </w:rPr>
        <w:tab/>
      </w:r>
      <w:r w:rsidRPr="00F34699">
        <w:rPr>
          <w:rFonts w:ascii="Arial" w:hAnsi="Arial" w:cs="Arial"/>
          <w:sz w:val="22"/>
          <w:szCs w:val="22"/>
          <w:lang w:val="fr-FR"/>
        </w:rPr>
        <w:tab/>
        <w:t>(GHA)</w:t>
      </w: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 xml:space="preserve">Honduras </w:t>
      </w:r>
      <w:r w:rsidRPr="00F34699">
        <w:rPr>
          <w:rFonts w:ascii="Arial" w:hAnsi="Arial" w:cs="Arial"/>
          <w:sz w:val="22"/>
          <w:szCs w:val="22"/>
          <w:lang w:val="fr-FR"/>
        </w:rPr>
        <w:tab/>
      </w:r>
      <w:r w:rsidRPr="00F34699">
        <w:rPr>
          <w:rFonts w:ascii="Arial" w:hAnsi="Arial" w:cs="Arial"/>
          <w:sz w:val="22"/>
          <w:szCs w:val="22"/>
          <w:lang w:val="fr-FR"/>
        </w:rPr>
        <w:tab/>
        <w:t>(HND)</w:t>
      </w:r>
    </w:p>
    <w:p w:rsidR="00AD2733" w:rsidRPr="00AD2733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AD2733">
        <w:rPr>
          <w:rFonts w:ascii="Arial" w:hAnsi="Arial" w:cs="Arial"/>
          <w:sz w:val="22"/>
          <w:szCs w:val="22"/>
          <w:lang w:val="es-ES"/>
        </w:rPr>
        <w:t xml:space="preserve">Israel </w:t>
      </w:r>
      <w:r w:rsidRPr="00AD2733">
        <w:rPr>
          <w:rFonts w:ascii="Arial" w:hAnsi="Arial" w:cs="Arial"/>
          <w:sz w:val="22"/>
          <w:szCs w:val="22"/>
          <w:lang w:val="es-ES"/>
        </w:rPr>
        <w:tab/>
      </w:r>
      <w:r w:rsidRPr="00AD2733">
        <w:rPr>
          <w:rFonts w:ascii="Arial" w:hAnsi="Arial" w:cs="Arial"/>
          <w:sz w:val="22"/>
          <w:szCs w:val="22"/>
          <w:lang w:val="es-ES"/>
        </w:rPr>
        <w:tab/>
        <w:t>(ISR)</w:t>
      </w:r>
    </w:p>
    <w:p w:rsidR="00AD2733" w:rsidRPr="00AD2733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AD2733">
        <w:rPr>
          <w:rFonts w:ascii="Arial" w:hAnsi="Arial" w:cs="Arial"/>
          <w:sz w:val="22"/>
          <w:szCs w:val="22"/>
          <w:lang w:val="es-ES"/>
        </w:rPr>
        <w:t>Kenya</w:t>
      </w:r>
      <w:proofErr w:type="spellEnd"/>
      <w:r w:rsidRPr="00AD2733">
        <w:rPr>
          <w:rFonts w:ascii="Arial" w:hAnsi="Arial" w:cs="Arial"/>
          <w:sz w:val="22"/>
          <w:szCs w:val="22"/>
          <w:lang w:val="es-ES"/>
        </w:rPr>
        <w:t xml:space="preserve"> </w:t>
      </w:r>
      <w:r w:rsidRPr="00AD2733">
        <w:rPr>
          <w:rFonts w:ascii="Arial" w:hAnsi="Arial" w:cs="Arial"/>
          <w:sz w:val="22"/>
          <w:szCs w:val="22"/>
          <w:lang w:val="es-ES"/>
        </w:rPr>
        <w:tab/>
      </w:r>
      <w:r w:rsidRPr="00AD2733">
        <w:rPr>
          <w:rFonts w:ascii="Arial" w:hAnsi="Arial" w:cs="Arial"/>
          <w:sz w:val="22"/>
          <w:szCs w:val="22"/>
          <w:lang w:val="es-ES"/>
        </w:rPr>
        <w:tab/>
        <w:t>(KEN)</w:t>
      </w:r>
    </w:p>
    <w:p w:rsidR="00AD2733" w:rsidRPr="00AD2733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AD2733">
        <w:rPr>
          <w:rFonts w:ascii="Arial" w:hAnsi="Arial" w:cs="Arial"/>
          <w:sz w:val="22"/>
          <w:szCs w:val="22"/>
          <w:lang w:val="es-ES"/>
        </w:rPr>
        <w:t>Monaco</w:t>
      </w:r>
      <w:proofErr w:type="spellEnd"/>
      <w:r w:rsidRPr="00AD2733">
        <w:rPr>
          <w:rFonts w:ascii="Arial" w:hAnsi="Arial" w:cs="Arial"/>
          <w:sz w:val="22"/>
          <w:szCs w:val="22"/>
          <w:lang w:val="es-ES"/>
        </w:rPr>
        <w:t xml:space="preserve"> </w:t>
      </w:r>
      <w:r w:rsidRPr="00AD2733">
        <w:rPr>
          <w:rFonts w:ascii="Arial" w:hAnsi="Arial" w:cs="Arial"/>
          <w:sz w:val="22"/>
          <w:szCs w:val="22"/>
          <w:lang w:val="es-ES"/>
        </w:rPr>
        <w:tab/>
      </w:r>
      <w:r w:rsidRPr="00AD2733">
        <w:rPr>
          <w:rFonts w:ascii="Arial" w:hAnsi="Arial" w:cs="Arial"/>
          <w:sz w:val="22"/>
          <w:szCs w:val="22"/>
          <w:lang w:val="es-ES"/>
        </w:rPr>
        <w:tab/>
        <w:t>(MCO)</w:t>
      </w:r>
    </w:p>
    <w:p w:rsidR="00AD2733" w:rsidRPr="00F34699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de-DE"/>
        </w:rPr>
      </w:pPr>
      <w:r w:rsidRPr="00F34699">
        <w:rPr>
          <w:rFonts w:ascii="Arial" w:hAnsi="Arial" w:cs="Arial"/>
          <w:sz w:val="22"/>
          <w:szCs w:val="22"/>
          <w:lang w:val="de-DE"/>
        </w:rPr>
        <w:t>Mongolie</w:t>
      </w:r>
      <w:r w:rsidR="00AD2733" w:rsidRPr="00F34699">
        <w:rPr>
          <w:rFonts w:ascii="Arial" w:hAnsi="Arial" w:cs="Arial"/>
          <w:sz w:val="22"/>
          <w:szCs w:val="22"/>
          <w:lang w:val="de-DE"/>
        </w:rPr>
        <w:tab/>
      </w:r>
      <w:r w:rsidR="00AD2733" w:rsidRPr="00F34699">
        <w:rPr>
          <w:rFonts w:ascii="Arial" w:hAnsi="Arial" w:cs="Arial"/>
          <w:sz w:val="22"/>
          <w:szCs w:val="22"/>
          <w:lang w:val="de-DE"/>
        </w:rPr>
        <w:tab/>
        <w:t>(MNG)</w:t>
      </w:r>
    </w:p>
    <w:p w:rsidR="00AD2733" w:rsidRPr="00F34699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de-DE"/>
        </w:rPr>
      </w:pPr>
      <w:r w:rsidRPr="00F34699">
        <w:rPr>
          <w:rFonts w:ascii="Arial" w:hAnsi="Arial" w:cs="Arial"/>
          <w:sz w:val="22"/>
          <w:szCs w:val="22"/>
          <w:lang w:val="de-DE"/>
        </w:rPr>
        <w:t>Mauritanie</w:t>
      </w:r>
      <w:r w:rsidR="00AD2733" w:rsidRPr="00F34699">
        <w:rPr>
          <w:rFonts w:ascii="Arial" w:hAnsi="Arial" w:cs="Arial"/>
          <w:sz w:val="22"/>
          <w:szCs w:val="22"/>
          <w:lang w:val="de-DE"/>
        </w:rPr>
        <w:t xml:space="preserve"> </w:t>
      </w:r>
      <w:r w:rsidR="00AD2733" w:rsidRPr="00F34699">
        <w:rPr>
          <w:rFonts w:ascii="Arial" w:hAnsi="Arial" w:cs="Arial"/>
          <w:sz w:val="22"/>
          <w:szCs w:val="22"/>
          <w:lang w:val="de-DE"/>
        </w:rPr>
        <w:tab/>
      </w:r>
      <w:r w:rsidR="00AD2733" w:rsidRPr="00F34699">
        <w:rPr>
          <w:rFonts w:ascii="Arial" w:hAnsi="Arial" w:cs="Arial"/>
          <w:sz w:val="22"/>
          <w:szCs w:val="22"/>
          <w:lang w:val="de-DE"/>
        </w:rPr>
        <w:tab/>
        <w:t>(MRT)</w:t>
      </w: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de-DE"/>
        </w:rPr>
      </w:pPr>
      <w:r w:rsidRPr="00F34699">
        <w:rPr>
          <w:rFonts w:ascii="Arial" w:hAnsi="Arial" w:cs="Arial"/>
          <w:sz w:val="22"/>
          <w:szCs w:val="22"/>
          <w:lang w:val="de-DE"/>
        </w:rPr>
        <w:t xml:space="preserve">Niger </w:t>
      </w:r>
      <w:r w:rsidRPr="00F34699">
        <w:rPr>
          <w:rFonts w:ascii="Arial" w:hAnsi="Arial" w:cs="Arial"/>
          <w:sz w:val="22"/>
          <w:szCs w:val="22"/>
          <w:lang w:val="de-DE"/>
        </w:rPr>
        <w:tab/>
      </w:r>
      <w:r w:rsidRPr="00F34699">
        <w:rPr>
          <w:rFonts w:ascii="Arial" w:hAnsi="Arial" w:cs="Arial"/>
          <w:sz w:val="22"/>
          <w:szCs w:val="22"/>
          <w:lang w:val="de-DE"/>
        </w:rPr>
        <w:tab/>
        <w:t>(NER)</w:t>
      </w: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 xml:space="preserve">Pakistan </w:t>
      </w:r>
      <w:r w:rsidRPr="00F34699">
        <w:rPr>
          <w:rFonts w:ascii="Arial" w:hAnsi="Arial" w:cs="Arial"/>
          <w:sz w:val="22"/>
          <w:szCs w:val="22"/>
          <w:lang w:val="fr-FR"/>
        </w:rPr>
        <w:tab/>
      </w:r>
      <w:r w:rsidRPr="00F34699">
        <w:rPr>
          <w:rFonts w:ascii="Arial" w:hAnsi="Arial" w:cs="Arial"/>
          <w:sz w:val="22"/>
          <w:szCs w:val="22"/>
          <w:lang w:val="fr-FR"/>
        </w:rPr>
        <w:tab/>
        <w:t>(PAK)</w:t>
      </w:r>
    </w:p>
    <w:p w:rsidR="00AD2733" w:rsidRPr="00F34699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>Pérou</w:t>
      </w:r>
      <w:r w:rsidR="00AD2733" w:rsidRPr="00F34699">
        <w:rPr>
          <w:rFonts w:ascii="Arial" w:hAnsi="Arial" w:cs="Arial"/>
          <w:sz w:val="22"/>
          <w:szCs w:val="22"/>
          <w:lang w:val="fr-FR"/>
        </w:rPr>
        <w:t xml:space="preserve"> </w:t>
      </w:r>
      <w:r w:rsidR="00AD2733" w:rsidRPr="00F34699">
        <w:rPr>
          <w:rFonts w:ascii="Arial" w:hAnsi="Arial" w:cs="Arial"/>
          <w:sz w:val="22"/>
          <w:szCs w:val="22"/>
          <w:lang w:val="fr-FR"/>
        </w:rPr>
        <w:tab/>
      </w:r>
      <w:r w:rsidR="00AD2733" w:rsidRPr="00F34699">
        <w:rPr>
          <w:rFonts w:ascii="Arial" w:hAnsi="Arial" w:cs="Arial"/>
          <w:sz w:val="22"/>
          <w:szCs w:val="22"/>
          <w:lang w:val="fr-FR"/>
        </w:rPr>
        <w:tab/>
        <w:t>(PER)</w:t>
      </w:r>
    </w:p>
    <w:p w:rsidR="00AD2733" w:rsidRPr="00F34699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F34699">
        <w:rPr>
          <w:rFonts w:ascii="Arial" w:hAnsi="Arial" w:cs="Arial"/>
          <w:sz w:val="22"/>
          <w:szCs w:val="22"/>
          <w:lang w:val="fr-FR"/>
        </w:rPr>
        <w:t xml:space="preserve">Philippines </w:t>
      </w:r>
      <w:r w:rsidRPr="00F34699">
        <w:rPr>
          <w:rFonts w:ascii="Arial" w:hAnsi="Arial" w:cs="Arial"/>
          <w:sz w:val="22"/>
          <w:szCs w:val="22"/>
          <w:lang w:val="fr-FR"/>
        </w:rPr>
        <w:tab/>
      </w:r>
      <w:r w:rsidRPr="00F34699">
        <w:rPr>
          <w:rFonts w:ascii="Arial" w:hAnsi="Arial" w:cs="Arial"/>
          <w:sz w:val="22"/>
          <w:szCs w:val="22"/>
          <w:lang w:val="fr-FR"/>
        </w:rPr>
        <w:tab/>
        <w:t>(PHL)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Ré</w:t>
      </w:r>
      <w:r w:rsidRPr="00C242E1">
        <w:rPr>
          <w:rFonts w:ascii="Arial" w:hAnsi="Arial" w:cs="Arial"/>
          <w:sz w:val="22"/>
          <w:szCs w:val="22"/>
          <w:lang w:val="fr-FR"/>
        </w:rPr>
        <w:t xml:space="preserve">publique du Congo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(COG)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 xml:space="preserve">République islamique d’Iran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(IRN)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République u</w:t>
      </w:r>
      <w:r w:rsidRPr="00C242E1">
        <w:rPr>
          <w:rFonts w:ascii="Arial" w:hAnsi="Arial" w:cs="Arial"/>
          <w:sz w:val="22"/>
          <w:szCs w:val="22"/>
          <w:lang w:val="fr-FR"/>
        </w:rPr>
        <w:t xml:space="preserve">nie de Tanzanie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(TZA)</w:t>
      </w:r>
    </w:p>
    <w:p w:rsidR="00AD2733" w:rsidRPr="00C242E1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 xml:space="preserve">Samoa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(WSM)</w:t>
      </w:r>
    </w:p>
    <w:p w:rsidR="00AD2733" w:rsidRPr="00C242E1" w:rsidRDefault="00C242E1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>Séné</w:t>
      </w:r>
      <w:r w:rsidR="00AD2733" w:rsidRPr="00C242E1">
        <w:rPr>
          <w:rFonts w:ascii="Arial" w:hAnsi="Arial" w:cs="Arial"/>
          <w:sz w:val="22"/>
          <w:szCs w:val="22"/>
          <w:lang w:val="fr-FR"/>
        </w:rPr>
        <w:t xml:space="preserve">gal </w:t>
      </w:r>
      <w:r w:rsidR="00AD2733" w:rsidRPr="00C242E1">
        <w:rPr>
          <w:rFonts w:ascii="Arial" w:hAnsi="Arial" w:cs="Arial"/>
          <w:sz w:val="22"/>
          <w:szCs w:val="22"/>
          <w:lang w:val="fr-FR"/>
        </w:rPr>
        <w:tab/>
      </w:r>
      <w:r w:rsidR="00AD2733" w:rsidRPr="00C242E1">
        <w:rPr>
          <w:rFonts w:ascii="Arial" w:hAnsi="Arial" w:cs="Arial"/>
          <w:sz w:val="22"/>
          <w:szCs w:val="22"/>
          <w:lang w:val="fr-FR"/>
        </w:rPr>
        <w:tab/>
        <w:t>(SEN)</w:t>
      </w:r>
    </w:p>
    <w:p w:rsidR="00C242E1" w:rsidRPr="00C242E1" w:rsidRDefault="00AD2733" w:rsidP="00AD273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 xml:space="preserve">Sri Lanka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(LKA)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>T</w:t>
      </w:r>
      <w:r>
        <w:rPr>
          <w:rFonts w:ascii="Arial" w:hAnsi="Arial" w:cs="Arial"/>
          <w:sz w:val="22"/>
          <w:szCs w:val="22"/>
          <w:lang w:val="fr-FR"/>
        </w:rPr>
        <w:t>c</w:t>
      </w:r>
      <w:r w:rsidRPr="00C242E1">
        <w:rPr>
          <w:rFonts w:ascii="Arial" w:hAnsi="Arial" w:cs="Arial"/>
          <w:sz w:val="22"/>
          <w:szCs w:val="22"/>
          <w:lang w:val="fr-FR"/>
        </w:rPr>
        <w:t xml:space="preserve">had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(TCD)</w:t>
      </w:r>
    </w:p>
    <w:p w:rsidR="00AD2733" w:rsidRPr="00C242E1" w:rsidRDefault="00AD2733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 xml:space="preserve">Togo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(TGO)</w:t>
      </w:r>
    </w:p>
    <w:p w:rsidR="00C242E1" w:rsidRPr="00C242E1" w:rsidRDefault="00C242E1" w:rsidP="00C242E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FR"/>
        </w:rPr>
      </w:pPr>
      <w:r w:rsidRPr="00C242E1">
        <w:rPr>
          <w:rFonts w:ascii="Arial" w:hAnsi="Arial" w:cs="Arial"/>
          <w:sz w:val="22"/>
          <w:szCs w:val="22"/>
          <w:lang w:val="fr-FR"/>
        </w:rPr>
        <w:t xml:space="preserve">Union européenne et ses États membres </w:t>
      </w:r>
      <w:r w:rsidRPr="00C242E1">
        <w:rPr>
          <w:rFonts w:ascii="Arial" w:hAnsi="Arial" w:cs="Arial"/>
          <w:sz w:val="22"/>
          <w:szCs w:val="22"/>
          <w:lang w:val="fr-FR"/>
        </w:rPr>
        <w:tab/>
      </w:r>
      <w:r w:rsidRPr="00C242E1">
        <w:rPr>
          <w:rFonts w:ascii="Arial" w:hAnsi="Arial" w:cs="Arial"/>
          <w:sz w:val="22"/>
          <w:szCs w:val="22"/>
          <w:lang w:val="fr-FR"/>
        </w:rPr>
        <w:tab/>
        <w:t>(EU)</w:t>
      </w:r>
    </w:p>
    <w:p w:rsidR="00C242E1" w:rsidRDefault="00C242E1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  <w:sectPr w:rsidR="00C242E1" w:rsidSect="0052082F">
          <w:headerReference w:type="first" r:id="rId15"/>
          <w:footerReference w:type="first" r:id="rId16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C242E1" w:rsidRPr="00C242E1" w:rsidRDefault="00C242E1" w:rsidP="00C242E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  <w:r w:rsidRPr="00C242E1">
        <w:rPr>
          <w:rFonts w:ascii="Arial" w:hAnsi="Arial" w:cs="Arial"/>
          <w:b/>
          <w:caps/>
          <w:sz w:val="22"/>
          <w:szCs w:val="22"/>
          <w:lang w:val="fr-FR"/>
        </w:rPr>
        <w:lastRenderedPageBreak/>
        <w:t>RÉSUMÉ DES PROPOSITIONS D’AMENDEMENT</w:t>
      </w:r>
      <w:r>
        <w:rPr>
          <w:rFonts w:ascii="Arial" w:hAnsi="Arial" w:cs="Arial"/>
          <w:b/>
          <w:caps/>
          <w:sz w:val="22"/>
          <w:szCs w:val="22"/>
          <w:lang w:val="fr-FR"/>
        </w:rPr>
        <w:t xml:space="preserve"> AUX</w:t>
      </w:r>
      <w:r w:rsidRPr="00C242E1">
        <w:rPr>
          <w:rFonts w:ascii="Arial" w:hAnsi="Arial" w:cs="Arial"/>
          <w:b/>
          <w:caps/>
          <w:sz w:val="22"/>
          <w:szCs w:val="22"/>
          <w:lang w:val="fr-FR"/>
        </w:rPr>
        <w:t xml:space="preserve"> ANNEXES I ET II DE LA CONVENTION</w:t>
      </w:r>
    </w:p>
    <w:p w:rsidR="00AD2733" w:rsidRDefault="00AD2733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Style w:val="GridTable4-Accent31"/>
        <w:tblW w:w="5000" w:type="pct"/>
        <w:tblLook w:val="0620" w:firstRow="1" w:lastRow="0" w:firstColumn="0" w:lastColumn="0" w:noHBand="1" w:noVBand="1"/>
      </w:tblPr>
      <w:tblGrid>
        <w:gridCol w:w="1037"/>
        <w:gridCol w:w="2861"/>
        <w:gridCol w:w="3254"/>
        <w:gridCol w:w="2436"/>
        <w:gridCol w:w="2905"/>
        <w:gridCol w:w="1058"/>
        <w:gridCol w:w="1116"/>
      </w:tblGrid>
      <w:tr w:rsidR="00F34699" w:rsidRPr="00F34699" w:rsidTr="005E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tblHeader/>
        </w:trPr>
        <w:tc>
          <w:tcPr>
            <w:tcW w:w="338" w:type="pct"/>
          </w:tcPr>
          <w:p w:rsidR="00F34699" w:rsidRPr="00F34699" w:rsidRDefault="00F34699" w:rsidP="00F34699">
            <w:pPr>
              <w:jc w:val="center"/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</w:rPr>
              <w:t>Doc. No.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jc w:val="center"/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</w:rPr>
              <w:t xml:space="preserve">Nom </w:t>
            </w:r>
            <w:proofErr w:type="spellStart"/>
            <w:r w:rsidRPr="00F34699">
              <w:rPr>
                <w:rFonts w:cs="Arial"/>
                <w:szCs w:val="18"/>
              </w:rPr>
              <w:t>scientifique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jc w:val="center"/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</w:rPr>
              <w:t>Annotations</w:t>
            </w: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  <w:lang w:val="fr-FR"/>
              </w:rPr>
              <w:t>Nom commun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proofErr w:type="spellStart"/>
            <w:r w:rsidRPr="00F34699">
              <w:rPr>
                <w:rFonts w:cs="Arial"/>
                <w:szCs w:val="18"/>
              </w:rPr>
              <w:t>Amendement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proposé</w:t>
            </w:r>
            <w:proofErr w:type="spellEnd"/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proofErr w:type="spellStart"/>
            <w:r w:rsidRPr="00F34699">
              <w:rPr>
                <w:rFonts w:cs="Arial"/>
                <w:szCs w:val="18"/>
              </w:rPr>
              <w:t>Partie</w:t>
            </w:r>
            <w:proofErr w:type="spellEnd"/>
            <w:r w:rsidRPr="00F34699">
              <w:rPr>
                <w:rFonts w:cs="Arial"/>
                <w:szCs w:val="18"/>
              </w:rPr>
              <w:t xml:space="preserve"> qui propose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proofErr w:type="spellStart"/>
            <w:r w:rsidRPr="00F34699">
              <w:rPr>
                <w:rFonts w:cs="Arial"/>
                <w:szCs w:val="18"/>
              </w:rPr>
              <w:t>Langues</w:t>
            </w:r>
            <w:proofErr w:type="spellEnd"/>
          </w:p>
        </w:tc>
      </w:tr>
      <w:tr w:rsidR="00F34699" w:rsidRPr="00F34699" w:rsidTr="005E1F0D">
        <w:trPr>
          <w:trHeight w:val="138"/>
        </w:trPr>
        <w:tc>
          <w:tcPr>
            <w:tcW w:w="338" w:type="pct"/>
          </w:tcPr>
          <w:p w:rsidR="00F34699" w:rsidRPr="00F34699" w:rsidRDefault="00F34699" w:rsidP="00F3469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jc w:val="center"/>
              <w:rPr>
                <w:rFonts w:cs="Arial"/>
                <w:szCs w:val="18"/>
              </w:rPr>
            </w:pPr>
            <w:r w:rsidRPr="00F34699">
              <w:rPr>
                <w:rFonts w:cs="Arial"/>
                <w:b/>
                <w:bCs/>
                <w:szCs w:val="18"/>
                <w:lang w:val="en-GB"/>
              </w:rPr>
              <w:t>MAMMALIA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</w:tr>
      <w:tr w:rsidR="00F34699" w:rsidRPr="00F34699" w:rsidTr="005E1F0D">
        <w:trPr>
          <w:trHeight w:val="9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  <w:lang w:val="it-IT"/>
              </w:rPr>
              <w:t>25.1.1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szCs w:val="18"/>
              </w:rPr>
            </w:pPr>
            <w:r w:rsidRPr="00F34699">
              <w:rPr>
                <w:rFonts w:cs="Arial"/>
                <w:i/>
                <w:szCs w:val="18"/>
                <w:lang w:val="it-IT"/>
              </w:rPr>
              <w:t>Pan troglodytes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proofErr w:type="spellStart"/>
            <w:r w:rsidRPr="00F34699">
              <w:rPr>
                <w:rFonts w:cs="Arial"/>
                <w:szCs w:val="18"/>
              </w:rPr>
              <w:t>Chimpanzé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r w:rsidRPr="00F34699">
              <w:rPr>
                <w:rFonts w:cs="Arial"/>
                <w:szCs w:val="18"/>
                <w:lang w:val="it-IT"/>
              </w:rPr>
              <w:t>Inclusion aux Annexes I et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  <w:lang w:val="it-IT"/>
              </w:rPr>
              <w:t>COG, TZA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</w:rPr>
            </w:pPr>
            <w:r w:rsidRPr="00F34699">
              <w:rPr>
                <w:rFonts w:cs="Arial"/>
                <w:szCs w:val="18"/>
                <w:lang w:val="it-IT"/>
              </w:rPr>
              <w:t>E, F, S</w:t>
            </w:r>
          </w:p>
        </w:tc>
      </w:tr>
      <w:tr w:rsidR="00F34699" w:rsidRPr="00F34699" w:rsidTr="005E1F0D">
        <w:trPr>
          <w:trHeight w:val="173"/>
        </w:trPr>
        <w:tc>
          <w:tcPr>
            <w:tcW w:w="338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fr-FR"/>
              </w:rPr>
              <w:t xml:space="preserve">Quatre espèces de chauves-souris du genre </w:t>
            </w:r>
            <w:proofErr w:type="spellStart"/>
            <w:r w:rsidRPr="00F34699">
              <w:rPr>
                <w:rFonts w:cs="Arial"/>
                <w:i/>
                <w:szCs w:val="18"/>
                <w:lang w:val="fr-FR"/>
              </w:rPr>
              <w:t>Lasiurus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fr-FR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36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PER</w:t>
            </w:r>
          </w:p>
        </w:tc>
        <w:tc>
          <w:tcPr>
            <w:tcW w:w="38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S</w:t>
            </w:r>
          </w:p>
        </w:tc>
      </w:tr>
      <w:tr w:rsidR="00F34699" w:rsidRPr="00F34699" w:rsidTr="005E1F0D">
        <w:trPr>
          <w:trHeight w:val="173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blossevillii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fr-FR"/>
              </w:rPr>
              <w:t>Chauve-souris rousse de l'Ouest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91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borealis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</w:rPr>
              <w:t>Chauve-souris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rousse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235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cinereus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</w:rPr>
              <w:t>Chauve-souris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cendrée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91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ega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</w:rPr>
              <w:t>Chauve-souris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jaune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méridionale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7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25.1.3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Panthera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leo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Lion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NER, TCD, TGO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F34699" w:rsidRPr="00F34699" w:rsidTr="005E1F0D">
        <w:trPr>
          <w:trHeight w:val="19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25.1.4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Panthera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pardus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</w:rPr>
              <w:t>Léopard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GHA, IRN, KEN, SAU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F34699" w:rsidRPr="00F34699" w:rsidTr="005E1F0D">
        <w:trPr>
          <w:trHeight w:val="9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25.1.5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Ursus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arctos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isabellinus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fr-FR"/>
              </w:rPr>
              <w:t>Populations de Mongolie et de Chine</w:t>
            </w: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Ours de Gobi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9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25.1.6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Pusa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caspica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Phoque de la Caspienne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r w:rsidRPr="00F34699">
              <w:rPr>
                <w:rFonts w:cs="Arial"/>
                <w:szCs w:val="18"/>
                <w:lang w:val="it-IT"/>
              </w:rPr>
              <w:t>Inclusion aux Annexes I et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IRN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25.1.7(a)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Ane sauvage d'Afrique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r w:rsidRPr="00F34699">
              <w:rPr>
                <w:rFonts w:cs="Arial"/>
                <w:szCs w:val="18"/>
                <w:lang w:val="it-IT"/>
              </w:rPr>
              <w:t>Inclusion aux Annexes I et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ERI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2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25.1.7(b)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Ane sauvage d'Afrique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ETH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hRule="exact" w:val="259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25.1.8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widowControl/>
              <w:tabs>
                <w:tab w:val="left" w:pos="709"/>
                <w:tab w:val="left" w:pos="3686"/>
              </w:tabs>
              <w:autoSpaceDE/>
              <w:autoSpaceDN/>
              <w:adjustRightInd/>
              <w:jc w:val="both"/>
              <w:outlineLvl w:val="3"/>
              <w:rPr>
                <w:rFonts w:cs="Arial"/>
                <w:bCs/>
                <w:i/>
                <w:szCs w:val="18"/>
                <w:lang w:val="en-GB"/>
              </w:rPr>
            </w:pPr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Equus </w:t>
            </w: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ferus</w:t>
            </w:r>
            <w:proofErr w:type="spellEnd"/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przewalskii</w:t>
            </w:r>
            <w:proofErr w:type="spellEnd"/>
          </w:p>
          <w:p w:rsidR="00F34699" w:rsidRPr="00F34699" w:rsidRDefault="00F34699" w:rsidP="00F34699">
            <w:pPr>
              <w:widowControl/>
              <w:autoSpaceDE/>
              <w:autoSpaceDN/>
              <w:adjustRightInd/>
              <w:ind w:firstLine="3686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fr-FR"/>
              </w:rPr>
              <w:t xml:space="preserve">Cheval de </w:t>
            </w:r>
            <w:proofErr w:type="spellStart"/>
            <w:r w:rsidRPr="00F34699">
              <w:rPr>
                <w:rFonts w:cs="Arial"/>
                <w:szCs w:val="18"/>
                <w:lang w:val="fr-FR"/>
              </w:rPr>
              <w:t>Przewalski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7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25.1.9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Gazella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bennettii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Gazelle de l’Inde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IRN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F34699" w:rsidRPr="00F34699" w:rsidTr="005E1F0D">
        <w:trPr>
          <w:trHeight w:val="7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25.1.10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Giraffa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camelopardalis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  <w:lang w:val="en-GB"/>
              </w:rPr>
              <w:t>Girafe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AGO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F34699" w:rsidRPr="00F34699" w:rsidTr="005E1F0D">
        <w:trPr>
          <w:trHeight w:val="18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jc w:val="center"/>
              <w:outlineLvl w:val="6"/>
              <w:rPr>
                <w:rFonts w:cs="Arial"/>
                <w:b/>
                <w:bCs/>
                <w:szCs w:val="18"/>
                <w:lang w:val="en-GB"/>
              </w:rPr>
            </w:pPr>
            <w:r w:rsidRPr="00F34699">
              <w:rPr>
                <w:rFonts w:cs="Arial"/>
                <w:b/>
                <w:bCs/>
                <w:szCs w:val="18"/>
                <w:lang w:val="en-GB"/>
              </w:rPr>
              <w:t>AVES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92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25.1.11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6"/>
              <w:rPr>
                <w:rFonts w:cs="Arial"/>
                <w:bCs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Fregata</w:t>
            </w:r>
            <w:proofErr w:type="spellEnd"/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andrewsi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Frégate d'Andrews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92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25.1.12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6"/>
              <w:rPr>
                <w:rFonts w:cs="Arial"/>
                <w:bCs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Anous</w:t>
            </w:r>
            <w:proofErr w:type="spellEnd"/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minutus</w:t>
            </w:r>
            <w:proofErr w:type="spellEnd"/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worcesteri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Noddi noir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F34699" w:rsidRPr="00F34699" w:rsidTr="005E1F0D">
        <w:trPr>
          <w:trHeight w:val="147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25.1.13(a)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6"/>
              <w:rPr>
                <w:rFonts w:cs="Arial"/>
                <w:b/>
                <w:bCs/>
                <w:i/>
                <w:szCs w:val="18"/>
                <w:lang w:val="en-GB"/>
              </w:rPr>
            </w:pPr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Aigle des steppes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0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25.1.13</w:t>
            </w:r>
            <w:r w:rsidRPr="00F34699">
              <w:rPr>
                <w:rFonts w:cs="Arial"/>
                <w:szCs w:val="18"/>
                <w:lang w:val="en-GB" w:eastAsia="zh-TW"/>
              </w:rPr>
              <w:t>(b)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6"/>
              <w:rPr>
                <w:rFonts w:cs="Arial"/>
                <w:b/>
                <w:bCs/>
                <w:szCs w:val="18"/>
                <w:lang w:val="en-GB"/>
              </w:rPr>
            </w:pPr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Aigle des steppes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SAU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71"/>
        </w:trPr>
        <w:tc>
          <w:tcPr>
            <w:tcW w:w="338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25.1.14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Cs/>
                <w:szCs w:val="18"/>
                <w:lang w:val="fr-FR"/>
              </w:rPr>
            </w:pPr>
            <w:r w:rsidRPr="00F34699">
              <w:rPr>
                <w:rFonts w:cs="Arial"/>
                <w:iCs/>
                <w:szCs w:val="18"/>
                <w:lang w:val="fr-FR"/>
              </w:rPr>
              <w:t>Quatre espèces asiatiques de vautour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fr-FR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36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PAK</w:t>
            </w:r>
          </w:p>
        </w:tc>
        <w:tc>
          <w:tcPr>
            <w:tcW w:w="38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26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bengalensis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chaugoun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255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indicus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indien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253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tenuirostris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à long bec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65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Sarcogyps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calvus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royal</w:t>
            </w:r>
          </w:p>
        </w:tc>
        <w:tc>
          <w:tcPr>
            <w:tcW w:w="993" w:type="pct"/>
          </w:tcPr>
          <w:p w:rsid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345"/>
        </w:trPr>
        <w:tc>
          <w:tcPr>
            <w:tcW w:w="338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lastRenderedPageBreak/>
              <w:t>25.1.15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fr-FR"/>
              </w:rPr>
              <w:t>Cinq espèces de vautours subsahariennes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fr-FR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KEN</w:t>
            </w:r>
          </w:p>
        </w:tc>
        <w:tc>
          <w:tcPr>
            <w:tcW w:w="383" w:type="pct"/>
            <w:vMerge w:val="restar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35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africain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92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coprotheres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chassefiente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47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rueppelli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de Rüppell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210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Necrosyrtes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monachus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charognard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83"/>
        </w:trPr>
        <w:tc>
          <w:tcPr>
            <w:tcW w:w="338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ind w:left="286"/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Trigonoceps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occipitalis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à tête blanche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165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</w:t>
            </w:r>
            <w:r w:rsidRPr="00F34699">
              <w:rPr>
                <w:rFonts w:cs="Arial"/>
                <w:szCs w:val="18"/>
                <w:lang w:val="en-GB" w:eastAsia="zh-TW"/>
              </w:rPr>
              <w:t>6(a)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oricou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ISR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28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25.1.16(b)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Vautour oricou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SAU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81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25.1.17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Emberiza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sulphurata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Bruant du Japon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F34699" w:rsidRPr="00F34699" w:rsidTr="005E1F0D">
        <w:trPr>
          <w:trHeight w:val="233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25.1.18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Lanius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excubitor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excubitor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Pie-grièche grise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EU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38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25.1.19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Lanius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minor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Population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européenne</w:t>
            </w:r>
            <w:proofErr w:type="spellEnd"/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it-IT"/>
              </w:rPr>
              <w:t>Pie-grièche à poitrine rose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EU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47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jc w:val="center"/>
              <w:outlineLvl w:val="6"/>
              <w:rPr>
                <w:rFonts w:cs="Arial"/>
                <w:b/>
                <w:bCs/>
                <w:caps/>
                <w:szCs w:val="18"/>
                <w:lang w:val="en-GB"/>
              </w:rPr>
            </w:pPr>
            <w:r w:rsidRPr="00F34699">
              <w:rPr>
                <w:rFonts w:cs="Arial"/>
                <w:b/>
                <w:bCs/>
                <w:caps/>
                <w:szCs w:val="18"/>
                <w:lang w:val="en-GB"/>
              </w:rPr>
              <w:t>PISCES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</w:tr>
      <w:tr w:rsidR="00F34699" w:rsidRPr="00F34699" w:rsidTr="005E1F0D">
        <w:trPr>
          <w:trHeight w:val="228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25.1.20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r w:rsidRPr="00F34699">
              <w:rPr>
                <w:rFonts w:cs="Arial"/>
                <w:i/>
                <w:szCs w:val="18"/>
                <w:lang w:val="en-GB"/>
              </w:rPr>
              <w:t xml:space="preserve">Rhincodon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typus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szCs w:val="18"/>
              </w:rPr>
              <w:t>Requin</w:t>
            </w:r>
            <w:proofErr w:type="spellEnd"/>
            <w:r w:rsidRPr="00F34699">
              <w:rPr>
                <w:rFonts w:cs="Arial"/>
                <w:szCs w:val="18"/>
              </w:rPr>
              <w:t xml:space="preserve"> </w:t>
            </w:r>
            <w:proofErr w:type="spellStart"/>
            <w:r w:rsidRPr="00F34699">
              <w:rPr>
                <w:rFonts w:cs="Arial"/>
                <w:szCs w:val="18"/>
              </w:rPr>
              <w:t>baleine</w:t>
            </w:r>
            <w:proofErr w:type="spellEnd"/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PHL, ISR, LKA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28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25.1.21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bCs/>
                <w:i/>
                <w:szCs w:val="18"/>
                <w:lang w:val="en-GB"/>
              </w:rPr>
              <w:t>Carcharhinus</w:t>
            </w:r>
            <w:proofErr w:type="spellEnd"/>
            <w:r w:rsidRPr="00F34699">
              <w:rPr>
                <w:rFonts w:cs="Arial"/>
                <w:bCs/>
                <w:i/>
                <w:szCs w:val="18"/>
                <w:lang w:val="en-GB"/>
              </w:rPr>
              <w:t xml:space="preserve"> obscurus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Requiem de sable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HND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28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25.1.22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Prionace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glauca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Peau bleue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LKA, WSM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165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25.1.23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Squatina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squatina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 </w:t>
            </w:r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Ange de mer commun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r w:rsidRPr="00F34699">
              <w:rPr>
                <w:rFonts w:cs="Arial"/>
                <w:szCs w:val="18"/>
                <w:lang w:val="it-IT"/>
              </w:rPr>
              <w:t>Inclusion aux Annexes I et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MCO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4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25.1.24(a)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fr-FR"/>
              </w:rPr>
            </w:pPr>
            <w:r w:rsidRPr="00F34699">
              <w:rPr>
                <w:rFonts w:cs="Arial"/>
                <w:szCs w:val="18"/>
                <w:lang w:val="fr-FR"/>
              </w:rPr>
              <w:t xml:space="preserve">Annexe </w:t>
            </w:r>
            <w:proofErr w:type="gramStart"/>
            <w:r w:rsidRPr="00F34699">
              <w:rPr>
                <w:rFonts w:cs="Arial"/>
                <w:szCs w:val="18"/>
                <w:lang w:val="fr-FR"/>
              </w:rPr>
              <w:t>I:</w:t>
            </w:r>
            <w:proofErr w:type="gramEnd"/>
            <w:r w:rsidRPr="00F34699">
              <w:rPr>
                <w:rFonts w:cs="Arial"/>
                <w:szCs w:val="18"/>
                <w:lang w:val="fr-FR"/>
              </w:rPr>
              <w:t xml:space="preserve"> population de la mer Méditerranée</w:t>
            </w:r>
          </w:p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Annexe II: population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mondiale</w:t>
            </w:r>
            <w:proofErr w:type="spellEnd"/>
          </w:p>
        </w:tc>
        <w:tc>
          <w:tcPr>
            <w:tcW w:w="83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it-IT"/>
              </w:rPr>
              <w:t>Guitare de mer commune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it-IT"/>
              </w:rPr>
            </w:pPr>
            <w:r w:rsidRPr="00F34699">
              <w:rPr>
                <w:rFonts w:cs="Arial"/>
                <w:szCs w:val="18"/>
                <w:lang w:val="it-IT"/>
              </w:rPr>
              <w:t>Inclusion aux Annexes I et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ISR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4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25.1.24(b)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r w:rsidRPr="00F34699">
              <w:rPr>
                <w:rFonts w:cs="Arial"/>
                <w:szCs w:val="18"/>
                <w:lang w:val="it-IT"/>
              </w:rPr>
              <w:t xml:space="preserve">Guitare de mer commune 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MRT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4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25.1.24(c)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r w:rsidRPr="00F34699">
              <w:rPr>
                <w:rFonts w:cs="Arial"/>
                <w:szCs w:val="18"/>
                <w:lang w:val="it-IT"/>
              </w:rPr>
              <w:t xml:space="preserve">Guitare de mer commune 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SEN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4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25.1.24(d)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F34699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F34699" w:rsidP="00F34699">
            <w:r w:rsidRPr="00F34699">
              <w:rPr>
                <w:rFonts w:cs="Arial"/>
                <w:szCs w:val="18"/>
                <w:lang w:val="it-IT"/>
              </w:rPr>
              <w:t xml:space="preserve">Guitare de mer commune 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TGO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F34699" w:rsidRPr="00F34699" w:rsidTr="005E1F0D">
        <w:trPr>
          <w:trHeight w:val="214"/>
        </w:trPr>
        <w:tc>
          <w:tcPr>
            <w:tcW w:w="338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25.1.25</w:t>
            </w:r>
          </w:p>
        </w:tc>
        <w:tc>
          <w:tcPr>
            <w:tcW w:w="978" w:type="pct"/>
          </w:tcPr>
          <w:p w:rsidR="00F34699" w:rsidRPr="00F34699" w:rsidRDefault="00F34699" w:rsidP="00F34699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Rhynchobatus</w:t>
            </w:r>
            <w:proofErr w:type="spellEnd"/>
            <w:r w:rsidRPr="00F34699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F34699">
              <w:rPr>
                <w:rFonts w:cs="Arial"/>
                <w:i/>
                <w:szCs w:val="18"/>
                <w:lang w:val="en-GB"/>
              </w:rPr>
              <w:t>australiae</w:t>
            </w:r>
            <w:proofErr w:type="spellEnd"/>
          </w:p>
        </w:tc>
        <w:tc>
          <w:tcPr>
            <w:tcW w:w="1112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F34699" w:rsidRPr="00F34699" w:rsidRDefault="00BC3D01" w:rsidP="00BC3D01">
            <w:pPr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99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 xml:space="preserve">Inclusion à </w:t>
            </w:r>
            <w:proofErr w:type="spellStart"/>
            <w:r w:rsidRPr="00F34699">
              <w:rPr>
                <w:rFonts w:cs="Arial"/>
                <w:szCs w:val="18"/>
                <w:lang w:val="en-GB"/>
              </w:rPr>
              <w:t>l'Annexe</w:t>
            </w:r>
            <w:proofErr w:type="spellEnd"/>
            <w:r w:rsidRPr="00F34699">
              <w:rPr>
                <w:rFonts w:cs="Arial"/>
                <w:szCs w:val="18"/>
                <w:lang w:val="en-GB"/>
              </w:rPr>
              <w:t xml:space="preserve"> II</w:t>
            </w:r>
          </w:p>
        </w:tc>
        <w:tc>
          <w:tcPr>
            <w:tcW w:w="36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F34699" w:rsidRPr="00F34699" w:rsidRDefault="00F34699" w:rsidP="00F34699">
            <w:pPr>
              <w:rPr>
                <w:rFonts w:cs="Arial"/>
                <w:szCs w:val="18"/>
                <w:lang w:val="en-GB"/>
              </w:rPr>
            </w:pPr>
            <w:r w:rsidRPr="00F34699">
              <w:rPr>
                <w:rFonts w:cs="Arial"/>
                <w:szCs w:val="18"/>
                <w:lang w:val="en-GB"/>
              </w:rPr>
              <w:t>E, F, S</w:t>
            </w:r>
          </w:p>
        </w:tc>
      </w:tr>
    </w:tbl>
    <w:p w:rsidR="00C242E1" w:rsidRPr="00C242E1" w:rsidRDefault="00C242E1" w:rsidP="00AD2733">
      <w:pPr>
        <w:pStyle w:val="Level1"/>
        <w:numPr>
          <w:ilvl w:val="0"/>
          <w:numId w:val="0"/>
        </w:numPr>
        <w:ind w:left="566" w:hanging="566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bookmarkStart w:id="0" w:name="_GoBack"/>
      <w:bookmarkEnd w:id="0"/>
    </w:p>
    <w:sectPr w:rsidR="00C242E1" w:rsidRPr="00C242E1" w:rsidSect="00C242E1">
      <w:headerReference w:type="first" r:id="rId17"/>
      <w:endnotePr>
        <w:numFmt w:val="decimal"/>
      </w:endnotePr>
      <w:pgSz w:w="16837" w:h="11905" w:orient="landscape" w:code="9"/>
      <w:pgMar w:top="1411" w:right="1008" w:bottom="1411" w:left="1152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E1" w:rsidRDefault="00C242E1">
      <w:r>
        <w:separator/>
      </w:r>
    </w:p>
  </w:endnote>
  <w:endnote w:type="continuationSeparator" w:id="0">
    <w:p w:rsidR="00C242E1" w:rsidRDefault="00C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922791" w:rsidRDefault="00C242E1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922791" w:rsidRDefault="00C242E1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C3D01">
      <w:rPr>
        <w:rFonts w:ascii="Arial" w:hAnsi="Arial" w:cs="Arial"/>
        <w:noProof/>
        <w:sz w:val="18"/>
        <w:szCs w:val="18"/>
      </w:rPr>
      <w:t>5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C242E1" w:rsidRDefault="00C242E1">
    <w:pPr>
      <w:pStyle w:val="Footer"/>
      <w:jc w:val="center"/>
      <w:rPr>
        <w:rFonts w:ascii="Arial" w:hAnsi="Arial" w:cs="Arial"/>
        <w:sz w:val="18"/>
        <w:szCs w:val="18"/>
      </w:rPr>
    </w:pPr>
    <w:r w:rsidRPr="00C242E1">
      <w:rPr>
        <w:rFonts w:ascii="Arial" w:hAnsi="Arial" w:cs="Arial"/>
        <w:sz w:val="18"/>
        <w:szCs w:val="18"/>
      </w:rPr>
      <w:fldChar w:fldCharType="begin"/>
    </w:r>
    <w:r w:rsidRPr="00C242E1">
      <w:rPr>
        <w:rFonts w:ascii="Arial" w:hAnsi="Arial" w:cs="Arial"/>
        <w:sz w:val="18"/>
        <w:szCs w:val="18"/>
      </w:rPr>
      <w:instrText xml:space="preserve"> PAGE   \* MERGEFORMAT </w:instrText>
    </w:r>
    <w:r w:rsidRPr="00C242E1">
      <w:rPr>
        <w:rFonts w:ascii="Arial" w:hAnsi="Arial" w:cs="Arial"/>
        <w:sz w:val="18"/>
        <w:szCs w:val="18"/>
      </w:rPr>
      <w:fldChar w:fldCharType="separate"/>
    </w:r>
    <w:r w:rsidR="00BC3D01">
      <w:rPr>
        <w:rFonts w:ascii="Arial" w:hAnsi="Arial" w:cs="Arial"/>
        <w:noProof/>
        <w:sz w:val="18"/>
        <w:szCs w:val="18"/>
      </w:rPr>
      <w:t>2</w:t>
    </w:r>
    <w:r w:rsidRPr="00C242E1">
      <w:rPr>
        <w:rFonts w:ascii="Arial" w:hAnsi="Arial"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D605A4" w:rsidRDefault="00C242E1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BC3D01">
      <w:rPr>
        <w:rFonts w:ascii="Arial" w:hAnsi="Arial" w:cs="Arial"/>
        <w:noProof/>
        <w:sz w:val="18"/>
        <w:szCs w:val="18"/>
      </w:rPr>
      <w:t>4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C242E1" w:rsidRPr="00D605A4" w:rsidRDefault="00C242E1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E1" w:rsidRDefault="00C242E1">
      <w:r>
        <w:separator/>
      </w:r>
    </w:p>
  </w:footnote>
  <w:footnote w:type="continuationSeparator" w:id="0">
    <w:p w:rsidR="00C242E1" w:rsidRDefault="00C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922791" w:rsidRDefault="00C242E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F34699" w:rsidRDefault="00F34699" w:rsidP="00F34699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1A4D8C">
      <w:rPr>
        <w:rFonts w:ascii="Arial" w:hAnsi="Arial" w:cs="Arial"/>
        <w:i/>
        <w:sz w:val="18"/>
        <w:szCs w:val="18"/>
        <w:lang w:val="de-DE"/>
      </w:rPr>
      <w:t>UNEP/CMS/COP12/Doc.25.1</w:t>
    </w:r>
    <w:r>
      <w:rPr>
        <w:rFonts w:ascii="Arial" w:hAnsi="Arial" w:cs="Arial"/>
        <w:i/>
        <w:sz w:val="18"/>
        <w:szCs w:val="18"/>
        <w:lang w:val="de-DE"/>
      </w:rPr>
      <w:t>/Annexe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Default="00C242E1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C242E1" w:rsidRDefault="00C242E1" w:rsidP="00C242E1">
    <w:pPr>
      <w:pStyle w:val="Heading1"/>
      <w:keepNext w:val="0"/>
      <w:pBdr>
        <w:bottom w:val="single" w:sz="4" w:space="1" w:color="auto"/>
      </w:pBdr>
      <w:ind w:left="261" w:right="-2" w:hanging="261"/>
      <w:rPr>
        <w:rFonts w:ascii="Arial" w:hAnsi="Arial" w:cs="Arial"/>
        <w:b w:val="0"/>
        <w:i/>
        <w:sz w:val="18"/>
        <w:szCs w:val="18"/>
        <w:lang w:val="fr-FR"/>
      </w:rPr>
    </w:pPr>
    <w:r w:rsidRPr="00C242E1">
      <w:rPr>
        <w:rFonts w:ascii="Arial" w:hAnsi="Arial" w:cs="Arial"/>
        <w:b w:val="0"/>
        <w:i/>
        <w:sz w:val="18"/>
        <w:szCs w:val="18"/>
        <w:lang w:val="fr-FR"/>
      </w:rPr>
      <w:t>UNEP/CMS//COP12/Doc.25.1</w:t>
    </w:r>
  </w:p>
  <w:p w:rsidR="00C242E1" w:rsidRPr="001764E6" w:rsidRDefault="00C242E1" w:rsidP="00C242E1">
    <w:pPr>
      <w:rPr>
        <w:i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D605A4" w:rsidRDefault="00C242E1" w:rsidP="00C242E1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1A4D8C">
      <w:rPr>
        <w:rFonts w:ascii="Arial" w:hAnsi="Arial" w:cs="Arial"/>
        <w:i/>
        <w:sz w:val="18"/>
        <w:szCs w:val="18"/>
        <w:lang w:val="de-DE"/>
      </w:rPr>
      <w:t>UNEP/CMS/COP12/Doc.25.1</w:t>
    </w:r>
    <w:r>
      <w:rPr>
        <w:rFonts w:ascii="Arial" w:hAnsi="Arial" w:cs="Arial"/>
        <w:i/>
        <w:sz w:val="18"/>
        <w:szCs w:val="18"/>
        <w:lang w:val="de-DE"/>
      </w:rPr>
      <w:t>/Annexe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E1" w:rsidRPr="00D605A4" w:rsidRDefault="00C242E1" w:rsidP="00F34699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1A4D8C">
      <w:rPr>
        <w:rFonts w:ascii="Arial" w:hAnsi="Arial" w:cs="Arial"/>
        <w:i/>
        <w:sz w:val="18"/>
        <w:szCs w:val="18"/>
        <w:lang w:val="de-DE"/>
      </w:rPr>
      <w:t>UNEP/CMS/COP12/Doc.25.1</w:t>
    </w:r>
    <w:r w:rsidR="00F34699">
      <w:rPr>
        <w:rFonts w:ascii="Arial" w:hAnsi="Arial" w:cs="Arial"/>
        <w:i/>
        <w:sz w:val="18"/>
        <w:szCs w:val="18"/>
        <w:lang w:val="de-DE"/>
      </w:rPr>
      <w:t xml:space="preserve">/Annexe </w:t>
    </w:r>
    <w:r w:rsidR="00F34699">
      <w:rPr>
        <w:rFonts w:ascii="Arial" w:hAnsi="Arial" w:cs="Arial"/>
        <w:i/>
        <w:sz w:val="18"/>
        <w:szCs w:val="18"/>
        <w:lang w:val="de-D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1D211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7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58696C"/>
    <w:multiLevelType w:val="hybridMultilevel"/>
    <w:tmpl w:val="34FC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3937378"/>
    <w:multiLevelType w:val="hybridMultilevel"/>
    <w:tmpl w:val="D5AE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0"/>
  </w:num>
  <w:num w:numId="4">
    <w:abstractNumId w:val="22"/>
  </w:num>
  <w:num w:numId="5">
    <w:abstractNumId w:val="11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1"/>
  </w:num>
  <w:num w:numId="11">
    <w:abstractNumId w:val="37"/>
  </w:num>
  <w:num w:numId="12">
    <w:abstractNumId w:val="3"/>
  </w:num>
  <w:num w:numId="13">
    <w:abstractNumId w:val="18"/>
  </w:num>
  <w:num w:numId="14">
    <w:abstractNumId w:val="35"/>
  </w:num>
  <w:num w:numId="15">
    <w:abstractNumId w:val="2"/>
  </w:num>
  <w:num w:numId="16">
    <w:abstractNumId w:val="9"/>
  </w:num>
  <w:num w:numId="17">
    <w:abstractNumId w:val="38"/>
  </w:num>
  <w:num w:numId="18">
    <w:abstractNumId w:val="20"/>
  </w:num>
  <w:num w:numId="19">
    <w:abstractNumId w:val="36"/>
  </w:num>
  <w:num w:numId="20">
    <w:abstractNumId w:val="42"/>
  </w:num>
  <w:num w:numId="21">
    <w:abstractNumId w:val="4"/>
  </w:num>
  <w:num w:numId="22">
    <w:abstractNumId w:val="16"/>
  </w:num>
  <w:num w:numId="23">
    <w:abstractNumId w:val="25"/>
  </w:num>
  <w:num w:numId="24">
    <w:abstractNumId w:val="15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19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7"/>
  </w:num>
  <w:num w:numId="35">
    <w:abstractNumId w:val="14"/>
  </w:num>
  <w:num w:numId="36">
    <w:abstractNumId w:val="30"/>
  </w:num>
  <w:num w:numId="37">
    <w:abstractNumId w:val="34"/>
  </w:num>
  <w:num w:numId="38">
    <w:abstractNumId w:val="8"/>
  </w:num>
  <w:num w:numId="39">
    <w:abstractNumId w:val="28"/>
  </w:num>
  <w:num w:numId="40">
    <w:abstractNumId w:val="40"/>
  </w:num>
  <w:num w:numId="41">
    <w:abstractNumId w:val="24"/>
  </w:num>
  <w:num w:numId="42">
    <w:abstractNumId w:val="31"/>
  </w:num>
  <w:num w:numId="43">
    <w:abstractNumId w:val="2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0DF4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A4D8C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1596"/>
    <w:rsid w:val="00A93C52"/>
    <w:rsid w:val="00AA7368"/>
    <w:rsid w:val="00AA7A90"/>
    <w:rsid w:val="00AB4FF9"/>
    <w:rsid w:val="00AD2733"/>
    <w:rsid w:val="00AE7B21"/>
    <w:rsid w:val="00AF1980"/>
    <w:rsid w:val="00AF2021"/>
    <w:rsid w:val="00B04D93"/>
    <w:rsid w:val="00B471BD"/>
    <w:rsid w:val="00B50C2D"/>
    <w:rsid w:val="00B64904"/>
    <w:rsid w:val="00BA60CE"/>
    <w:rsid w:val="00BC3D01"/>
    <w:rsid w:val="00BC5607"/>
    <w:rsid w:val="00BD7D16"/>
    <w:rsid w:val="00BE0D1D"/>
    <w:rsid w:val="00BE2448"/>
    <w:rsid w:val="00BE24D4"/>
    <w:rsid w:val="00BF2BE7"/>
    <w:rsid w:val="00C05102"/>
    <w:rsid w:val="00C13FA6"/>
    <w:rsid w:val="00C169ED"/>
    <w:rsid w:val="00C242E1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34699"/>
    <w:rsid w:val="00F444EC"/>
    <w:rsid w:val="00F45FE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853B41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styleId="GridTable4-Accent3">
    <w:name w:val="Grid Table 4 Accent 3"/>
    <w:basedOn w:val="TableNormal"/>
    <w:uiPriority w:val="49"/>
    <w:rsid w:val="00C242E1"/>
    <w:rPr>
      <w:rFonts w:ascii="Arial" w:eastAsia="PMingLiU" w:hAnsi="Arial"/>
      <w:sz w:val="18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F34699"/>
    <w:rPr>
      <w:rFonts w:ascii="Arial" w:eastAsia="PMingLiU" w:hAnsi="Arial"/>
      <w:sz w:val="18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5</Pages>
  <Words>1072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CMS Secretariat</cp:lastModifiedBy>
  <cp:revision>2</cp:revision>
  <cp:lastPrinted>2017-06-21T15:35:00Z</cp:lastPrinted>
  <dcterms:created xsi:type="dcterms:W3CDTF">2017-06-23T09:41:00Z</dcterms:created>
  <dcterms:modified xsi:type="dcterms:W3CDTF">2017-06-23T09:41:00Z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