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866F03" w:rsidRDefault="00866F03" w:rsidP="00DF38F9">
      <w:pPr>
        <w:jc w:val="center"/>
        <w:rPr>
          <w:b/>
          <w:sz w:val="22"/>
          <w:szCs w:val="22"/>
          <w:lang w:val="en-GB"/>
        </w:rPr>
      </w:pPr>
      <w:r w:rsidRPr="00866F03">
        <w:rPr>
          <w:b/>
          <w:sz w:val="22"/>
          <w:szCs w:val="22"/>
          <w:lang w:val="en-GB"/>
        </w:rPr>
        <w:t>RE</w:t>
      </w:r>
      <w:r w:rsidR="00B1145F">
        <w:rPr>
          <w:b/>
          <w:sz w:val="22"/>
          <w:szCs w:val="22"/>
          <w:lang w:val="en-GB"/>
        </w:rPr>
        <w:t>VISION OF THE TEMPLATE AND GUIDELINES</w:t>
      </w:r>
      <w:r w:rsidR="00B25908">
        <w:rPr>
          <w:b/>
          <w:sz w:val="22"/>
          <w:szCs w:val="22"/>
          <w:lang w:val="en-GB"/>
        </w:rPr>
        <w:t xml:space="preserve"> FOR THE DRAFTING OF PROPOSALS FOR THE AMENDMENT OF THE APPENDICES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866F03" w:rsidRPr="00866F03">
        <w:rPr>
          <w:rFonts w:cs="Arial"/>
          <w:sz w:val="22"/>
          <w:szCs w:val="22"/>
          <w:lang w:val="en-GB"/>
        </w:rPr>
        <w:t>Doc.</w:t>
      </w:r>
      <w:r w:rsidR="00866F03">
        <w:rPr>
          <w:rFonts w:cs="Arial"/>
          <w:sz w:val="22"/>
          <w:szCs w:val="22"/>
          <w:lang w:val="en-GB"/>
        </w:rPr>
        <w:t>2</w:t>
      </w:r>
      <w:r w:rsidR="00B1145F">
        <w:rPr>
          <w:rFonts w:cs="Arial"/>
          <w:sz w:val="22"/>
          <w:szCs w:val="22"/>
          <w:lang w:val="en-GB"/>
        </w:rPr>
        <w:t>5.2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6356C5" w:rsidRPr="00071F82" w:rsidRDefault="006356C5" w:rsidP="006356C5">
      <w:pPr>
        <w:tabs>
          <w:tab w:val="left" w:pos="1020"/>
        </w:tabs>
        <w:rPr>
          <w:rFonts w:cs="Arial"/>
          <w:b/>
          <w:sz w:val="20"/>
          <w:szCs w:val="20"/>
        </w:rPr>
      </w:pPr>
    </w:p>
    <w:p w:rsidR="00866F03" w:rsidRPr="00866F03" w:rsidRDefault="00B25908" w:rsidP="00D5210E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Based on the </w:t>
      </w:r>
      <w:r w:rsidR="007B1A8F">
        <w:rPr>
          <w:rFonts w:cs="Arial"/>
          <w:sz w:val="22"/>
          <w:szCs w:val="22"/>
        </w:rPr>
        <w:t>experience of some of its members in assisting Parties in the drafting of proposals submitted to COP12, as well as the experience of other participants in SCC-SC2</w:t>
      </w:r>
      <w:r w:rsidR="00D5210E">
        <w:rPr>
          <w:rFonts w:cs="Arial"/>
          <w:sz w:val="22"/>
          <w:szCs w:val="22"/>
        </w:rPr>
        <w:t xml:space="preserve">, the Scientific Council expresses an overall positive evaluation of the revised template and guidelines in terms of user-friendliness and clarity of the guidelines. 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0"/>
          <w:szCs w:val="20"/>
        </w:rPr>
      </w:pPr>
    </w:p>
    <w:p w:rsidR="00762F59" w:rsidRPr="00071F82" w:rsidRDefault="00762F59" w:rsidP="00DF4423">
      <w:pPr>
        <w:tabs>
          <w:tab w:val="left" w:pos="1020"/>
        </w:tabs>
        <w:rPr>
          <w:rFonts w:cs="Arial"/>
          <w:b/>
          <w:sz w:val="20"/>
          <w:szCs w:val="20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071F82" w:rsidRDefault="008F20D3" w:rsidP="008F20D3">
      <w:pPr>
        <w:tabs>
          <w:tab w:val="left" w:pos="1020"/>
        </w:tabs>
        <w:rPr>
          <w:rFonts w:cs="Arial"/>
          <w:b/>
          <w:sz w:val="20"/>
          <w:szCs w:val="20"/>
        </w:rPr>
      </w:pPr>
    </w:p>
    <w:p w:rsidR="008F20D3" w:rsidRDefault="008F20D3" w:rsidP="00071F82">
      <w:pPr>
        <w:pStyle w:val="ListParagraph"/>
        <w:tabs>
          <w:tab w:val="left" w:pos="102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E45FB">
        <w:rPr>
          <w:rFonts w:cs="Arial"/>
          <w:sz w:val="22"/>
          <w:szCs w:val="22"/>
        </w:rPr>
        <w:t>age</w:t>
      </w:r>
      <w:r>
        <w:rPr>
          <w:rFonts w:cs="Arial"/>
          <w:sz w:val="22"/>
          <w:szCs w:val="22"/>
        </w:rPr>
        <w:t xml:space="preserve"> </w:t>
      </w:r>
      <w:r w:rsidR="00866F0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, </w:t>
      </w:r>
      <w:r w:rsidR="0023334A">
        <w:rPr>
          <w:rFonts w:cs="Arial"/>
          <w:sz w:val="22"/>
          <w:szCs w:val="22"/>
        </w:rPr>
        <w:t>section</w:t>
      </w:r>
      <w:r>
        <w:rPr>
          <w:rFonts w:cs="Arial"/>
          <w:sz w:val="22"/>
          <w:szCs w:val="22"/>
        </w:rPr>
        <w:t xml:space="preserve"> </w:t>
      </w:r>
      <w:r w:rsidR="0023334A">
        <w:rPr>
          <w:rFonts w:cs="Arial"/>
          <w:sz w:val="22"/>
          <w:szCs w:val="22"/>
        </w:rPr>
        <w:t>3.2, 1</w:t>
      </w:r>
      <w:r w:rsidR="0023334A" w:rsidRPr="0023334A">
        <w:rPr>
          <w:rFonts w:cs="Arial"/>
          <w:sz w:val="22"/>
          <w:szCs w:val="22"/>
          <w:vertAlign w:val="superscript"/>
        </w:rPr>
        <w:t>st</w:t>
      </w:r>
      <w:r w:rsidR="0023334A">
        <w:rPr>
          <w:rFonts w:cs="Arial"/>
          <w:sz w:val="22"/>
          <w:szCs w:val="22"/>
        </w:rPr>
        <w:t xml:space="preserve"> paragraph</w:t>
      </w:r>
    </w:p>
    <w:p w:rsidR="0023334A" w:rsidRPr="00071F82" w:rsidRDefault="0023334A" w:rsidP="00071F82">
      <w:pPr>
        <w:pStyle w:val="ListParagraph"/>
        <w:numPr>
          <w:ilvl w:val="0"/>
          <w:numId w:val="48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071F82">
        <w:rPr>
          <w:rFonts w:cs="Arial"/>
          <w:sz w:val="22"/>
          <w:szCs w:val="22"/>
        </w:rPr>
        <w:t>Proposed to be amended as follows (new text underlined):</w:t>
      </w:r>
    </w:p>
    <w:p w:rsidR="0023334A" w:rsidRPr="0023334A" w:rsidRDefault="0023334A" w:rsidP="00071F82">
      <w:pPr>
        <w:pStyle w:val="ListParagraph"/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23334A">
        <w:rPr>
          <w:rFonts w:cs="Arial"/>
          <w:sz w:val="22"/>
          <w:szCs w:val="22"/>
        </w:rPr>
        <w:t xml:space="preserve">Information on whether the entire or only part of the population undertakes migrations should be provided, together with why this should be considered a significant proportion of the population.  Where only some parts of the population migrate, a description should be provided.  </w:t>
      </w:r>
      <w:r w:rsidRPr="0023334A">
        <w:rPr>
          <w:rFonts w:cs="Arial"/>
          <w:sz w:val="22"/>
          <w:szCs w:val="22"/>
          <w:u w:val="single"/>
        </w:rPr>
        <w:t>Acknowledging that information gaps exist for some species, d</w:t>
      </w:r>
      <w:r w:rsidRPr="0023334A">
        <w:rPr>
          <w:rFonts w:cs="Arial"/>
          <w:sz w:val="22"/>
          <w:szCs w:val="22"/>
        </w:rPr>
        <w:t xml:space="preserve">etail on the actual proportion of the species which is migratory should be provided </w:t>
      </w:r>
      <w:r w:rsidRPr="0023334A">
        <w:rPr>
          <w:rFonts w:cs="Arial"/>
          <w:sz w:val="22"/>
          <w:szCs w:val="22"/>
          <w:u w:val="single"/>
        </w:rPr>
        <w:t>where known</w:t>
      </w:r>
      <w:r w:rsidRPr="0023334A">
        <w:rPr>
          <w:rFonts w:cs="Arial"/>
          <w:sz w:val="22"/>
          <w:szCs w:val="22"/>
        </w:rPr>
        <w:t>, and the basis on which that is calculated should be stated. </w:t>
      </w:r>
    </w:p>
    <w:p w:rsidR="0023334A" w:rsidRPr="00071F82" w:rsidRDefault="0023334A" w:rsidP="00071F82">
      <w:pPr>
        <w:jc w:val="both"/>
        <w:rPr>
          <w:sz w:val="20"/>
          <w:szCs w:val="20"/>
          <w:lang w:val="en-GB"/>
        </w:rPr>
      </w:pPr>
    </w:p>
    <w:p w:rsidR="0023334A" w:rsidRPr="0023334A" w:rsidRDefault="0023334A" w:rsidP="00071F82">
      <w:pPr>
        <w:pStyle w:val="ListParagraph"/>
        <w:ind w:left="360"/>
        <w:jc w:val="both"/>
        <w:rPr>
          <w:sz w:val="22"/>
          <w:szCs w:val="22"/>
          <w:lang w:val="en-GB"/>
        </w:rPr>
      </w:pPr>
      <w:r w:rsidRPr="0023334A">
        <w:rPr>
          <w:sz w:val="22"/>
          <w:szCs w:val="22"/>
          <w:lang w:val="en-GB"/>
        </w:rPr>
        <w:t>The proposed insertion is in recognition of the knowledge gaps for many species in relation to what proportion of the population migrates.</w:t>
      </w:r>
    </w:p>
    <w:p w:rsidR="0023334A" w:rsidRPr="00071F82" w:rsidRDefault="0023334A" w:rsidP="00071F82">
      <w:pPr>
        <w:jc w:val="both"/>
        <w:rPr>
          <w:b/>
          <w:sz w:val="20"/>
          <w:szCs w:val="20"/>
        </w:rPr>
      </w:pPr>
    </w:p>
    <w:p w:rsidR="0023334A" w:rsidRDefault="0023334A" w:rsidP="00071F82">
      <w:pPr>
        <w:pStyle w:val="ListParagraph"/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Page 6, section 3.2, 2</w:t>
      </w:r>
      <w:r w:rsidRPr="0023334A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paragraph</w:t>
      </w:r>
    </w:p>
    <w:p w:rsidR="00464270" w:rsidRPr="00F240D8" w:rsidRDefault="0023334A" w:rsidP="00071F82">
      <w:pPr>
        <w:pStyle w:val="BodyText"/>
        <w:numPr>
          <w:ilvl w:val="0"/>
          <w:numId w:val="48"/>
        </w:numPr>
        <w:kinsoku w:val="0"/>
        <w:overflowPunct w:val="0"/>
        <w:adjustRightInd/>
        <w:ind w:left="360"/>
        <w:rPr>
          <w:b/>
          <w:szCs w:val="22"/>
        </w:rPr>
      </w:pPr>
      <w:r>
        <w:rPr>
          <w:szCs w:val="22"/>
          <w:lang w:val="en-US"/>
        </w:rPr>
        <w:t xml:space="preserve">Note that this paragraph fulfills the request addressed to the Scientific Council </w:t>
      </w:r>
      <w:r w:rsidR="00AE0453">
        <w:rPr>
          <w:szCs w:val="22"/>
          <w:lang w:val="en-US"/>
        </w:rPr>
        <w:t xml:space="preserve">through paragraph 6 of Resolution 11.33, </w:t>
      </w:r>
      <w:r>
        <w:rPr>
          <w:szCs w:val="22"/>
          <w:lang w:val="en-US"/>
        </w:rPr>
        <w:t xml:space="preserve">to </w:t>
      </w:r>
      <w:r w:rsidR="00AE0453">
        <w:rPr>
          <w:szCs w:val="22"/>
          <w:lang w:val="en-US"/>
        </w:rPr>
        <w:t>clarify the meaning of the phrase “significant proportion” in Article I, paragraph 1 (a) of the Convention text (see comments on document UNEP/CMS/COP12/Doc.21.1.35).</w:t>
      </w:r>
    </w:p>
    <w:p w:rsidR="00464270" w:rsidRPr="00071F82" w:rsidRDefault="00464270" w:rsidP="00071F82">
      <w:pPr>
        <w:jc w:val="both"/>
        <w:rPr>
          <w:b/>
          <w:sz w:val="20"/>
          <w:szCs w:val="20"/>
          <w:lang w:val="en-GB"/>
        </w:rPr>
      </w:pPr>
    </w:p>
    <w:p w:rsidR="00AE0453" w:rsidRDefault="00AE0453" w:rsidP="00762F59">
      <w:pPr>
        <w:pStyle w:val="ListParagraph"/>
        <w:tabs>
          <w:tab w:val="left" w:pos="10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Page 9, Section 7.1 (v)</w:t>
      </w:r>
    </w:p>
    <w:p w:rsidR="00AE0453" w:rsidRPr="0023334A" w:rsidRDefault="00AE0453" w:rsidP="00762F59">
      <w:pPr>
        <w:pStyle w:val="ListParagraph"/>
        <w:numPr>
          <w:ilvl w:val="0"/>
          <w:numId w:val="48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23334A">
        <w:rPr>
          <w:rFonts w:cs="Arial"/>
          <w:sz w:val="22"/>
          <w:szCs w:val="22"/>
        </w:rPr>
        <w:t>Proposed to be amended as follows (new text underlined):</w:t>
      </w:r>
    </w:p>
    <w:p w:rsidR="000C3298" w:rsidRDefault="000C3298" w:rsidP="00EF6B32">
      <w:pPr>
        <w:pStyle w:val="ListParagraph"/>
        <w:widowControl/>
        <w:numPr>
          <w:ilvl w:val="0"/>
          <w:numId w:val="4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listing in a CMS Appendix would support measures </w:t>
      </w:r>
      <w:r>
        <w:rPr>
          <w:rFonts w:cs="Arial"/>
          <w:sz w:val="22"/>
          <w:szCs w:val="22"/>
          <w:u w:val="single"/>
        </w:rPr>
        <w:t xml:space="preserve">across all CMS listings and </w:t>
      </w:r>
      <w:r>
        <w:rPr>
          <w:rFonts w:cs="Arial"/>
          <w:sz w:val="22"/>
          <w:szCs w:val="22"/>
        </w:rPr>
        <w:t xml:space="preserve">in other multilateral fora, especially those under the Convention on International Trade in Endangered Species (CITES), or RFMOs.   </w:t>
      </w:r>
    </w:p>
    <w:p w:rsidR="00AE0453" w:rsidRPr="00071F82" w:rsidRDefault="00AE0453" w:rsidP="00EF6B32">
      <w:pPr>
        <w:pStyle w:val="ListParagraph"/>
        <w:tabs>
          <w:tab w:val="left" w:pos="1020"/>
        </w:tabs>
        <w:ind w:left="420"/>
        <w:jc w:val="both"/>
        <w:rPr>
          <w:sz w:val="20"/>
          <w:szCs w:val="20"/>
        </w:rPr>
      </w:pPr>
    </w:p>
    <w:p w:rsidR="000C3298" w:rsidRPr="0023334A" w:rsidRDefault="000C3298" w:rsidP="00762F59">
      <w:pPr>
        <w:pStyle w:val="ListParagraph"/>
        <w:ind w:left="360"/>
        <w:jc w:val="both"/>
        <w:rPr>
          <w:sz w:val="22"/>
          <w:szCs w:val="22"/>
          <w:lang w:val="en-GB"/>
        </w:rPr>
      </w:pPr>
      <w:r w:rsidRPr="0023334A">
        <w:rPr>
          <w:sz w:val="22"/>
          <w:szCs w:val="22"/>
          <w:lang w:val="en-GB"/>
        </w:rPr>
        <w:t xml:space="preserve">The proposed insertion </w:t>
      </w:r>
      <w:r>
        <w:rPr>
          <w:sz w:val="22"/>
          <w:szCs w:val="22"/>
          <w:lang w:val="en-GB"/>
        </w:rPr>
        <w:t xml:space="preserve">refers to possible benefits to species other than those proposed for listing but facing the same threats, when measures </w:t>
      </w:r>
      <w:r w:rsidR="00EF6B32">
        <w:rPr>
          <w:sz w:val="22"/>
          <w:szCs w:val="22"/>
          <w:lang w:val="en-GB"/>
        </w:rPr>
        <w:t xml:space="preserve">to address those threats would be implemented in response to the listing. </w:t>
      </w:r>
    </w:p>
    <w:p w:rsidR="000C3298" w:rsidRDefault="000C3298" w:rsidP="00EF6B32">
      <w:pPr>
        <w:pStyle w:val="ListParagraph"/>
        <w:tabs>
          <w:tab w:val="left" w:pos="1020"/>
        </w:tabs>
        <w:ind w:left="420"/>
        <w:jc w:val="both"/>
        <w:rPr>
          <w:sz w:val="20"/>
          <w:szCs w:val="20"/>
          <w:lang w:val="en-GB"/>
        </w:rPr>
      </w:pPr>
    </w:p>
    <w:p w:rsidR="00762F59" w:rsidRPr="00071F82" w:rsidRDefault="00762F59" w:rsidP="00EF6B32">
      <w:pPr>
        <w:pStyle w:val="ListParagraph"/>
        <w:tabs>
          <w:tab w:val="left" w:pos="1020"/>
        </w:tabs>
        <w:ind w:left="420"/>
        <w:jc w:val="both"/>
        <w:rPr>
          <w:sz w:val="20"/>
          <w:szCs w:val="20"/>
          <w:lang w:val="en-GB"/>
        </w:rPr>
      </w:pPr>
      <w:bookmarkStart w:id="0" w:name="_GoBack"/>
      <w:bookmarkEnd w:id="0"/>
    </w:p>
    <w:p w:rsidR="00DF4423" w:rsidRPr="00DF4423" w:rsidRDefault="00DF4423" w:rsidP="00EF6B32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682AE7" w:rsidRDefault="000F1354" w:rsidP="00EF6B32">
      <w:pPr>
        <w:jc w:val="both"/>
        <w:rPr>
          <w:rFonts w:cs="Arial"/>
          <w:sz w:val="22"/>
          <w:szCs w:val="22"/>
        </w:rPr>
      </w:pPr>
    </w:p>
    <w:p w:rsidR="00682AE7" w:rsidRDefault="00682AE7" w:rsidP="00071F82">
      <w:pPr>
        <w:jc w:val="both"/>
        <w:rPr>
          <w:rFonts w:cs="Arial"/>
          <w:sz w:val="22"/>
          <w:szCs w:val="22"/>
        </w:rPr>
      </w:pPr>
      <w:r w:rsidRPr="00EF6B32">
        <w:rPr>
          <w:rFonts w:cs="Arial"/>
          <w:sz w:val="22"/>
          <w:szCs w:val="22"/>
        </w:rPr>
        <w:t>Con</w:t>
      </w:r>
      <w:r w:rsidR="00EF6B32" w:rsidRPr="00EF6B32">
        <w:rPr>
          <w:rFonts w:cs="Arial"/>
          <w:sz w:val="22"/>
          <w:szCs w:val="22"/>
        </w:rPr>
        <w:t>firm the use of the revised template and guidelines for the submission of proposal to future meetings of the COP.</w:t>
      </w:r>
    </w:p>
    <w:sectPr w:rsidR="00682AE7" w:rsidSect="0052082F">
      <w:headerReference w:type="first" r:id="rId7"/>
      <w:footerReference w:type="first" r:id="rId8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0A" w:rsidRDefault="0047160A">
      <w:r>
        <w:separator/>
      </w:r>
    </w:p>
  </w:endnote>
  <w:endnote w:type="continuationSeparator" w:id="0">
    <w:p w:rsidR="0047160A" w:rsidRDefault="004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0A" w:rsidRDefault="0047160A">
      <w:r>
        <w:separator/>
      </w:r>
    </w:p>
  </w:footnote>
  <w:footnote w:type="continuationSeparator" w:id="0">
    <w:p w:rsidR="0047160A" w:rsidRDefault="0047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071F82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B1145F">
      <w:rPr>
        <w:rFonts w:cs="Arial"/>
        <w:i/>
        <w:szCs w:val="18"/>
      </w:rPr>
      <w:t>25.2/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071F82">
      <w:rPr>
        <w:rFonts w:cs="Arial"/>
        <w:i/>
        <w:szCs w:val="18"/>
      </w:rPr>
      <w:t>/C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EC011F"/>
    <w:multiLevelType w:val="hybridMultilevel"/>
    <w:tmpl w:val="6C8E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037DD4"/>
    <w:multiLevelType w:val="hybridMultilevel"/>
    <w:tmpl w:val="6FFC8434"/>
    <w:lvl w:ilvl="0" w:tplc="4E72E810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4FEB43AC"/>
    <w:multiLevelType w:val="hybridMultilevel"/>
    <w:tmpl w:val="33BAE64E"/>
    <w:lvl w:ilvl="0" w:tplc="424E2B0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5C957D73"/>
    <w:multiLevelType w:val="hybridMultilevel"/>
    <w:tmpl w:val="29805D36"/>
    <w:lvl w:ilvl="0" w:tplc="44E22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4"/>
  </w:num>
  <w:num w:numId="3">
    <w:abstractNumId w:val="11"/>
  </w:num>
  <w:num w:numId="4">
    <w:abstractNumId w:val="23"/>
  </w:num>
  <w:num w:numId="5">
    <w:abstractNumId w:val="12"/>
  </w:num>
  <w:num w:numId="6">
    <w:abstractNumId w:val="35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4"/>
  </w:num>
  <w:num w:numId="9">
    <w:abstractNumId w:val="7"/>
  </w:num>
  <w:num w:numId="10">
    <w:abstractNumId w:val="22"/>
  </w:num>
  <w:num w:numId="11">
    <w:abstractNumId w:val="40"/>
  </w:num>
  <w:num w:numId="12">
    <w:abstractNumId w:val="3"/>
  </w:num>
  <w:num w:numId="13">
    <w:abstractNumId w:val="19"/>
  </w:num>
  <w:num w:numId="14">
    <w:abstractNumId w:val="38"/>
  </w:num>
  <w:num w:numId="15">
    <w:abstractNumId w:val="2"/>
  </w:num>
  <w:num w:numId="16">
    <w:abstractNumId w:val="10"/>
  </w:num>
  <w:num w:numId="17">
    <w:abstractNumId w:val="41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17"/>
  </w:num>
  <w:num w:numId="23">
    <w:abstractNumId w:val="26"/>
  </w:num>
  <w:num w:numId="24">
    <w:abstractNumId w:val="16"/>
  </w:num>
  <w:num w:numId="25">
    <w:abstractNumId w:val="31"/>
  </w:num>
  <w:num w:numId="26">
    <w:abstractNumId w:val="0"/>
  </w:num>
  <w:num w:numId="27">
    <w:abstractNumId w:val="42"/>
  </w:num>
  <w:num w:numId="28">
    <w:abstractNumId w:val="6"/>
  </w:num>
  <w:num w:numId="29">
    <w:abstractNumId w:val="20"/>
  </w:num>
  <w:num w:numId="30">
    <w:abstractNumId w:val="13"/>
  </w:num>
  <w:num w:numId="31">
    <w:abstractNumId w:val="29"/>
  </w:num>
  <w:num w:numId="32">
    <w:abstractNumId w:val="28"/>
  </w:num>
  <w:num w:numId="33">
    <w:abstractNumId w:val="5"/>
  </w:num>
  <w:num w:numId="34">
    <w:abstractNumId w:val="18"/>
  </w:num>
  <w:num w:numId="35">
    <w:abstractNumId w:val="15"/>
  </w:num>
  <w:num w:numId="36">
    <w:abstractNumId w:val="32"/>
  </w:num>
  <w:num w:numId="37">
    <w:abstractNumId w:val="37"/>
  </w:num>
  <w:num w:numId="38">
    <w:abstractNumId w:val="9"/>
  </w:num>
  <w:num w:numId="39">
    <w:abstractNumId w:val="30"/>
  </w:num>
  <w:num w:numId="40">
    <w:abstractNumId w:val="43"/>
  </w:num>
  <w:num w:numId="41">
    <w:abstractNumId w:val="24"/>
  </w:num>
  <w:num w:numId="42">
    <w:abstractNumId w:val="8"/>
  </w:num>
  <w:num w:numId="43">
    <w:abstractNumId w:val="14"/>
  </w:num>
  <w:num w:numId="44">
    <w:abstractNumId w:val="25"/>
  </w:num>
  <w:num w:numId="45">
    <w:abstractNumId w:val="27"/>
  </w:num>
  <w:num w:numId="46">
    <w:abstractNumId w:val="33"/>
  </w:num>
  <w:num w:numId="47">
    <w:abstractNumId w:val="3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1F82"/>
    <w:rsid w:val="00073C92"/>
    <w:rsid w:val="00080F03"/>
    <w:rsid w:val="000900E1"/>
    <w:rsid w:val="0009076A"/>
    <w:rsid w:val="000B6220"/>
    <w:rsid w:val="000C21B1"/>
    <w:rsid w:val="000C3298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334A"/>
    <w:rsid w:val="00234857"/>
    <w:rsid w:val="00254721"/>
    <w:rsid w:val="00260772"/>
    <w:rsid w:val="00263159"/>
    <w:rsid w:val="002779F7"/>
    <w:rsid w:val="00287F6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4270"/>
    <w:rsid w:val="004656D0"/>
    <w:rsid w:val="0047160A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AE7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62F59"/>
    <w:rsid w:val="007728B4"/>
    <w:rsid w:val="0077622E"/>
    <w:rsid w:val="00777913"/>
    <w:rsid w:val="00777FE4"/>
    <w:rsid w:val="0079075D"/>
    <w:rsid w:val="007B1A8F"/>
    <w:rsid w:val="007C1468"/>
    <w:rsid w:val="007C41D7"/>
    <w:rsid w:val="007F16FB"/>
    <w:rsid w:val="007F1BBA"/>
    <w:rsid w:val="0081600F"/>
    <w:rsid w:val="0082722D"/>
    <w:rsid w:val="008274F7"/>
    <w:rsid w:val="00831548"/>
    <w:rsid w:val="008441F9"/>
    <w:rsid w:val="00846A99"/>
    <w:rsid w:val="008641D1"/>
    <w:rsid w:val="008648EB"/>
    <w:rsid w:val="00866F03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0453"/>
    <w:rsid w:val="00AE45FB"/>
    <w:rsid w:val="00AE7B21"/>
    <w:rsid w:val="00AF1980"/>
    <w:rsid w:val="00AF2021"/>
    <w:rsid w:val="00B0238A"/>
    <w:rsid w:val="00B1145F"/>
    <w:rsid w:val="00B16E28"/>
    <w:rsid w:val="00B25908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5210E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611F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EF6B32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971CB5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365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2</cp:revision>
  <cp:lastPrinted>2017-07-07T11:51:00Z</cp:lastPrinted>
  <dcterms:created xsi:type="dcterms:W3CDTF">2017-07-12T07:51:00Z</dcterms:created>
  <dcterms:modified xsi:type="dcterms:W3CDTF">2017-07-12T07:51:00Z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