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336C6C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8E3EB1">
              <w:rPr>
                <w:rFonts w:ascii="Arial" w:hAnsi="Arial" w:cs="Arial"/>
                <w:sz w:val="22"/>
                <w:szCs w:val="22"/>
                <w:lang w:val="es-ES"/>
              </w:rPr>
              <w:t>105</w:t>
            </w:r>
          </w:p>
          <w:p w:rsidR="00992727" w:rsidRPr="00BA7075" w:rsidRDefault="007B415C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7B415C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7B415C" w:rsidRPr="0014025E" w:rsidRDefault="007B415C" w:rsidP="007B415C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14025E">
        <w:rPr>
          <w:rFonts w:ascii="Arial" w:hAnsi="Arial" w:cs="Arial"/>
          <w:b/>
          <w:bCs/>
          <w:caps/>
          <w:sz w:val="22"/>
          <w:szCs w:val="22"/>
          <w:lang w:val="es-ES"/>
        </w:rPr>
        <w:t>Resoluciones que han de revocarse en parte</w:t>
      </w:r>
    </w:p>
    <w:p w:rsidR="007B415C" w:rsidRPr="0014025E" w:rsidRDefault="007B415C" w:rsidP="007B415C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:rsidR="007B415C" w:rsidRPr="0014025E" w:rsidRDefault="007B415C" w:rsidP="007B415C">
      <w:pPr>
        <w:pStyle w:val="p1"/>
        <w:jc w:val="center"/>
        <w:rPr>
          <w:rFonts w:ascii="Arial" w:eastAsia="Times New Roman" w:hAnsi="Arial" w:cs="Arial"/>
          <w:sz w:val="22"/>
          <w:szCs w:val="22"/>
          <w:lang w:val="es-ES"/>
        </w:rPr>
      </w:pPr>
      <w:bookmarkStart w:id="0" w:name="_Hlk496734934"/>
      <w:r w:rsidRPr="0014025E">
        <w:rPr>
          <w:rFonts w:ascii="Arial" w:hAnsi="Arial" w:cs="Arial"/>
          <w:b/>
          <w:caps/>
          <w:sz w:val="22"/>
          <w:szCs w:val="22"/>
          <w:lang w:val="es-ES"/>
        </w:rPr>
        <w:t>Resolución 7.5</w:t>
      </w:r>
      <w:bookmarkEnd w:id="0"/>
      <w:r w:rsidRPr="0014025E">
        <w:rPr>
          <w:rFonts w:ascii="Arial" w:hAnsi="Arial" w:cs="Arial"/>
          <w:b/>
          <w:caps/>
          <w:sz w:val="22"/>
          <w:szCs w:val="22"/>
          <w:lang w:val="es-ES"/>
        </w:rPr>
        <w:t>, TURBINAS EÓLICAS Y ESPECIES MIGRATORIAS</w:t>
      </w:r>
    </w:p>
    <w:p w:rsidR="007B415C" w:rsidRPr="006162F9" w:rsidRDefault="007B415C" w:rsidP="007B415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caps/>
          <w:sz w:val="22"/>
          <w:szCs w:val="22"/>
          <w:lang w:val="es-ES"/>
        </w:rPr>
      </w:pPr>
      <w:r w:rsidRPr="006162F9">
        <w:rPr>
          <w:rFonts w:ascii="Arial" w:hAnsi="Arial" w:cs="Arial"/>
          <w:caps/>
          <w:sz w:val="22"/>
          <w:szCs w:val="22"/>
          <w:lang w:val="es-ES"/>
        </w:rPr>
        <w:t xml:space="preserve"> </w:t>
      </w:r>
    </w:p>
    <w:p w:rsidR="006A709B" w:rsidRPr="006162F9" w:rsidRDefault="006A709B" w:rsidP="007B415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6162F9">
        <w:rPr>
          <w:rFonts w:ascii="Arial" w:hAnsi="Arial" w:cs="Arial"/>
          <w:caps/>
          <w:sz w:val="22"/>
          <w:szCs w:val="22"/>
          <w:lang w:val="es-ES"/>
        </w:rPr>
        <w:t>(UNEP/CMS/COP12/</w:t>
      </w:r>
      <w:r w:rsidR="00040591" w:rsidRPr="006162F9">
        <w:rPr>
          <w:rFonts w:ascii="Arial" w:hAnsi="Arial" w:cs="Arial"/>
          <w:sz w:val="22"/>
          <w:szCs w:val="22"/>
          <w:lang w:val="es-ES"/>
        </w:rPr>
        <w:t>Doc</w:t>
      </w:r>
      <w:r w:rsidRPr="006162F9">
        <w:rPr>
          <w:rFonts w:ascii="Arial" w:hAnsi="Arial" w:cs="Arial"/>
          <w:caps/>
          <w:sz w:val="22"/>
          <w:szCs w:val="22"/>
          <w:lang w:val="es-ES"/>
        </w:rPr>
        <w:t>.</w:t>
      </w:r>
      <w:r w:rsidR="007B415C" w:rsidRPr="006162F9">
        <w:rPr>
          <w:rFonts w:ascii="Arial" w:hAnsi="Arial" w:cs="Arial"/>
          <w:caps/>
          <w:sz w:val="22"/>
          <w:szCs w:val="22"/>
          <w:lang w:val="es-ES"/>
        </w:rPr>
        <w:t>21.1.10</w:t>
      </w:r>
      <w:r w:rsidRPr="006162F9">
        <w:rPr>
          <w:rFonts w:ascii="Arial" w:hAnsi="Arial" w:cs="Arial"/>
          <w:caps/>
          <w:sz w:val="22"/>
          <w:szCs w:val="22"/>
          <w:lang w:val="es-ES"/>
        </w:rPr>
        <w:t>)</w:t>
      </w:r>
    </w:p>
    <w:p w:rsidR="006A709B" w:rsidRPr="006162F9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B64904" w:rsidRPr="006A709B" w:rsidRDefault="00B64904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336C6C">
        <w:rPr>
          <w:rFonts w:ascii="Arial" w:hAnsi="Arial" w:cs="Arial"/>
          <w:i/>
          <w:sz w:val="22"/>
          <w:szCs w:val="22"/>
          <w:lang w:val="es-ES"/>
        </w:rPr>
        <w:t>(</w:t>
      </w:r>
      <w:r w:rsidR="00B12998" w:rsidRPr="00336C6C">
        <w:rPr>
          <w:rFonts w:ascii="Arial" w:hAnsi="Arial" w:cs="Arial"/>
          <w:i/>
          <w:sz w:val="22"/>
          <w:szCs w:val="22"/>
          <w:lang w:val="es-ES"/>
        </w:rPr>
        <w:t>P</w:t>
      </w:r>
      <w:r w:rsidR="00227850" w:rsidRPr="00336C6C">
        <w:rPr>
          <w:rFonts w:ascii="Arial" w:hAnsi="Arial" w:cs="Arial"/>
          <w:i/>
          <w:sz w:val="22"/>
          <w:szCs w:val="22"/>
          <w:lang w:val="es-ES"/>
        </w:rPr>
        <w:t>reparado</w:t>
      </w:r>
      <w:r w:rsidR="00F21FE2" w:rsidRPr="00336C6C">
        <w:rPr>
          <w:rFonts w:ascii="Arial" w:hAnsi="Arial" w:cs="Arial"/>
          <w:i/>
          <w:sz w:val="22"/>
          <w:szCs w:val="22"/>
          <w:lang w:val="es-ES"/>
        </w:rPr>
        <w:t xml:space="preserve"> por</w:t>
      </w:r>
      <w:r w:rsidR="0079075D" w:rsidRPr="00336C6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AB4281">
        <w:rPr>
          <w:rFonts w:ascii="Arial" w:hAnsi="Arial" w:cs="Arial"/>
          <w:i/>
          <w:sz w:val="22"/>
          <w:szCs w:val="22"/>
          <w:lang w:val="es-ES"/>
        </w:rPr>
        <w:t>el Grupo de T</w:t>
      </w:r>
      <w:r w:rsidR="00336C6C" w:rsidRPr="00336C6C">
        <w:rPr>
          <w:rFonts w:ascii="Arial" w:hAnsi="Arial" w:cs="Arial"/>
          <w:i/>
          <w:sz w:val="22"/>
          <w:szCs w:val="22"/>
          <w:lang w:val="es-ES"/>
        </w:rPr>
        <w:t xml:space="preserve">rabajo </w:t>
      </w:r>
      <w:r w:rsidR="00AB4281">
        <w:rPr>
          <w:rFonts w:ascii="Arial" w:hAnsi="Arial" w:cs="Arial"/>
          <w:i/>
          <w:sz w:val="22"/>
          <w:szCs w:val="22"/>
          <w:lang w:val="es-ES"/>
        </w:rPr>
        <w:t>para la</w:t>
      </w:r>
      <w:r w:rsidR="00336C6C" w:rsidRPr="00336C6C">
        <w:rPr>
          <w:rFonts w:ascii="Arial" w:hAnsi="Arial" w:cs="Arial"/>
          <w:i/>
          <w:sz w:val="22"/>
          <w:szCs w:val="22"/>
          <w:lang w:val="es-ES"/>
        </w:rPr>
        <w:t xml:space="preserve"> revisión de decisiones</w:t>
      </w:r>
      <w:r w:rsidR="00336C6C">
        <w:rPr>
          <w:rFonts w:ascii="Arial" w:hAnsi="Arial" w:cs="Arial"/>
          <w:i/>
          <w:sz w:val="22"/>
          <w:szCs w:val="22"/>
          <w:lang w:val="es-ES"/>
        </w:rPr>
        <w:t>)</w:t>
      </w:r>
    </w:p>
    <w:p w:rsidR="001764E6" w:rsidRPr="006A709B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36C6C" w:rsidRPr="00C07560" w:rsidRDefault="007578E0" w:rsidP="00336C6C">
      <w:pPr>
        <w:widowControl/>
        <w:autoSpaceDE/>
        <w:autoSpaceDN/>
        <w:adjustRightInd/>
        <w:spacing w:before="23" w:after="23"/>
        <w:jc w:val="center"/>
        <w:rPr>
          <w:rFonts w:ascii="Arial" w:eastAsia="Calibri" w:hAnsi="Arial" w:cs="Arial"/>
          <w:b/>
          <w:sz w:val="22"/>
          <w:szCs w:val="22"/>
          <w:lang w:val="es-ES"/>
        </w:rPr>
      </w:pPr>
      <w:r w:rsidRPr="00C07560">
        <w:rPr>
          <w:rFonts w:ascii="Arial" w:eastAsia="Calibri" w:hAnsi="Arial" w:cs="Arial"/>
          <w:b/>
          <w:caps/>
          <w:sz w:val="22"/>
          <w:szCs w:val="22"/>
          <w:lang w:val="es-ES"/>
        </w:rPr>
        <w:t>resoluC</w:t>
      </w:r>
      <w:r w:rsidR="00336C6C" w:rsidRPr="00C07560">
        <w:rPr>
          <w:rFonts w:ascii="Arial" w:eastAsia="Calibri" w:hAnsi="Arial" w:cs="Arial"/>
          <w:b/>
          <w:caps/>
          <w:sz w:val="22"/>
          <w:szCs w:val="22"/>
          <w:lang w:val="es-ES"/>
        </w:rPr>
        <w:t>i</w:t>
      </w:r>
      <w:r w:rsidRPr="00C07560">
        <w:rPr>
          <w:rFonts w:ascii="Arial" w:eastAsia="Calibri" w:hAnsi="Arial" w:cs="Arial"/>
          <w:b/>
          <w:caps/>
          <w:sz w:val="22"/>
          <w:szCs w:val="22"/>
          <w:lang w:val="es-ES"/>
        </w:rPr>
        <w:t>ó</w:t>
      </w:r>
      <w:r w:rsidR="00336C6C" w:rsidRPr="00C07560">
        <w:rPr>
          <w:rFonts w:ascii="Arial" w:eastAsia="Calibri" w:hAnsi="Arial" w:cs="Arial"/>
          <w:b/>
          <w:caps/>
          <w:sz w:val="22"/>
          <w:szCs w:val="22"/>
          <w:lang w:val="es-ES"/>
        </w:rPr>
        <w:t>n 7.5 (Rev. cop</w:t>
      </w:r>
      <w:proofErr w:type="gramStart"/>
      <w:r w:rsidR="00336C6C" w:rsidRPr="00C07560">
        <w:rPr>
          <w:rFonts w:ascii="Arial" w:eastAsia="Calibri" w:hAnsi="Arial" w:cs="Arial"/>
          <w:b/>
          <w:caps/>
          <w:sz w:val="22"/>
          <w:szCs w:val="22"/>
          <w:lang w:val="es-ES"/>
        </w:rPr>
        <w:t>12)</w:t>
      </w:r>
      <w:r w:rsidR="00336C6C" w:rsidRPr="00C07560">
        <w:rPr>
          <w:rFonts w:ascii="Arial" w:eastAsia="Calibri" w:hAnsi="Arial" w:cs="Arial"/>
          <w:caps/>
          <w:sz w:val="22"/>
          <w:szCs w:val="22"/>
          <w:lang w:val="es-ES"/>
        </w:rPr>
        <w:footnoteReference w:customMarkFollows="1" w:id="1"/>
        <w:t>*</w:t>
      </w:r>
      <w:proofErr w:type="gramEnd"/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que en el artículo II de la Convención se reconoce la necesidad de adoptar medidas para evitar que las especies migratorias se vean amenazadas;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Recordando también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la necesidad de preservar la fauna silvestre del medio marino, como se estipula en la legislación pertinente de la Comunidad Europea y en las Convenciones para la Protección del Medio Marino del Atlántico Norte (OSPAR), la Convención de Helsinki sobre la protección de la zona del Mar Báltico, y la Convención de Berna sobre la conservación de la flora y la fauna silvestres de Europa y su hábitat natural, y la Declaración de Bergen de la Quinta conferencia internacional sobre la protección del Mar del Norte;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que en el artículo VII de la Convención se establece que la Conferencia de las Partes puede formular recomendaciones a las Partes para mejorar la eficacia de la Convención;</w:t>
      </w:r>
    </w:p>
    <w:p w:rsidR="007578E0" w:rsidRDefault="007578E0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7578E0" w:rsidRPr="007578E0" w:rsidRDefault="007578E0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Considerando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7578E0">
        <w:rPr>
          <w:rFonts w:ascii="Arial" w:hAnsi="Arial" w:cs="Arial"/>
          <w:sz w:val="22"/>
          <w:szCs w:val="22"/>
          <w:lang w:val="es-ES"/>
        </w:rPr>
        <w:t>que en artículo III apartado 4(b) de la Convención</w:t>
      </w:r>
      <w:r>
        <w:rPr>
          <w:rFonts w:ascii="Arial" w:hAnsi="Arial" w:cs="Arial"/>
          <w:sz w:val="22"/>
          <w:szCs w:val="22"/>
          <w:lang w:val="es-ES"/>
        </w:rPr>
        <w:t xml:space="preserve"> exige a las Partes que se </w:t>
      </w:r>
      <w:r w:rsidR="009500E8">
        <w:rPr>
          <w:rFonts w:ascii="Arial" w:hAnsi="Arial" w:cs="Arial"/>
          <w:sz w:val="22"/>
          <w:szCs w:val="22"/>
          <w:lang w:val="es-ES"/>
        </w:rPr>
        <w:t xml:space="preserve">esfuercen por prevenir, eliminar, compensar o minimizar </w:t>
      </w:r>
      <w:r w:rsidR="002F2D67" w:rsidRPr="002F2D67">
        <w:rPr>
          <w:rFonts w:ascii="Arial" w:hAnsi="Arial" w:cs="Arial"/>
          <w:sz w:val="22"/>
          <w:szCs w:val="22"/>
          <w:lang w:val="es-ES"/>
        </w:rPr>
        <w:t>en forma apropiada, los efectos negativos de</w:t>
      </w:r>
      <w:r w:rsidR="002F2D67">
        <w:rPr>
          <w:rFonts w:ascii="Arial" w:hAnsi="Arial" w:cs="Arial"/>
          <w:sz w:val="22"/>
          <w:szCs w:val="22"/>
          <w:lang w:val="es-ES"/>
        </w:rPr>
        <w:t xml:space="preserve"> </w:t>
      </w:r>
      <w:r w:rsidR="002F2D67" w:rsidRPr="002F2D67">
        <w:rPr>
          <w:rFonts w:ascii="Arial" w:hAnsi="Arial" w:cs="Arial"/>
          <w:sz w:val="22"/>
          <w:szCs w:val="22"/>
          <w:lang w:val="es-ES"/>
        </w:rPr>
        <w:t>actividades o de obstáculos que dificultan seriamente o impiden la migración de dicha especie</w:t>
      </w:r>
      <w:r w:rsidR="002F2D67">
        <w:rPr>
          <w:rFonts w:ascii="Arial" w:hAnsi="Arial" w:cs="Arial"/>
          <w:sz w:val="22"/>
          <w:szCs w:val="22"/>
          <w:lang w:val="es-ES"/>
        </w:rPr>
        <w:t>”;</w:t>
      </w:r>
      <w:r w:rsidR="009500E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que en la Resolución 4.5 se encarga al Consejo Científico, entre otras cosas, que recomiende a la Conferencia de las Partes soluciones para problemas relacionados con los aspectos científicos de la aplicación de la Convención, en particular respecto del hábitat de las especies migratorias;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los beneficios para el medio ambiente de la energía eólica, en especial para </w:t>
      </w:r>
      <w:r w:rsidR="00AB4281">
        <w:rPr>
          <w:rFonts w:ascii="Arial" w:hAnsi="Arial" w:cs="Arial"/>
          <w:sz w:val="22"/>
          <w:szCs w:val="22"/>
          <w:lang w:val="es-ES"/>
        </w:rPr>
        <w:t>abordar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el cambio climático, y la importancia de reducir el cambio climático para la supervivencia a largo plazo de las especies migratorias;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que las turbinas eólicas, sobre todo las instaladas en zonas marinas, representan una nueva técnica de producción de energía en gran escala cuyos efectos reales en la naturaleza y en los diferentes componentes de la diversidad biológica no se pueden evaluar ni predecir totalmente en estos momentos;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lastRenderedPageBreak/>
        <w:t>Reconociendo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la carencia de investigaciones pertinentes y adecuadas sobre esos efectos, sobre todo en la naturaleza, y la falta de datos sobre la distribución y la migración de las especies afectadas;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Preocupada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por los posibles efectos negativos de las turbinas eólicas en las especies migratorias de mamíferos y aves, así como en sus fuentes de alimento y sus hábitats, por ejemplo: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:rsidR="008E3EB1" w:rsidRPr="0014025E" w:rsidRDefault="008E3EB1" w:rsidP="002F2D67">
      <w:pPr>
        <w:pStyle w:val="ListParagraph"/>
        <w:widowControl/>
        <w:numPr>
          <w:ilvl w:val="0"/>
          <w:numId w:val="46"/>
        </w:numPr>
        <w:tabs>
          <w:tab w:val="left" w:pos="90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sz w:val="22"/>
          <w:szCs w:val="22"/>
          <w:lang w:val="es-ES"/>
        </w:rPr>
        <w:t>La destrucción o alteración del hábitat alimentario, de descanso y de reproducción permanente o temporal;</w:t>
      </w:r>
    </w:p>
    <w:p w:rsidR="008E3EB1" w:rsidRPr="0014025E" w:rsidRDefault="008E3EB1" w:rsidP="008E3EB1">
      <w:pPr>
        <w:widowControl/>
        <w:tabs>
          <w:tab w:val="left" w:pos="900"/>
        </w:tabs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C07560" w:rsidRPr="00EC4B19" w:rsidRDefault="008E3EB1" w:rsidP="002F2D67">
      <w:pPr>
        <w:pStyle w:val="ListParagraph"/>
        <w:widowControl/>
        <w:numPr>
          <w:ilvl w:val="0"/>
          <w:numId w:val="46"/>
        </w:numPr>
        <w:tabs>
          <w:tab w:val="left" w:pos="255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C4B19">
        <w:rPr>
          <w:rFonts w:ascii="Arial" w:hAnsi="Arial" w:cs="Arial"/>
          <w:sz w:val="22"/>
          <w:szCs w:val="22"/>
          <w:lang w:val="es-ES"/>
        </w:rPr>
        <w:t>el aumento del riesgo d</w:t>
      </w:r>
      <w:r w:rsidR="002F2D67" w:rsidRPr="00EC4B19">
        <w:rPr>
          <w:rFonts w:ascii="Arial" w:hAnsi="Arial" w:cs="Arial"/>
          <w:sz w:val="22"/>
          <w:szCs w:val="22"/>
          <w:lang w:val="es-ES"/>
        </w:rPr>
        <w:t>e colisión de las aves en vuelo</w:t>
      </w:r>
      <w:r w:rsidR="00C07560" w:rsidRPr="00EC4B19">
        <w:rPr>
          <w:rFonts w:ascii="Arial" w:hAnsi="Arial" w:cs="Arial"/>
          <w:sz w:val="22"/>
          <w:szCs w:val="22"/>
          <w:lang w:val="es-ES"/>
        </w:rPr>
        <w:t>;</w:t>
      </w:r>
    </w:p>
    <w:p w:rsidR="00C07560" w:rsidRPr="00EC4B19" w:rsidRDefault="00C07560" w:rsidP="00C07560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8E3EB1" w:rsidRPr="00EC4B19" w:rsidRDefault="008E3EB1" w:rsidP="002F2D67">
      <w:pPr>
        <w:pStyle w:val="ListParagraph"/>
        <w:widowControl/>
        <w:numPr>
          <w:ilvl w:val="0"/>
          <w:numId w:val="46"/>
        </w:numPr>
        <w:tabs>
          <w:tab w:val="left" w:pos="255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C4B19">
        <w:rPr>
          <w:rFonts w:ascii="Arial" w:hAnsi="Arial" w:cs="Arial"/>
          <w:sz w:val="22"/>
          <w:szCs w:val="22"/>
          <w:lang w:val="es-ES"/>
        </w:rPr>
        <w:t>el efecto de los campos eléctrico y magnético de las conexiones de cables del tendido eléctrico; o</w:t>
      </w:r>
    </w:p>
    <w:p w:rsidR="002F2D67" w:rsidRPr="002F2D67" w:rsidRDefault="002F2D67" w:rsidP="002F2D67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8E3EB1" w:rsidRPr="002F2D67" w:rsidRDefault="008E3EB1" w:rsidP="002F2D67">
      <w:pPr>
        <w:pStyle w:val="ListParagraph"/>
        <w:widowControl/>
        <w:numPr>
          <w:ilvl w:val="0"/>
          <w:numId w:val="46"/>
        </w:numPr>
        <w:tabs>
          <w:tab w:val="left" w:pos="2552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2F2D67">
        <w:rPr>
          <w:rFonts w:ascii="Arial" w:hAnsi="Arial" w:cs="Arial"/>
          <w:sz w:val="22"/>
          <w:szCs w:val="22"/>
          <w:lang w:val="es-ES"/>
        </w:rPr>
        <w:t>la emisión de ruidos y vibraciones en el agua;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la necesidad de realizar una evaluación exhaustiva de los efectos en el medio ambiente antes de la selección de los lugares de construcción apropiados y de la emisión de los permisos de construcción, a fin de evitar zonas y hábitats de valor ecológico especial con gran necesidad de medidas para la conservación de la naturaleza;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de la necesidad de vigilar y evaluar periódicamente los efectos reales de las turbinas eólicas mediante el intercambio internacional de experiencias y programas de vigilancia de efectos específicos de las instalaciones eólicas existentes; y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Señalando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en particular el posible riesgo de que los varios centenares de esas instalaciones marinas con alturas de hasta 150 metros que ya existen puedan constituirse en obstáculos para los corredores aéreos, y deseando reducir al mínimo los posibles efectos adversos en la naturaleza;</w:t>
      </w: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Style w:val="QuickFormat2"/>
          <w:rFonts w:ascii="Arial" w:hAnsi="Arial" w:cs="Arial"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both"/>
        <w:rPr>
          <w:rStyle w:val="QuickFormat2"/>
          <w:rFonts w:ascii="Arial" w:hAnsi="Arial" w:cs="Arial"/>
          <w:sz w:val="22"/>
          <w:szCs w:val="22"/>
          <w:lang w:val="es-ES"/>
        </w:rPr>
      </w:pPr>
    </w:p>
    <w:p w:rsidR="008E3EB1" w:rsidRPr="0014025E" w:rsidRDefault="008E3EB1" w:rsidP="008E3EB1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:rsidR="008E3EB1" w:rsidRPr="0014025E" w:rsidRDefault="008E3EB1" w:rsidP="008E3EB1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:rsidR="008E3EB1" w:rsidRPr="0014025E" w:rsidRDefault="008E3EB1" w:rsidP="008E3EB1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</w:p>
    <w:p w:rsidR="008E3EB1" w:rsidRPr="0014025E" w:rsidRDefault="008E3EB1" w:rsidP="008E3EB1">
      <w:pPr>
        <w:pStyle w:val="p1"/>
        <w:numPr>
          <w:ilvl w:val="0"/>
          <w:numId w:val="47"/>
        </w:numPr>
        <w:ind w:left="360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14025E">
        <w:rPr>
          <w:rFonts w:ascii="Arial" w:eastAsia="Times New Roman" w:hAnsi="Arial" w:cs="Arial"/>
          <w:i/>
          <w:sz w:val="22"/>
          <w:szCs w:val="22"/>
          <w:lang w:val="es-ES"/>
        </w:rPr>
        <w:t>Exhorta</w:t>
      </w:r>
      <w:r w:rsidRPr="0014025E">
        <w:rPr>
          <w:rFonts w:ascii="Arial" w:eastAsia="Times New Roman" w:hAnsi="Arial" w:cs="Arial"/>
          <w:sz w:val="22"/>
          <w:szCs w:val="22"/>
          <w:lang w:val="es-ES"/>
        </w:rPr>
        <w:t xml:space="preserve"> a las Partes a que:</w:t>
      </w:r>
    </w:p>
    <w:p w:rsidR="008E3EB1" w:rsidRPr="0014025E" w:rsidRDefault="008E3EB1" w:rsidP="008E3EB1">
      <w:pPr>
        <w:pStyle w:val="p1"/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:rsidR="008E3EB1" w:rsidRPr="0014025E" w:rsidRDefault="008E3EB1" w:rsidP="008E3EB1">
      <w:pPr>
        <w:pStyle w:val="ListParagraph"/>
        <w:widowControl/>
        <w:numPr>
          <w:ilvl w:val="0"/>
          <w:numId w:val="48"/>
        </w:numPr>
        <w:autoSpaceDE/>
        <w:autoSpaceDN/>
        <w:adjustRightInd/>
        <w:ind w:left="1080"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sz w:val="22"/>
          <w:szCs w:val="22"/>
          <w:lang w:val="es-ES"/>
        </w:rPr>
        <w:t>delimiten las zonas en las que las especies migratorias son vulnerables a las turbinas eólicas y en las que debería normalmente evitarse la instalación de turbinas eólicas para proteger a las especies migratorias;</w:t>
      </w:r>
    </w:p>
    <w:p w:rsidR="008E3EB1" w:rsidRPr="0014025E" w:rsidRDefault="008E3EB1" w:rsidP="008E3EB1">
      <w:pPr>
        <w:widowControl/>
        <w:autoSpaceDE/>
        <w:autoSpaceDN/>
        <w:adjustRightInd/>
        <w:ind w:left="1080" w:hanging="360"/>
        <w:jc w:val="both"/>
        <w:rPr>
          <w:rFonts w:ascii="Arial" w:hAnsi="Arial" w:cs="Arial"/>
          <w:sz w:val="22"/>
          <w:szCs w:val="22"/>
          <w:lang w:val="es-ES"/>
        </w:rPr>
      </w:pPr>
    </w:p>
    <w:p w:rsidR="008E3EB1" w:rsidRPr="0014025E" w:rsidRDefault="008E3EB1" w:rsidP="008E3EB1">
      <w:pPr>
        <w:pStyle w:val="ListParagraph"/>
        <w:widowControl/>
        <w:numPr>
          <w:ilvl w:val="0"/>
          <w:numId w:val="48"/>
        </w:numPr>
        <w:autoSpaceDE/>
        <w:autoSpaceDN/>
        <w:adjustRightInd/>
        <w:ind w:left="1080"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sz w:val="22"/>
          <w:szCs w:val="22"/>
          <w:lang w:val="es-ES"/>
        </w:rPr>
        <w:t>tengan plenamente en cuenta el principio de precaución en el desarrollo de las instalaciones de turbinas eólicas, y desarrollen parques de producción de energía eólica teniendo en cuenta los datos sobre los efectos en el medio ambiente y estudiando la información a medida que surge y tomando en cuenta el intercambio de información suministrado mediante los procedimientos de planificación del espacio;</w:t>
      </w:r>
    </w:p>
    <w:p w:rsidR="008E3EB1" w:rsidRDefault="008E3EB1" w:rsidP="008E3EB1">
      <w:pPr>
        <w:pStyle w:val="p1"/>
        <w:jc w:val="both"/>
        <w:rPr>
          <w:rFonts w:ascii="Arial" w:eastAsia="Times New Roman" w:hAnsi="Arial" w:cs="Arial"/>
          <w:noProof/>
          <w:sz w:val="22"/>
          <w:szCs w:val="22"/>
          <w:u w:val="single"/>
          <w:lang w:val="es-ES"/>
        </w:rPr>
      </w:pPr>
    </w:p>
    <w:p w:rsidR="008E3EB1" w:rsidRPr="0014025E" w:rsidRDefault="008E3EB1" w:rsidP="008E3EB1">
      <w:pPr>
        <w:pStyle w:val="p1"/>
        <w:jc w:val="both"/>
        <w:rPr>
          <w:rFonts w:ascii="Arial" w:hAnsi="Arial" w:cs="Arial"/>
          <w:sz w:val="22"/>
          <w:szCs w:val="22"/>
          <w:lang w:val="es-ES"/>
        </w:rPr>
      </w:pPr>
    </w:p>
    <w:p w:rsidR="008E3EB1" w:rsidRPr="0014025E" w:rsidRDefault="008E3EB1" w:rsidP="008E3EB1">
      <w:pPr>
        <w:pStyle w:val="p1"/>
        <w:numPr>
          <w:ilvl w:val="0"/>
          <w:numId w:val="47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14025E">
        <w:rPr>
          <w:rFonts w:ascii="Arial" w:hAnsi="Arial" w:cs="Arial"/>
          <w:i/>
          <w:sz w:val="22"/>
          <w:szCs w:val="22"/>
          <w:lang w:val="es-ES"/>
        </w:rPr>
        <w:t>Invita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a las organizaciones intergubernamentales pertinentes, así como a la </w:t>
      </w:r>
      <w:r w:rsidR="00C81FA5">
        <w:rPr>
          <w:rFonts w:ascii="Arial" w:hAnsi="Arial" w:cs="Arial"/>
          <w:sz w:val="22"/>
          <w:szCs w:val="22"/>
          <w:lang w:val="es-ES"/>
        </w:rPr>
        <w:t>Unión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Europea y al sector privado a que </w:t>
      </w:r>
      <w:r w:rsidRPr="0014025E">
        <w:rPr>
          <w:rFonts w:ascii="Arial" w:eastAsia="Times New Roman" w:hAnsi="Arial" w:cs="Arial"/>
          <w:sz w:val="22"/>
          <w:szCs w:val="22"/>
          <w:lang w:val="es-ES"/>
        </w:rPr>
        <w:t>cooperen</w:t>
      </w:r>
      <w:r w:rsidRPr="0014025E">
        <w:rPr>
          <w:rFonts w:ascii="Arial" w:hAnsi="Arial" w:cs="Arial"/>
          <w:sz w:val="22"/>
          <w:szCs w:val="22"/>
          <w:lang w:val="es-ES"/>
        </w:rPr>
        <w:t xml:space="preserve"> con la CMS en los esfuerzos encaminados a mini</w:t>
      </w:r>
      <w:bookmarkStart w:id="1" w:name="_GoBack"/>
      <w:bookmarkEnd w:id="1"/>
      <w:r w:rsidRPr="0014025E">
        <w:rPr>
          <w:rFonts w:ascii="Arial" w:hAnsi="Arial" w:cs="Arial"/>
          <w:sz w:val="22"/>
          <w:szCs w:val="22"/>
          <w:lang w:val="es-ES"/>
        </w:rPr>
        <w:t>mizar los posibles efectos negativos en las especies migratorias de las turbinas eólicas situadas frente a las costas.</w:t>
      </w:r>
    </w:p>
    <w:p w:rsidR="00F50CF5" w:rsidRP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UNEP/CMS/COP12/CRP</w:t>
    </w:r>
    <w:r w:rsidR="008E3EB1">
      <w:rPr>
        <w:rFonts w:ascii="Arial" w:hAnsi="Arial" w:cs="Arial"/>
        <w:noProof/>
        <w:sz w:val="18"/>
        <w:szCs w:val="18"/>
      </w:rPr>
      <w:t>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  <w:footnote w:id="1">
    <w:p w:rsidR="00336C6C" w:rsidRPr="00336C6C" w:rsidRDefault="00336C6C" w:rsidP="00336C6C">
      <w:pPr>
        <w:pStyle w:val="FootnoteText"/>
        <w:rPr>
          <w:rFonts w:ascii="Arial" w:hAnsi="Arial" w:cs="Arial"/>
          <w:sz w:val="18"/>
          <w:szCs w:val="22"/>
          <w:lang w:val="es-ES"/>
        </w:rPr>
      </w:pPr>
      <w:r w:rsidRPr="00336C6C">
        <w:rPr>
          <w:rStyle w:val="FootnoteReference"/>
          <w:rFonts w:cs="Arial"/>
          <w:sz w:val="18"/>
          <w:szCs w:val="22"/>
          <w:lang w:val="es-ES"/>
        </w:rPr>
        <w:t>*</w:t>
      </w:r>
      <w:r w:rsidR="007578E0">
        <w:rPr>
          <w:rFonts w:ascii="Arial" w:hAnsi="Arial" w:cs="Arial"/>
          <w:sz w:val="18"/>
          <w:szCs w:val="22"/>
          <w:lang w:val="es-ES"/>
        </w:rPr>
        <w:t xml:space="preserve"> E</w:t>
      </w:r>
      <w:r>
        <w:rPr>
          <w:rFonts w:ascii="Arial" w:hAnsi="Arial" w:cs="Arial"/>
          <w:sz w:val="18"/>
          <w:szCs w:val="22"/>
          <w:lang w:val="es-ES"/>
        </w:rPr>
        <w:t>ste borrador de</w:t>
      </w:r>
      <w:r w:rsidRPr="00336C6C">
        <w:rPr>
          <w:rFonts w:ascii="Arial" w:hAnsi="Arial" w:cs="Arial"/>
          <w:sz w:val="18"/>
          <w:szCs w:val="22"/>
          <w:lang w:val="es-ES"/>
        </w:rPr>
        <w:t xml:space="preserve"> resolución, consider</w:t>
      </w:r>
      <w:r>
        <w:rPr>
          <w:rFonts w:ascii="Arial" w:hAnsi="Arial" w:cs="Arial"/>
          <w:sz w:val="18"/>
          <w:szCs w:val="22"/>
          <w:lang w:val="es-ES"/>
        </w:rPr>
        <w:t>ado</w:t>
      </w:r>
      <w:r w:rsidRPr="00336C6C">
        <w:rPr>
          <w:rFonts w:ascii="Arial" w:hAnsi="Arial" w:cs="Arial"/>
          <w:sz w:val="18"/>
          <w:szCs w:val="22"/>
          <w:lang w:val="es-ES"/>
        </w:rPr>
        <w:t xml:space="preserve"> por la</w:t>
      </w:r>
      <w:r>
        <w:rPr>
          <w:rFonts w:ascii="Arial" w:hAnsi="Arial" w:cs="Arial"/>
          <w:sz w:val="18"/>
          <w:szCs w:val="22"/>
          <w:lang w:val="es-ES"/>
        </w:rPr>
        <w:t xml:space="preserve"> Conferencia de las Part</w:t>
      </w:r>
      <w:r w:rsidRPr="00336C6C">
        <w:rPr>
          <w:rFonts w:ascii="Arial" w:hAnsi="Arial" w:cs="Arial"/>
          <w:sz w:val="18"/>
          <w:szCs w:val="22"/>
          <w:lang w:val="es-ES"/>
        </w:rPr>
        <w:t xml:space="preserve">es, </w:t>
      </w:r>
      <w:r>
        <w:rPr>
          <w:rFonts w:ascii="Arial" w:hAnsi="Arial" w:cs="Arial"/>
          <w:sz w:val="18"/>
          <w:szCs w:val="22"/>
          <w:lang w:val="es-ES"/>
        </w:rPr>
        <w:t xml:space="preserve">estaba numerado </w:t>
      </w:r>
      <w:r w:rsidR="007578E0">
        <w:rPr>
          <w:rFonts w:ascii="Arial" w:hAnsi="Arial" w:cs="Arial"/>
          <w:sz w:val="18"/>
          <w:szCs w:val="22"/>
          <w:lang w:val="es-ES"/>
        </w:rPr>
        <w:t xml:space="preserve">originalmente </w:t>
      </w:r>
      <w:r>
        <w:rPr>
          <w:rFonts w:ascii="Arial" w:hAnsi="Arial" w:cs="Arial"/>
          <w:sz w:val="18"/>
          <w:szCs w:val="22"/>
          <w:lang w:val="es-ES"/>
        </w:rPr>
        <w:t>como</w:t>
      </w:r>
      <w:r w:rsidRPr="00336C6C">
        <w:rPr>
          <w:rFonts w:ascii="Arial" w:hAnsi="Arial" w:cs="Arial"/>
          <w:sz w:val="18"/>
          <w:szCs w:val="22"/>
          <w:lang w:val="es-ES"/>
        </w:rPr>
        <w:t xml:space="preserve"> 7.13.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8468D3"/>
    <w:multiLevelType w:val="hybridMultilevel"/>
    <w:tmpl w:val="19C0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5E55D14"/>
    <w:multiLevelType w:val="hybridMultilevel"/>
    <w:tmpl w:val="D226B96E"/>
    <w:lvl w:ilvl="0" w:tplc="6D7E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4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1D598B"/>
    <w:multiLevelType w:val="hybridMultilevel"/>
    <w:tmpl w:val="BEFC59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5"/>
  </w:num>
  <w:num w:numId="3">
    <w:abstractNumId w:val="14"/>
  </w:num>
  <w:num w:numId="4">
    <w:abstractNumId w:val="27"/>
  </w:num>
  <w:num w:numId="5">
    <w:abstractNumId w:val="15"/>
  </w:num>
  <w:num w:numId="6">
    <w:abstractNumId w:val="37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9"/>
  </w:num>
  <w:num w:numId="10">
    <w:abstractNumId w:val="26"/>
  </w:num>
  <w:num w:numId="11">
    <w:abstractNumId w:val="41"/>
  </w:num>
  <w:num w:numId="12">
    <w:abstractNumId w:val="4"/>
  </w:num>
  <w:num w:numId="13">
    <w:abstractNumId w:val="23"/>
  </w:num>
  <w:num w:numId="14">
    <w:abstractNumId w:val="39"/>
  </w:num>
  <w:num w:numId="15">
    <w:abstractNumId w:val="2"/>
  </w:num>
  <w:num w:numId="16">
    <w:abstractNumId w:val="13"/>
  </w:num>
  <w:num w:numId="17">
    <w:abstractNumId w:val="42"/>
  </w:num>
  <w:num w:numId="18">
    <w:abstractNumId w:val="25"/>
  </w:num>
  <w:num w:numId="19">
    <w:abstractNumId w:val="40"/>
  </w:num>
  <w:num w:numId="20">
    <w:abstractNumId w:val="46"/>
  </w:num>
  <w:num w:numId="21">
    <w:abstractNumId w:val="5"/>
  </w:num>
  <w:num w:numId="22">
    <w:abstractNumId w:val="20"/>
  </w:num>
  <w:num w:numId="23">
    <w:abstractNumId w:val="29"/>
  </w:num>
  <w:num w:numId="24">
    <w:abstractNumId w:val="18"/>
  </w:num>
  <w:num w:numId="25">
    <w:abstractNumId w:val="33"/>
  </w:num>
  <w:num w:numId="26">
    <w:abstractNumId w:val="0"/>
  </w:num>
  <w:num w:numId="27">
    <w:abstractNumId w:val="43"/>
  </w:num>
  <w:num w:numId="28">
    <w:abstractNumId w:val="8"/>
  </w:num>
  <w:num w:numId="29">
    <w:abstractNumId w:val="24"/>
  </w:num>
  <w:num w:numId="30">
    <w:abstractNumId w:val="16"/>
  </w:num>
  <w:num w:numId="31">
    <w:abstractNumId w:val="31"/>
  </w:num>
  <w:num w:numId="32">
    <w:abstractNumId w:val="30"/>
  </w:num>
  <w:num w:numId="33">
    <w:abstractNumId w:val="7"/>
  </w:num>
  <w:num w:numId="34">
    <w:abstractNumId w:val="21"/>
  </w:num>
  <w:num w:numId="35">
    <w:abstractNumId w:val="17"/>
  </w:num>
  <w:num w:numId="36">
    <w:abstractNumId w:val="35"/>
  </w:num>
  <w:num w:numId="37">
    <w:abstractNumId w:val="38"/>
  </w:num>
  <w:num w:numId="38">
    <w:abstractNumId w:val="12"/>
  </w:num>
  <w:num w:numId="39">
    <w:abstractNumId w:val="32"/>
  </w:num>
  <w:num w:numId="40">
    <w:abstractNumId w:val="44"/>
  </w:num>
  <w:num w:numId="41">
    <w:abstractNumId w:val="28"/>
  </w:num>
  <w:num w:numId="42">
    <w:abstractNumId w:val="19"/>
  </w:num>
  <w:num w:numId="43">
    <w:abstractNumId w:val="10"/>
  </w:num>
  <w:num w:numId="44">
    <w:abstractNumId w:val="3"/>
  </w:num>
  <w:num w:numId="45">
    <w:abstractNumId w:val="6"/>
  </w:num>
  <w:num w:numId="46">
    <w:abstractNumId w:val="22"/>
  </w:num>
  <w:num w:numId="47">
    <w:abstractNumId w:val="1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2863"/>
    <w:rsid w:val="002D5EC0"/>
    <w:rsid w:val="002E3DEA"/>
    <w:rsid w:val="002E7CC2"/>
    <w:rsid w:val="002F2D67"/>
    <w:rsid w:val="002F6F9B"/>
    <w:rsid w:val="003331C6"/>
    <w:rsid w:val="003367F5"/>
    <w:rsid w:val="00336C6C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162F9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578E0"/>
    <w:rsid w:val="007728B4"/>
    <w:rsid w:val="0077622E"/>
    <w:rsid w:val="00777FE4"/>
    <w:rsid w:val="0079075D"/>
    <w:rsid w:val="007B415C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3EB1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500E8"/>
    <w:rsid w:val="00972D36"/>
    <w:rsid w:val="00980406"/>
    <w:rsid w:val="00992727"/>
    <w:rsid w:val="009A2C8F"/>
    <w:rsid w:val="009A7B65"/>
    <w:rsid w:val="009C74CC"/>
    <w:rsid w:val="009D2AD6"/>
    <w:rsid w:val="009D3A07"/>
    <w:rsid w:val="009D4711"/>
    <w:rsid w:val="009D5DA6"/>
    <w:rsid w:val="009E3A84"/>
    <w:rsid w:val="009E7ACC"/>
    <w:rsid w:val="009F450E"/>
    <w:rsid w:val="009F54DA"/>
    <w:rsid w:val="00A021B0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281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07560"/>
    <w:rsid w:val="00C13FA6"/>
    <w:rsid w:val="00C169ED"/>
    <w:rsid w:val="00C5484D"/>
    <w:rsid w:val="00C618F2"/>
    <w:rsid w:val="00C73207"/>
    <w:rsid w:val="00C7602A"/>
    <w:rsid w:val="00C81FA5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D05922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4B19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2D6C7C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p1">
    <w:name w:val="p1"/>
    <w:basedOn w:val="Normal"/>
    <w:rsid w:val="007B415C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character" w:customStyle="1" w:styleId="QuickFormat2">
    <w:name w:val="QuickFormat2"/>
    <w:rsid w:val="008E3EB1"/>
    <w:rPr>
      <w:sz w:val="23"/>
      <w:szCs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2</Pages>
  <Words>776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2017-10-26T01:00:00Z</dcterms:created>
  <dcterms:modified xsi:type="dcterms:W3CDTF">2017-10-26T01:00:00Z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