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B279E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6A1DB0">
              <w:rPr>
                <w:rFonts w:ascii="Arial" w:hAnsi="Arial" w:cs="Arial"/>
                <w:sz w:val="22"/>
                <w:szCs w:val="22"/>
                <w:lang w:val="fr-FR"/>
              </w:rPr>
              <w:t>20</w:t>
            </w:r>
          </w:p>
          <w:p w:rsidR="00260772" w:rsidRPr="005B42D9" w:rsidRDefault="006A1DB0"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046483" w:rsidRPr="00046483" w:rsidRDefault="00046483" w:rsidP="006A1DB0">
      <w:pPr>
        <w:pStyle w:val="p1"/>
        <w:jc w:val="center"/>
        <w:rPr>
          <w:sz w:val="22"/>
          <w:szCs w:val="15"/>
          <w:lang w:val="fr-FR"/>
        </w:rPr>
      </w:pPr>
      <w:r w:rsidRPr="00046483">
        <w:rPr>
          <w:sz w:val="22"/>
          <w:szCs w:val="15"/>
          <w:lang w:val="fr-FR"/>
        </w:rPr>
        <w:t>PROJET DE</w:t>
      </w:r>
      <w:r w:rsidR="006A1DB0" w:rsidRPr="00046483">
        <w:rPr>
          <w:sz w:val="22"/>
          <w:szCs w:val="15"/>
          <w:lang w:val="fr-FR"/>
        </w:rPr>
        <w:t xml:space="preserve"> R</w:t>
      </w:r>
      <w:r w:rsidR="006A1DB0" w:rsidRPr="00046483">
        <w:rPr>
          <w:bCs/>
          <w:sz w:val="22"/>
          <w:lang w:val="fr-FR"/>
        </w:rPr>
        <w:t>É</w:t>
      </w:r>
      <w:r w:rsidRPr="00046483">
        <w:rPr>
          <w:sz w:val="22"/>
          <w:szCs w:val="15"/>
          <w:lang w:val="fr-FR"/>
        </w:rPr>
        <w:t>SOLUTION ET DÉCISIONS</w:t>
      </w:r>
    </w:p>
    <w:p w:rsidR="00046483" w:rsidRDefault="00046483" w:rsidP="006A1DB0">
      <w:pPr>
        <w:pStyle w:val="p1"/>
        <w:jc w:val="center"/>
        <w:rPr>
          <w:b/>
          <w:sz w:val="22"/>
          <w:szCs w:val="15"/>
          <w:lang w:val="fr-FR"/>
        </w:rPr>
      </w:pPr>
    </w:p>
    <w:p w:rsidR="006A1DB0" w:rsidRDefault="006A1DB0" w:rsidP="006A1DB0">
      <w:pPr>
        <w:pStyle w:val="p1"/>
        <w:jc w:val="center"/>
        <w:rPr>
          <w:b/>
          <w:sz w:val="22"/>
          <w:lang w:val="fr-FR"/>
        </w:rPr>
      </w:pPr>
      <w:r>
        <w:rPr>
          <w:b/>
          <w:sz w:val="22"/>
          <w:szCs w:val="15"/>
          <w:lang w:val="fr-FR"/>
        </w:rPr>
        <w:t>TAXONOMIE ET NOMENCLATURE</w:t>
      </w:r>
    </w:p>
    <w:p w:rsidR="006A1DB0" w:rsidRDefault="006A1DB0" w:rsidP="006A1DB0">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6A1DB0">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6A1DB0">
        <w:rPr>
          <w:rFonts w:ascii="Arial" w:hAnsi="Arial" w:cs="Arial"/>
          <w:bCs/>
          <w:caps/>
          <w:sz w:val="22"/>
          <w:szCs w:val="22"/>
          <w:lang w:val="fr-FR"/>
        </w:rPr>
        <w:t>.</w:t>
      </w:r>
      <w:r w:rsidR="00046483">
        <w:rPr>
          <w:rFonts w:ascii="Arial" w:hAnsi="Arial" w:cs="Arial"/>
          <w:bCs/>
          <w:caps/>
          <w:sz w:val="22"/>
          <w:szCs w:val="22"/>
          <w:lang w:val="fr-FR"/>
        </w:rPr>
        <w:t xml:space="preserve">25.3 </w:t>
      </w:r>
      <w:r w:rsidR="006A1DB0">
        <w:rPr>
          <w:rFonts w:ascii="Arial" w:hAnsi="Arial" w:cs="Arial"/>
          <w:bCs/>
          <w:sz w:val="22"/>
          <w:szCs w:val="22"/>
          <w:lang w:val="fr-FR"/>
        </w:rPr>
        <w:t>et</w:t>
      </w:r>
      <w:r w:rsidR="006A1DB0">
        <w:rPr>
          <w:rFonts w:ascii="Arial" w:hAnsi="Arial" w:cs="Arial"/>
          <w:bCs/>
          <w:caps/>
          <w:sz w:val="22"/>
          <w:szCs w:val="22"/>
          <w:lang w:val="fr-FR"/>
        </w:rPr>
        <w:t xml:space="preserve"> unep/cms/cop12/d</w:t>
      </w:r>
      <w:r w:rsidR="006A1DB0">
        <w:rPr>
          <w:rFonts w:ascii="Arial" w:hAnsi="Arial" w:cs="Arial"/>
          <w:bCs/>
          <w:sz w:val="22"/>
          <w:szCs w:val="22"/>
          <w:lang w:val="fr-FR"/>
        </w:rPr>
        <w:t>oc</w:t>
      </w:r>
      <w:r w:rsidR="00046483">
        <w:rPr>
          <w:rFonts w:ascii="Arial" w:hAnsi="Arial" w:cs="Arial"/>
          <w:bCs/>
          <w:caps/>
          <w:sz w:val="22"/>
          <w:szCs w:val="22"/>
          <w:lang w:val="fr-FR"/>
        </w:rPr>
        <w:t>.21.2.2/R</w:t>
      </w:r>
      <w:r w:rsidR="00046483">
        <w:rPr>
          <w:rFonts w:ascii="Arial" w:hAnsi="Arial" w:cs="Arial"/>
          <w:bCs/>
          <w:sz w:val="22"/>
          <w:szCs w:val="22"/>
          <w:lang w:val="fr-FR"/>
        </w:rPr>
        <w:t>ev</w:t>
      </w:r>
      <w:r w:rsidR="00046483">
        <w:rPr>
          <w:rFonts w:ascii="Arial" w:hAnsi="Arial" w:cs="Arial"/>
          <w:bCs/>
          <w:caps/>
          <w:sz w:val="22"/>
          <w:szCs w:val="22"/>
          <w:lang w:val="fr-FR"/>
        </w:rPr>
        <w:t>.1</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046483" w:rsidRDefault="00BC6025" w:rsidP="00046483">
      <w:pPr>
        <w:jc w:val="center"/>
        <w:rPr>
          <w:rFonts w:ascii="Arial" w:hAnsi="Arial" w:cs="Arial"/>
          <w:bCs/>
          <w:i/>
          <w:iCs/>
          <w:sz w:val="22"/>
          <w:szCs w:val="22"/>
          <w:lang w:val="fr-FR"/>
        </w:rPr>
      </w:pPr>
      <w:r w:rsidRPr="006539F3">
        <w:rPr>
          <w:rFonts w:ascii="Arial" w:hAnsi="Arial" w:cs="Arial"/>
          <w:bCs/>
          <w:i/>
          <w:iCs/>
          <w:sz w:val="22"/>
          <w:szCs w:val="22"/>
          <w:lang w:val="fr-FR"/>
        </w:rPr>
        <w:t>(</w:t>
      </w:r>
      <w:r w:rsidR="00046483" w:rsidRPr="006539F3">
        <w:rPr>
          <w:rFonts w:ascii="Arial" w:hAnsi="Arial" w:cs="Arial"/>
          <w:bCs/>
          <w:i/>
          <w:iCs/>
          <w:sz w:val="22"/>
          <w:szCs w:val="22"/>
          <w:lang w:val="fr-FR"/>
        </w:rPr>
        <w:t>Préparé par le Groupe de travail a</w:t>
      </w:r>
      <w:r w:rsidR="006539F3" w:rsidRPr="006539F3">
        <w:rPr>
          <w:rFonts w:ascii="Arial" w:hAnsi="Arial" w:cs="Arial"/>
          <w:bCs/>
          <w:i/>
          <w:iCs/>
          <w:sz w:val="22"/>
          <w:szCs w:val="22"/>
          <w:lang w:val="fr-FR"/>
        </w:rPr>
        <w:t>viati</w:t>
      </w:r>
      <w:r w:rsidR="00046483" w:rsidRPr="006539F3">
        <w:rPr>
          <w:rFonts w:ascii="Arial" w:hAnsi="Arial" w:cs="Arial"/>
          <w:bCs/>
          <w:i/>
          <w:iCs/>
          <w:sz w:val="22"/>
          <w:szCs w:val="22"/>
          <w:lang w:val="fr-FR"/>
        </w:rPr>
        <w:t>que</w:t>
      </w:r>
      <w:r w:rsidRPr="006539F3">
        <w:rPr>
          <w:rFonts w:ascii="Arial" w:hAnsi="Arial" w:cs="Arial"/>
          <w:bCs/>
          <w:i/>
          <w:iCs/>
          <w:sz w:val="22"/>
          <w:szCs w:val="22"/>
          <w:lang w:val="fr-FR"/>
        </w:rPr>
        <w:t>)</w:t>
      </w:r>
    </w:p>
    <w:p w:rsidR="00BC6025" w:rsidRDefault="00BC6025" w:rsidP="00BC6025">
      <w:pPr>
        <w:jc w:val="center"/>
        <w:rPr>
          <w:rFonts w:ascii="Arial" w:hAnsi="Arial" w:cs="Arial"/>
          <w:sz w:val="22"/>
          <w:szCs w:val="22"/>
          <w:lang w:val="fr-FR"/>
        </w:rPr>
      </w:pPr>
    </w:p>
    <w:p w:rsidR="00EB0005" w:rsidRDefault="00EB0005" w:rsidP="00BC6025">
      <w:pPr>
        <w:jc w:val="center"/>
        <w:rPr>
          <w:rFonts w:ascii="Arial" w:hAnsi="Arial" w:cs="Arial"/>
          <w:sz w:val="22"/>
          <w:szCs w:val="22"/>
          <w:lang w:val="fr-FR"/>
        </w:rPr>
      </w:pPr>
      <w:bookmarkStart w:id="0" w:name="_GoBack"/>
      <w:bookmarkEnd w:id="0"/>
    </w:p>
    <w:p w:rsidR="00EB0005" w:rsidRPr="001F1DA4" w:rsidRDefault="00EB0005" w:rsidP="00BC6025">
      <w:pPr>
        <w:jc w:val="center"/>
        <w:rPr>
          <w:rFonts w:ascii="Arial" w:hAnsi="Arial" w:cs="Arial"/>
          <w:sz w:val="22"/>
          <w:szCs w:val="22"/>
          <w:lang w:val="fr-FR"/>
        </w:rPr>
      </w:pPr>
      <w:r>
        <w:rPr>
          <w:rFonts w:ascii="Arial" w:hAnsi="Arial" w:cs="Arial"/>
          <w:sz w:val="22"/>
          <w:szCs w:val="22"/>
          <w:lang w:val="fr-FR"/>
        </w:rPr>
        <w:t>PROJET DE RÉSOLUTION</w:t>
      </w:r>
    </w:p>
    <w:p w:rsidR="00D03EA9" w:rsidRPr="00B279E2" w:rsidRDefault="00D03EA9" w:rsidP="00D03EA9">
      <w:pPr>
        <w:widowControl/>
        <w:tabs>
          <w:tab w:val="left" w:pos="1860"/>
        </w:tabs>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22"/>
          <w:lang w:val="fr-FR"/>
        </w:rPr>
      </w:pPr>
      <w:r w:rsidRPr="00D03EA9">
        <w:rPr>
          <w:rFonts w:ascii="Arial" w:hAnsi="Arial" w:cs="Arial"/>
          <w:i/>
          <w:sz w:val="22"/>
          <w:szCs w:val="22"/>
          <w:lang w:val="fr-FR"/>
        </w:rPr>
        <w:t xml:space="preserve">Rappelant </w:t>
      </w:r>
      <w:r w:rsidRPr="00D03EA9">
        <w:rPr>
          <w:rFonts w:ascii="Arial" w:hAnsi="Arial" w:cs="Arial"/>
          <w:sz w:val="22"/>
          <w:szCs w:val="22"/>
          <w:lang w:val="fr-FR"/>
        </w:rPr>
        <w:t>qu’avec la Recommandation 6.1, la Recommandation 9.4, la Résolution 10.13, et la Résolution 11.19, la Conférence des Parties a adopté des références normalisées pour être reconnues et utilisées comme les bases sur lesquelles les Annexes de la CMS et tous leurs amendements, doivent être préparés</w:t>
      </w:r>
      <w:r w:rsidR="008B7D30">
        <w:rPr>
          <w:rFonts w:ascii="Arial" w:hAnsi="Arial" w:cs="Arial"/>
          <w:sz w:val="22"/>
          <w:szCs w:val="22"/>
          <w:lang w:val="fr-FR"/>
        </w:rPr>
        <w:t> ;</w:t>
      </w:r>
    </w:p>
    <w:p w:rsidR="00D03EA9" w:rsidRPr="00D03EA9" w:rsidRDefault="00D03EA9" w:rsidP="00D03EA9">
      <w:pPr>
        <w:widowControl/>
        <w:autoSpaceDE/>
        <w:autoSpaceDN/>
        <w:adjustRightInd/>
        <w:jc w:val="both"/>
        <w:rPr>
          <w:rFonts w:ascii="Arial" w:hAnsi="Arial" w:cs="Arial"/>
          <w:i/>
          <w:iCs/>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Rappelant </w:t>
      </w:r>
      <w:r w:rsidRPr="00D03EA9">
        <w:rPr>
          <w:rFonts w:ascii="Arial" w:hAnsi="Arial" w:cs="Arial"/>
          <w:sz w:val="22"/>
          <w:szCs w:val="17"/>
          <w:lang w:val="fr-FR"/>
        </w:rPr>
        <w:t>la résolution 10.13 sur la Nomenclature normalisée des oiseaux figurant aux annexes de la CMS qui demande au Président du Conseil scientifique de se mettre en rapport avec les présidents des organes consultatifs scientifiques des conventions relatives à la biodiversité, les Secrétariats des AEM concernés et les organisations internationales pertinentes, incluant l’UICN, BirdLife International, Wetlands International et le PNUE-WCMC, dans le but d’évaluer la possibilité d’adopter une nomenclature et une taxonomie uniques pour les oiseaux, et d’informer le Conseil scientifique lors de sa dix-huitième réunion en vue de l’adoption d’une résolution appropriée à la COP11;</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sz w:val="22"/>
          <w:szCs w:val="17"/>
          <w:lang w:val="fr-FR"/>
        </w:rPr>
        <w:t>Rappelant</w:t>
      </w:r>
      <w:r w:rsidRPr="00D03EA9">
        <w:rPr>
          <w:rFonts w:ascii="Arial" w:hAnsi="Arial" w:cs="Arial"/>
          <w:sz w:val="22"/>
          <w:szCs w:val="17"/>
          <w:lang w:val="fr-FR"/>
        </w:rPr>
        <w:t xml:space="preserve"> que, dans la Résolution 3.1 (Genève, 1991) concernant l'inscription d'espèces aux annexes de la Convention, la Conférence des Parties a décidé que tout autre ajout aux Annexes de la Convention devrait être limité aux espèces ou taxons inférieurs et que les espèces migratrices couvertes par les listes de taxons supérieurs déjà inscrites à l'Annexe II n'ont besoin que d'être identifiées lo</w:t>
      </w:r>
      <w:r w:rsidR="008B7D30">
        <w:rPr>
          <w:rFonts w:ascii="Arial" w:hAnsi="Arial" w:cs="Arial"/>
          <w:sz w:val="22"/>
          <w:szCs w:val="17"/>
          <w:lang w:val="fr-FR"/>
        </w:rPr>
        <w:t>rsque des accords sont préparés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Notant </w:t>
      </w:r>
      <w:r w:rsidRPr="00D03EA9">
        <w:rPr>
          <w:rFonts w:ascii="Arial" w:hAnsi="Arial" w:cs="Arial"/>
          <w:sz w:val="22"/>
          <w:szCs w:val="17"/>
          <w:lang w:val="fr-FR"/>
        </w:rPr>
        <w:t>que la taxonomie et la nomenclatu</w:t>
      </w:r>
      <w:r w:rsidR="008B7D30">
        <w:rPr>
          <w:rFonts w:ascii="Arial" w:hAnsi="Arial" w:cs="Arial"/>
          <w:sz w:val="22"/>
          <w:szCs w:val="17"/>
          <w:lang w:val="fr-FR"/>
        </w:rPr>
        <w:t>re biologiques sont dynamiques ;</w:t>
      </w:r>
    </w:p>
    <w:p w:rsidR="00D03EA9" w:rsidRPr="00D03EA9" w:rsidRDefault="00D03EA9" w:rsidP="00D03EA9">
      <w:pPr>
        <w:widowControl/>
        <w:autoSpaceDE/>
        <w:autoSpaceDN/>
        <w:adjustRightInd/>
        <w:jc w:val="both"/>
        <w:rPr>
          <w:rFonts w:ascii="Arial" w:hAnsi="Arial" w:cs="Arial"/>
          <w:i/>
          <w:iCs/>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Consciente </w:t>
      </w:r>
      <w:r w:rsidRPr="00D03EA9">
        <w:rPr>
          <w:rFonts w:ascii="Arial" w:hAnsi="Arial" w:cs="Arial"/>
          <w:sz w:val="22"/>
          <w:szCs w:val="17"/>
          <w:lang w:val="fr-FR"/>
        </w:rPr>
        <w:t>que les efforts internationaux pour prendre des mesures cohérentes afin de conserver et utiliser durablement la diversité biologique au niveau des espèces peuvent être considérablement entravés s’il n’y a pas de compréhension commune au sujet des animaux ou des plantes correspondant à chaque nom d’espèce, et que ce manque de compréhension peut poser des problèmes particuliers pour des activités telles que la mise en oeuvre des conventions ayant potentiellement des implications juridiques</w:t>
      </w:r>
      <w:r w:rsidR="008B7D30">
        <w:rPr>
          <w:rFonts w:ascii="Arial" w:hAnsi="Arial" w:cs="Arial"/>
          <w:sz w:val="22"/>
          <w:szCs w:val="17"/>
          <w:lang w:val="fr-FR"/>
        </w:rPr>
        <w:t> ;</w:t>
      </w:r>
      <w:r w:rsidRPr="00D03EA9">
        <w:rPr>
          <w:rFonts w:ascii="Arial" w:hAnsi="Arial" w:cs="Arial"/>
          <w:sz w:val="22"/>
          <w:szCs w:val="17"/>
          <w:lang w:val="fr-FR"/>
        </w:rPr>
        <w:t> </w:t>
      </w:r>
    </w:p>
    <w:p w:rsidR="00D03EA9" w:rsidRPr="00D03EA9" w:rsidRDefault="00D03EA9" w:rsidP="00D03EA9">
      <w:pPr>
        <w:widowControl/>
        <w:autoSpaceDE/>
        <w:autoSpaceDN/>
        <w:adjustRightInd/>
        <w:jc w:val="both"/>
        <w:rPr>
          <w:rFonts w:ascii="Arial" w:hAnsi="Arial" w:cs="Arial"/>
          <w:i/>
          <w:iCs/>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Reconnaissant </w:t>
      </w:r>
      <w:r w:rsidRPr="00D03EA9">
        <w:rPr>
          <w:rFonts w:ascii="Arial" w:hAnsi="Arial" w:cs="Arial"/>
          <w:sz w:val="22"/>
          <w:szCs w:val="17"/>
          <w:lang w:val="fr-FR"/>
        </w:rPr>
        <w:t>que lors de la 4</w:t>
      </w:r>
      <w:r w:rsidRPr="00D03EA9">
        <w:rPr>
          <w:rFonts w:ascii="Arial" w:hAnsi="Arial" w:cs="Arial"/>
          <w:sz w:val="22"/>
          <w:szCs w:val="12"/>
          <w:lang w:val="fr-FR"/>
        </w:rPr>
        <w:t xml:space="preserve">ème </w:t>
      </w:r>
      <w:r w:rsidRPr="00D03EA9">
        <w:rPr>
          <w:rFonts w:ascii="Arial" w:hAnsi="Arial" w:cs="Arial"/>
          <w:sz w:val="22"/>
          <w:szCs w:val="17"/>
          <w:lang w:val="fr-FR"/>
        </w:rPr>
        <w:t>réunion des présidents des organismes scientifiques consultatifs (Chairs of the Scientific Advisory Bodies - CSAB) des Conventions liées à la biodiversité (Gland, Suisse, le 13 février 2011), le CSAB a approuvé l’idée de s’orienter vers une harmonisation de la nomenclature et de la taxonomie au niveau des listes d’espèces utilisées par les différentes conventions apparentées à la biodiversité et a salué le processus d’harmonisation entrepris par la CITES et la CMS; </w:t>
      </w:r>
    </w:p>
    <w:p w:rsidR="00D03EA9" w:rsidRDefault="00D03EA9" w:rsidP="00D03EA9">
      <w:pPr>
        <w:widowControl/>
        <w:autoSpaceDE/>
        <w:autoSpaceDN/>
        <w:adjustRightInd/>
        <w:jc w:val="both"/>
        <w:rPr>
          <w:rFonts w:ascii="Arial" w:hAnsi="Arial" w:cs="Arial"/>
          <w:i/>
          <w:iCs/>
          <w:sz w:val="22"/>
          <w:szCs w:val="17"/>
          <w:lang w:val="fr-FR"/>
        </w:rPr>
      </w:pPr>
    </w:p>
    <w:p w:rsidR="00046483" w:rsidRDefault="00046483" w:rsidP="00D03EA9">
      <w:pPr>
        <w:widowControl/>
        <w:autoSpaceDE/>
        <w:autoSpaceDN/>
        <w:adjustRightInd/>
        <w:jc w:val="both"/>
        <w:rPr>
          <w:rFonts w:ascii="Arial" w:hAnsi="Arial" w:cs="Arial"/>
          <w:i/>
          <w:iCs/>
          <w:sz w:val="22"/>
          <w:szCs w:val="17"/>
          <w:lang w:val="fr-FR"/>
        </w:rPr>
      </w:pPr>
    </w:p>
    <w:p w:rsidR="00046483" w:rsidRPr="00D03EA9" w:rsidRDefault="00046483" w:rsidP="00D03EA9">
      <w:pPr>
        <w:widowControl/>
        <w:autoSpaceDE/>
        <w:autoSpaceDN/>
        <w:adjustRightInd/>
        <w:jc w:val="both"/>
        <w:rPr>
          <w:rFonts w:ascii="Arial" w:hAnsi="Arial" w:cs="Arial"/>
          <w:i/>
          <w:iCs/>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Reconnaissant </w:t>
      </w:r>
      <w:r w:rsidRPr="00D03EA9">
        <w:rPr>
          <w:rFonts w:ascii="Arial" w:hAnsi="Arial" w:cs="Arial"/>
          <w:sz w:val="22"/>
          <w:szCs w:val="17"/>
          <w:lang w:val="fr-FR"/>
        </w:rPr>
        <w:t>qu’afin de renforcer l'effort global consistant à répondre aux objectifs de biodiversité Aichi (Aichi Biodiversity Targets) en vue de réduire les pertes de biodiversité en 2020, il faudrait tenter d’assurer une plus grande harmonisation entre les différents accords environnementaux, multilatéraux, portant sur la biodiversité dans le domaine de la taxonomie et de la nomenclature; </w:t>
      </w:r>
    </w:p>
    <w:p w:rsidR="00D03EA9" w:rsidRPr="00D03EA9" w:rsidRDefault="00D03EA9" w:rsidP="00D03EA9">
      <w:pPr>
        <w:widowControl/>
        <w:autoSpaceDE/>
        <w:autoSpaceDN/>
        <w:adjustRightInd/>
        <w:jc w:val="both"/>
        <w:rPr>
          <w:rFonts w:ascii="Arial" w:hAnsi="Arial" w:cs="Arial"/>
          <w:i/>
          <w:iCs/>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Notant par ailleurs </w:t>
      </w:r>
      <w:r w:rsidRPr="00D03EA9">
        <w:rPr>
          <w:rFonts w:ascii="Arial" w:hAnsi="Arial" w:cs="Arial"/>
          <w:sz w:val="22"/>
          <w:szCs w:val="17"/>
          <w:lang w:val="fr-FR"/>
        </w:rPr>
        <w:t>qu’une telle harmonisation est devenue d’autant plus indispensable que sur 124 Parties de la CMS, seule une n’est pas également membre de la CITES ;</w:t>
      </w:r>
    </w:p>
    <w:p w:rsidR="00D03EA9" w:rsidRPr="00D03EA9" w:rsidRDefault="00D03EA9" w:rsidP="00D03EA9">
      <w:pPr>
        <w:widowControl/>
        <w:autoSpaceDE/>
        <w:autoSpaceDN/>
        <w:adjustRightInd/>
        <w:jc w:val="both"/>
        <w:rPr>
          <w:rFonts w:ascii="Arial" w:hAnsi="Arial" w:cs="Arial"/>
          <w:i/>
          <w:iCs/>
          <w:strike/>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Reconnaissant </w:t>
      </w:r>
      <w:r w:rsidRPr="00D03EA9">
        <w:rPr>
          <w:rFonts w:ascii="Arial" w:hAnsi="Arial" w:cs="Arial"/>
          <w:sz w:val="22"/>
          <w:szCs w:val="17"/>
          <w:lang w:val="fr-FR"/>
        </w:rPr>
        <w:t>que l’harmonisation de la nomenclature peut conduire à un processus plus intégré, à une réduction des duplications et à un meilleur partage de l’information entre les différents Accords Multilatéraux sur l’Environnement relatives à la biodiversité (AME);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Rappelant </w:t>
      </w:r>
      <w:r w:rsidRPr="00D03EA9">
        <w:rPr>
          <w:rFonts w:ascii="Arial" w:hAnsi="Arial" w:cs="Arial"/>
          <w:sz w:val="22"/>
          <w:szCs w:val="17"/>
          <w:lang w:val="fr-FR"/>
        </w:rPr>
        <w:t>que cet objectif a été pris en compte dans la 6</w:t>
      </w:r>
      <w:r w:rsidRPr="00D03EA9">
        <w:rPr>
          <w:rFonts w:ascii="Arial" w:hAnsi="Arial" w:cs="Arial"/>
          <w:sz w:val="22"/>
          <w:szCs w:val="12"/>
          <w:lang w:val="fr-FR"/>
        </w:rPr>
        <w:t xml:space="preserve">ème </w:t>
      </w:r>
      <w:r w:rsidRPr="00D03EA9">
        <w:rPr>
          <w:rFonts w:ascii="Arial" w:hAnsi="Arial" w:cs="Arial"/>
          <w:sz w:val="22"/>
          <w:szCs w:val="17"/>
          <w:lang w:val="fr-FR"/>
        </w:rPr>
        <w:t>réunion du groupe de liaison des Conventions liées à la biodiversité (Bonn, mai 2008), et qu’il figure donc dans la liste des activités communes de la CITES/CMS adoptée lors de la 34</w:t>
      </w:r>
      <w:r w:rsidRPr="00D03EA9">
        <w:rPr>
          <w:rFonts w:ascii="Arial" w:hAnsi="Arial" w:cs="Arial"/>
          <w:sz w:val="22"/>
          <w:szCs w:val="12"/>
          <w:lang w:val="fr-FR"/>
        </w:rPr>
        <w:t xml:space="preserve">ème </w:t>
      </w:r>
      <w:r w:rsidRPr="00D03EA9">
        <w:rPr>
          <w:rFonts w:ascii="Arial" w:hAnsi="Arial" w:cs="Arial"/>
          <w:sz w:val="22"/>
          <w:szCs w:val="17"/>
          <w:lang w:val="fr-FR"/>
        </w:rPr>
        <w:t>réunion du comité permanent de la CMS (Rome, novembre 2008) , et le plan de travail commun 2012-2014 entre la CMS et la CITES adopté par la 38</w:t>
      </w:r>
      <w:r w:rsidRPr="00D03EA9">
        <w:rPr>
          <w:rFonts w:ascii="Arial" w:hAnsi="Arial" w:cs="Arial"/>
          <w:sz w:val="22"/>
          <w:szCs w:val="12"/>
          <w:lang w:val="fr-FR"/>
        </w:rPr>
        <w:t xml:space="preserve">ème </w:t>
      </w:r>
      <w:r w:rsidRPr="00D03EA9">
        <w:rPr>
          <w:rFonts w:ascii="Arial" w:hAnsi="Arial" w:cs="Arial"/>
          <w:sz w:val="22"/>
          <w:szCs w:val="17"/>
          <w:lang w:val="fr-FR"/>
        </w:rPr>
        <w:t>réunion du Comité permanent (Bergen, Novembre 2011);</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Sachant en outre </w:t>
      </w:r>
      <w:r w:rsidRPr="00D03EA9">
        <w:rPr>
          <w:rFonts w:ascii="Arial" w:hAnsi="Arial" w:cs="Arial"/>
          <w:sz w:val="22"/>
          <w:szCs w:val="17"/>
          <w:lang w:val="fr-FR"/>
        </w:rPr>
        <w:t>que l’harmonisation de la taxonomie et de la nomenclature des oiseaux entre les AEM et les autres partenaires, tels que la CMS, la CITES, Ramsar, l’UICN, BirdLife International, Wetlands International et le PNUE-WCMC, peut améliorer les synergies au bénéfice de la conservation des espèces migratrices et d’une meilleure mise en oeuvre des instruments de la Famille CMS;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Reconnaissant </w:t>
      </w:r>
      <w:r w:rsidRPr="00D03EA9">
        <w:rPr>
          <w:rFonts w:ascii="Arial" w:hAnsi="Arial" w:cs="Arial"/>
          <w:sz w:val="22"/>
          <w:szCs w:val="17"/>
          <w:lang w:val="fr-FR"/>
        </w:rPr>
        <w:t>que les présidents des organes consultatifs scientifiques des conventions relatives à la biodiversité (CSAB - Chairs of the Scientific Advisory Bodies of the Biodiversity-related Conventions) ont à plusieurs reprises exprimé leur soutien à l’idée de progresser vers une harmonisation de la nomenclature et de la taxonomie utilisées dans les listes d’espèces, et ont demandé une coopération renforcée entre les AEM vers cet objectif;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Prenant note </w:t>
      </w:r>
      <w:r w:rsidRPr="00D03EA9">
        <w:rPr>
          <w:rFonts w:ascii="Arial" w:hAnsi="Arial" w:cs="Arial"/>
          <w:sz w:val="22"/>
          <w:szCs w:val="17"/>
          <w:lang w:val="fr-FR"/>
        </w:rPr>
        <w:t xml:space="preserve">du rapport de la réunion ad hoc sur l’harmonisation de la taxonomie des oiseaux qui a eu lieu à Formia (Italie) le 8 octobre 2013 (PNUE/CMS/ScC18/Inf.9.1), et </w:t>
      </w:r>
      <w:r w:rsidRPr="00D03EA9">
        <w:rPr>
          <w:rFonts w:ascii="Arial" w:hAnsi="Arial" w:cs="Arial"/>
          <w:i/>
          <w:iCs/>
          <w:sz w:val="22"/>
          <w:szCs w:val="17"/>
          <w:lang w:val="fr-FR"/>
        </w:rPr>
        <w:t xml:space="preserve">remerciant </w:t>
      </w:r>
      <w:r w:rsidRPr="00D03EA9">
        <w:rPr>
          <w:rFonts w:ascii="Arial" w:hAnsi="Arial" w:cs="Arial"/>
          <w:sz w:val="22"/>
          <w:szCs w:val="17"/>
          <w:lang w:val="fr-FR"/>
        </w:rPr>
        <w:t>le Président du Conseil scientifique pour la tenue de cette réunion;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Prenant également note </w:t>
      </w:r>
      <w:r w:rsidRPr="00D03EA9">
        <w:rPr>
          <w:rFonts w:ascii="Arial" w:hAnsi="Arial" w:cs="Arial"/>
          <w:sz w:val="22"/>
          <w:szCs w:val="17"/>
          <w:lang w:val="fr-FR"/>
        </w:rPr>
        <w:t>du rapport du Comité pour les animaux de la CITES qui s’est réuni à Veracruz (Mexique) du 28 avril au 3 mai 2014;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Soulignant </w:t>
      </w:r>
      <w:r w:rsidRPr="00D03EA9">
        <w:rPr>
          <w:rFonts w:ascii="Arial" w:hAnsi="Arial" w:cs="Arial"/>
          <w:sz w:val="22"/>
          <w:szCs w:val="17"/>
          <w:lang w:val="fr-FR"/>
        </w:rPr>
        <w:t>qu’en dépit de l’adoption, pour des raisons pratiques concernant les références de nomenclature standard au niveau des espèces, la diversité biologique à tous les niveaux taxonomiques doit être valorisée, préservée et utilisée de manière durable;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sz w:val="22"/>
          <w:szCs w:val="17"/>
          <w:lang w:val="fr-FR"/>
        </w:rPr>
        <w:t>Prenant note</w:t>
      </w:r>
      <w:r w:rsidRPr="00D03EA9">
        <w:rPr>
          <w:rFonts w:ascii="Arial" w:hAnsi="Arial" w:cs="Arial"/>
          <w:sz w:val="22"/>
          <w:szCs w:val="17"/>
          <w:lang w:val="fr-FR"/>
        </w:rPr>
        <w:t xml:space="preserve"> des Recommandations de la 15éme réunion du Conseil Scientifique de la CMS (Rome, 27-28 novembre 2008) concernant la révision de la nomenclature de référence pour des espèces de mammifères terrestres et aquatiques, inscrites dans les Annexes de la CMS;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Notant </w:t>
      </w:r>
      <w:r w:rsidRPr="00D03EA9">
        <w:rPr>
          <w:rFonts w:ascii="Arial" w:hAnsi="Arial" w:cs="Arial"/>
          <w:sz w:val="22"/>
          <w:szCs w:val="17"/>
          <w:lang w:val="fr-FR"/>
        </w:rPr>
        <w:t>la recommandation formulée par le Conseil scientifique de la CMS lors de sa 18</w:t>
      </w:r>
      <w:r w:rsidRPr="00D03EA9">
        <w:rPr>
          <w:rFonts w:ascii="Arial" w:hAnsi="Arial" w:cs="Arial"/>
          <w:sz w:val="22"/>
          <w:szCs w:val="12"/>
          <w:lang w:val="fr-FR"/>
        </w:rPr>
        <w:t xml:space="preserve">ème </w:t>
      </w:r>
      <w:r w:rsidRPr="00D03EA9">
        <w:rPr>
          <w:rFonts w:ascii="Arial" w:hAnsi="Arial" w:cs="Arial"/>
          <w:sz w:val="22"/>
          <w:szCs w:val="17"/>
          <w:lang w:val="fr-FR"/>
        </w:rPr>
        <w:t>réunion (Bonn, 1-3 juillet 2014), sur une référence de nomenclature normalisée pour les oiseaux non-passereaux;</w:t>
      </w: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sz w:val="22"/>
          <w:szCs w:val="17"/>
          <w:lang w:val="fr-FR"/>
        </w:rPr>
        <w:t> </w:t>
      </w: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Notant </w:t>
      </w:r>
      <w:r w:rsidRPr="00D03EA9">
        <w:rPr>
          <w:rFonts w:ascii="Arial" w:hAnsi="Arial" w:cs="Arial"/>
          <w:sz w:val="22"/>
          <w:szCs w:val="17"/>
          <w:lang w:val="fr-FR"/>
        </w:rPr>
        <w:t>qu’en ce qui concerne les albatros et les pétrels, la COP10 a adopté la taxonomie utilisée par l’ACAP comme référence de nomenclature normalisée de la Convention, et que l’ACAP tient compte des plus récentes informations taxonomiques sur les espèces d’albatros et de petrels;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lastRenderedPageBreak/>
        <w:t xml:space="preserve">Reconnaissant </w:t>
      </w:r>
      <w:r w:rsidRPr="00D03EA9">
        <w:rPr>
          <w:rFonts w:ascii="Arial" w:hAnsi="Arial" w:cs="Arial"/>
          <w:sz w:val="22"/>
          <w:szCs w:val="17"/>
          <w:lang w:val="fr-FR"/>
        </w:rPr>
        <w:t xml:space="preserve">que l’adoption d’une nouvelle référence peut impliquer des cas de synonymie, de regroupement (fusion) et/ou de division d’espèces, et que la CMS a convenu de règles sur la façon d’agir dans de tels cas et de leurs implications pour les annexes;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Notant </w:t>
      </w:r>
      <w:r w:rsidRPr="00D03EA9">
        <w:rPr>
          <w:rFonts w:ascii="Arial" w:hAnsi="Arial" w:cs="Arial"/>
          <w:sz w:val="22"/>
          <w:szCs w:val="17"/>
          <w:lang w:val="fr-FR"/>
        </w:rPr>
        <w:t>l’avis du Conseil scientifique de la CMS lors de sa 17</w:t>
      </w:r>
      <w:r w:rsidRPr="00D03EA9">
        <w:rPr>
          <w:rFonts w:ascii="Arial" w:hAnsi="Arial" w:cs="Arial"/>
          <w:sz w:val="22"/>
          <w:szCs w:val="12"/>
          <w:lang w:val="fr-FR"/>
        </w:rPr>
        <w:t xml:space="preserve">ème </w:t>
      </w:r>
      <w:r w:rsidRPr="00D03EA9">
        <w:rPr>
          <w:rFonts w:ascii="Arial" w:hAnsi="Arial" w:cs="Arial"/>
          <w:sz w:val="22"/>
          <w:szCs w:val="17"/>
          <w:lang w:val="fr-FR"/>
        </w:rPr>
        <w:t>réunion (Bergen, novembre 2011); </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iCs/>
          <w:sz w:val="22"/>
          <w:szCs w:val="17"/>
          <w:lang w:val="fr-FR"/>
        </w:rPr>
        <w:t xml:space="preserve">Soulignant </w:t>
      </w:r>
      <w:r w:rsidRPr="00D03EA9">
        <w:rPr>
          <w:rFonts w:ascii="Arial" w:hAnsi="Arial" w:cs="Arial"/>
          <w:sz w:val="22"/>
          <w:szCs w:val="17"/>
          <w:lang w:val="fr-FR"/>
        </w:rPr>
        <w:t>que la stabilité au fil du temps de la taxonomie et de la nomenclature des espèces listées sous CMS est essentielle pour assurer une sécurité juridique au niveau de la mise en oeuvre de la Convention; et</w:t>
      </w:r>
    </w:p>
    <w:p w:rsidR="00D03EA9" w:rsidRPr="00D03EA9" w:rsidRDefault="00D03EA9" w:rsidP="00D03EA9">
      <w:pPr>
        <w:widowControl/>
        <w:autoSpaceDE/>
        <w:autoSpaceDN/>
        <w:adjustRightInd/>
        <w:jc w:val="both"/>
        <w:rPr>
          <w:rFonts w:ascii="Arial" w:hAnsi="Arial" w:cs="Arial"/>
          <w:sz w:val="22"/>
          <w:szCs w:val="17"/>
          <w:lang w:val="fr-FR"/>
        </w:rPr>
      </w:pPr>
    </w:p>
    <w:p w:rsidR="00D03EA9" w:rsidRPr="00D03EA9" w:rsidRDefault="00D03EA9" w:rsidP="00D03EA9">
      <w:pPr>
        <w:widowControl/>
        <w:autoSpaceDE/>
        <w:autoSpaceDN/>
        <w:adjustRightInd/>
        <w:jc w:val="both"/>
        <w:rPr>
          <w:rFonts w:ascii="Arial" w:hAnsi="Arial" w:cs="Arial"/>
          <w:sz w:val="22"/>
          <w:szCs w:val="17"/>
          <w:lang w:val="fr-FR"/>
        </w:rPr>
      </w:pPr>
      <w:r w:rsidRPr="00D03EA9">
        <w:rPr>
          <w:rFonts w:ascii="Arial" w:hAnsi="Arial" w:cs="Arial"/>
          <w:i/>
          <w:sz w:val="22"/>
          <w:szCs w:val="17"/>
          <w:lang w:val="fr-FR"/>
        </w:rPr>
        <w:t>Reconnaissant</w:t>
      </w:r>
      <w:r w:rsidRPr="00D03EA9">
        <w:rPr>
          <w:rFonts w:ascii="Arial" w:hAnsi="Arial" w:cs="Arial"/>
          <w:sz w:val="22"/>
          <w:szCs w:val="17"/>
          <w:lang w:val="fr-FR"/>
        </w:rPr>
        <w:t xml:space="preserve"> que la taxonomie utilisée dans les Annexes à la Convention sera plus utile aux Parties si elle est normalisée par des références de nomenclature;</w:t>
      </w:r>
    </w:p>
    <w:p w:rsidR="00D03EA9" w:rsidRDefault="00D03EA9" w:rsidP="00D03EA9">
      <w:pPr>
        <w:widowControl/>
        <w:autoSpaceDE/>
        <w:autoSpaceDN/>
        <w:adjustRightInd/>
        <w:jc w:val="both"/>
        <w:rPr>
          <w:rFonts w:ascii="Arial" w:hAnsi="Arial" w:cs="Arial"/>
          <w:sz w:val="22"/>
          <w:szCs w:val="17"/>
          <w:lang w:val="fr-FR"/>
        </w:rPr>
      </w:pPr>
    </w:p>
    <w:p w:rsidR="00046483" w:rsidRPr="00D03EA9" w:rsidRDefault="00046483" w:rsidP="00D03EA9">
      <w:pPr>
        <w:widowControl/>
        <w:autoSpaceDE/>
        <w:autoSpaceDN/>
        <w:adjustRightInd/>
        <w:jc w:val="both"/>
        <w:rPr>
          <w:rFonts w:ascii="Arial" w:hAnsi="Arial" w:cs="Arial"/>
          <w:sz w:val="22"/>
          <w:szCs w:val="17"/>
          <w:lang w:val="fr-FR"/>
        </w:rPr>
      </w:pPr>
    </w:p>
    <w:p w:rsidR="008B7D30" w:rsidRDefault="00D03EA9" w:rsidP="00D03EA9">
      <w:pPr>
        <w:jc w:val="center"/>
        <w:rPr>
          <w:rFonts w:ascii="Arial" w:hAnsi="Arial" w:cs="Arial"/>
          <w:i/>
          <w:sz w:val="22"/>
          <w:szCs w:val="22"/>
          <w:lang w:val="fr-FR"/>
        </w:rPr>
      </w:pPr>
      <w:r w:rsidRPr="00D03EA9">
        <w:rPr>
          <w:rFonts w:ascii="Arial" w:hAnsi="Arial" w:cs="Arial"/>
          <w:i/>
          <w:sz w:val="22"/>
          <w:szCs w:val="22"/>
          <w:lang w:val="fr-FR"/>
        </w:rPr>
        <w:t xml:space="preserve">La Conférence des Parties à la </w:t>
      </w:r>
    </w:p>
    <w:p w:rsidR="00D03EA9" w:rsidRPr="00D03EA9" w:rsidRDefault="00D03EA9" w:rsidP="008B7D30">
      <w:pPr>
        <w:jc w:val="center"/>
        <w:rPr>
          <w:rFonts w:ascii="Arial" w:hAnsi="Arial" w:cs="Arial"/>
          <w:i/>
          <w:sz w:val="22"/>
          <w:szCs w:val="22"/>
          <w:lang w:val="fr-FR"/>
        </w:rPr>
      </w:pPr>
      <w:r w:rsidRPr="00D03EA9">
        <w:rPr>
          <w:rFonts w:ascii="Arial" w:hAnsi="Arial" w:cs="Arial"/>
          <w:i/>
          <w:sz w:val="22"/>
          <w:szCs w:val="22"/>
          <w:lang w:val="fr-FR"/>
        </w:rPr>
        <w:t>Convention sur la conservation des espèces migratrices appartenant à la faune sauvage</w:t>
      </w:r>
    </w:p>
    <w:p w:rsidR="00D03EA9" w:rsidRPr="00D03EA9" w:rsidRDefault="00D03EA9" w:rsidP="00D03EA9">
      <w:pPr>
        <w:jc w:val="both"/>
        <w:rPr>
          <w:rFonts w:ascii="Arial" w:hAnsi="Arial" w:cs="Arial"/>
          <w:sz w:val="22"/>
          <w:szCs w:val="22"/>
          <w:lang w:val="fr-FR"/>
        </w:rPr>
      </w:pPr>
    </w:p>
    <w:p w:rsidR="00D03EA9" w:rsidRPr="00D03EA9" w:rsidRDefault="00D03EA9" w:rsidP="00D03EA9">
      <w:pPr>
        <w:numPr>
          <w:ilvl w:val="0"/>
          <w:numId w:val="3"/>
        </w:numPr>
        <w:ind w:left="360" w:hanging="360"/>
        <w:contextualSpacing/>
        <w:jc w:val="both"/>
        <w:rPr>
          <w:rFonts w:ascii="Arial" w:hAnsi="Arial" w:cs="Arial"/>
          <w:sz w:val="22"/>
          <w:szCs w:val="22"/>
          <w:lang w:val="fr-FR"/>
        </w:rPr>
      </w:pPr>
      <w:r w:rsidRPr="00D03EA9">
        <w:rPr>
          <w:rFonts w:ascii="Arial" w:hAnsi="Arial" w:cs="Arial"/>
          <w:i/>
          <w:sz w:val="22"/>
          <w:szCs w:val="17"/>
          <w:lang w:val="fr-FR"/>
        </w:rPr>
        <w:t xml:space="preserve">Adopte </w:t>
      </w:r>
      <w:r w:rsidRPr="00D03EA9">
        <w:rPr>
          <w:rFonts w:ascii="Arial" w:hAnsi="Arial" w:cs="Arial"/>
          <w:sz w:val="22"/>
          <w:szCs w:val="17"/>
          <w:lang w:val="fr-FR"/>
        </w:rPr>
        <w:t>la liste ci-après de références normalisées</w:t>
      </w:r>
      <w:r w:rsidRPr="00D03EA9">
        <w:rPr>
          <w:rFonts w:ascii="Arial" w:hAnsi="Arial" w:cs="Arial"/>
          <w:sz w:val="22"/>
          <w:lang w:val="fr-FR"/>
        </w:rPr>
        <w:footnoteReference w:customMarkFollows="1" w:id="1"/>
        <w:t>1</w:t>
      </w:r>
      <w:r w:rsidR="00046483">
        <w:rPr>
          <w:rFonts w:ascii="Arial" w:hAnsi="Arial" w:cs="Arial"/>
          <w:sz w:val="22"/>
          <w:szCs w:val="17"/>
          <w:lang w:val="fr-FR"/>
        </w:rPr>
        <w:t xml:space="preserve"> figurant dans l’A</w:t>
      </w:r>
      <w:r w:rsidRPr="00D03EA9">
        <w:rPr>
          <w:rFonts w:ascii="Arial" w:hAnsi="Arial" w:cs="Arial"/>
          <w:sz w:val="22"/>
          <w:szCs w:val="17"/>
          <w:lang w:val="fr-FR"/>
        </w:rPr>
        <w:t>nnexe</w:t>
      </w:r>
      <w:r w:rsidR="00046483">
        <w:rPr>
          <w:rFonts w:ascii="Arial" w:hAnsi="Arial" w:cs="Arial"/>
          <w:sz w:val="22"/>
          <w:szCs w:val="17"/>
          <w:lang w:val="fr-FR"/>
        </w:rPr>
        <w:t xml:space="preserve"> 1</w:t>
      </w:r>
      <w:r w:rsidRPr="00D03EA9">
        <w:rPr>
          <w:rFonts w:ascii="Arial" w:hAnsi="Arial" w:cs="Arial"/>
          <w:sz w:val="22"/>
          <w:szCs w:val="17"/>
          <w:lang w:val="fr-FR"/>
        </w:rPr>
        <w:t>, à être retenue et utilisée dans la préparation de propositions pour amender les annexes à la CMS </w:t>
      </w:r>
      <w:r w:rsidRPr="00D03EA9">
        <w:rPr>
          <w:rFonts w:ascii="Arial" w:hAnsi="Arial" w:cs="Arial"/>
          <w:sz w:val="22"/>
          <w:szCs w:val="22"/>
          <w:lang w:val="fr-FR"/>
        </w:rPr>
        <w:t>;</w:t>
      </w:r>
    </w:p>
    <w:p w:rsidR="00D03EA9" w:rsidRPr="00046483" w:rsidRDefault="00D03EA9" w:rsidP="00D03EA9">
      <w:pPr>
        <w:ind w:left="1440" w:hanging="1440"/>
        <w:jc w:val="both"/>
        <w:rPr>
          <w:rFonts w:ascii="Arial" w:hAnsi="Arial" w:cs="Arial"/>
          <w:sz w:val="22"/>
          <w:szCs w:val="22"/>
          <w:lang w:val="fr-FR"/>
        </w:rPr>
      </w:pPr>
      <w:r w:rsidRPr="00D03EA9">
        <w:rPr>
          <w:rFonts w:ascii="Arial" w:hAnsi="Arial" w:cs="Arial"/>
          <w:i/>
          <w:sz w:val="22"/>
          <w:szCs w:val="22"/>
          <w:lang w:val="fr-FR"/>
        </w:rPr>
        <w:t>1. bis</w:t>
      </w:r>
      <w:r w:rsidRPr="00D03EA9">
        <w:rPr>
          <w:rFonts w:ascii="Arial" w:hAnsi="Arial" w:cs="Arial"/>
          <w:sz w:val="22"/>
          <w:szCs w:val="22"/>
          <w:lang w:val="fr-FR"/>
        </w:rPr>
        <w:t xml:space="preserve"> </w:t>
      </w:r>
      <w:r w:rsidRPr="00D03EA9">
        <w:rPr>
          <w:rFonts w:ascii="Arial" w:hAnsi="Arial" w:cs="Arial"/>
          <w:sz w:val="22"/>
          <w:szCs w:val="22"/>
          <w:lang w:val="fr-FR"/>
        </w:rPr>
        <w:tab/>
      </w:r>
      <w:r w:rsidRPr="00046483">
        <w:rPr>
          <w:rFonts w:ascii="Arial" w:hAnsi="Arial" w:cs="Arial"/>
          <w:i/>
          <w:sz w:val="22"/>
          <w:szCs w:val="22"/>
          <w:lang w:val="fr-FR"/>
        </w:rPr>
        <w:t>Accepte</w:t>
      </w:r>
      <w:r w:rsidRPr="00046483">
        <w:rPr>
          <w:rFonts w:ascii="Arial" w:hAnsi="Arial" w:cs="Arial"/>
          <w:sz w:val="22"/>
          <w:szCs w:val="22"/>
          <w:lang w:val="fr-FR"/>
        </w:rPr>
        <w:t xml:space="preserve"> de se référer à la version en ligne d’Eschmeyer, W. N., R. Fricke, et R. van der Laan (eds.), Catalog of Fishes: Genera, Species, References (</w:t>
      </w:r>
      <w:hyperlink r:id="rId8" w:history="1">
        <w:r w:rsidRPr="00046483">
          <w:rPr>
            <w:rFonts w:ascii="Arial" w:hAnsi="Arial" w:cs="Arial"/>
            <w:color w:val="0000FF"/>
            <w:sz w:val="22"/>
            <w:szCs w:val="22"/>
            <w:lang w:val="fr-FR"/>
          </w:rPr>
          <w:t>http://researcharchive.calacademy.org/research/ichthyology/catalog/fishcatmain</w:t>
        </w:r>
      </w:hyperlink>
      <w:r w:rsidRPr="00046483">
        <w:rPr>
          <w:rFonts w:ascii="Arial" w:hAnsi="Arial" w:cs="Arial"/>
          <w:sz w:val="22"/>
          <w:szCs w:val="22"/>
          <w:lang w:val="fr-FR"/>
        </w:rPr>
        <w:t xml:space="preserve">) comme référence pour les poissons au moment de l’inscription d’une nouvelle espèce aux Annexes de la CMS et </w:t>
      </w:r>
      <w:r w:rsidRPr="00046483">
        <w:rPr>
          <w:rFonts w:ascii="Arial" w:hAnsi="Arial" w:cs="Arial"/>
          <w:i/>
          <w:sz w:val="22"/>
          <w:szCs w:val="22"/>
          <w:lang w:val="fr-FR"/>
        </w:rPr>
        <w:t>demande</w:t>
      </w:r>
      <w:r w:rsidRPr="00046483">
        <w:rPr>
          <w:rFonts w:ascii="Arial" w:hAnsi="Arial" w:cs="Arial"/>
          <w:sz w:val="22"/>
          <w:szCs w:val="22"/>
          <w:lang w:val="fr-FR"/>
        </w:rPr>
        <w:t xml:space="preserve"> au Secrétariat de conserver une copie papier de la référence en ligne comme référence standard pour l’espèce nouvellement inscrite ;</w:t>
      </w:r>
    </w:p>
    <w:p w:rsidR="00D03EA9" w:rsidRPr="00046483" w:rsidRDefault="00D03EA9" w:rsidP="00D03EA9">
      <w:pPr>
        <w:rPr>
          <w:rFonts w:ascii="Arial" w:hAnsi="Arial" w:cs="Arial"/>
          <w:sz w:val="22"/>
          <w:szCs w:val="22"/>
          <w:lang w:val="fr-FR"/>
        </w:rPr>
      </w:pPr>
    </w:p>
    <w:p w:rsidR="00D03EA9" w:rsidRPr="00046483" w:rsidRDefault="00D03EA9" w:rsidP="00D03EA9">
      <w:pPr>
        <w:ind w:left="1440" w:hanging="1440"/>
        <w:jc w:val="both"/>
        <w:rPr>
          <w:rFonts w:ascii="Arial" w:hAnsi="Arial" w:cs="Arial"/>
          <w:sz w:val="22"/>
          <w:szCs w:val="22"/>
          <w:lang w:val="fr-FR"/>
        </w:rPr>
      </w:pPr>
      <w:r w:rsidRPr="00046483">
        <w:rPr>
          <w:rFonts w:ascii="Arial" w:hAnsi="Arial" w:cs="Arial"/>
          <w:i/>
          <w:sz w:val="22"/>
          <w:szCs w:val="22"/>
          <w:lang w:val="fr-FR"/>
        </w:rPr>
        <w:t>1. ter</w:t>
      </w:r>
      <w:r w:rsidRPr="00046483">
        <w:rPr>
          <w:rFonts w:ascii="Arial" w:hAnsi="Arial" w:cs="Arial"/>
          <w:sz w:val="22"/>
          <w:szCs w:val="22"/>
          <w:lang w:val="fr-FR"/>
        </w:rPr>
        <w:tab/>
      </w:r>
      <w:r w:rsidRPr="00046483">
        <w:rPr>
          <w:rFonts w:ascii="Arial" w:hAnsi="Arial" w:cs="Arial"/>
          <w:i/>
          <w:sz w:val="22"/>
          <w:szCs w:val="22"/>
          <w:lang w:val="fr-FR"/>
        </w:rPr>
        <w:t xml:space="preserve">Demande </w:t>
      </w:r>
      <w:r w:rsidRPr="00046483">
        <w:rPr>
          <w:rFonts w:ascii="Arial" w:hAnsi="Arial" w:cs="Arial"/>
          <w:sz w:val="22"/>
          <w:szCs w:val="22"/>
          <w:lang w:val="fr-FR"/>
        </w:rPr>
        <w:t>au Conseil scientifique d’examiner la version en ligne de la référence de poisson pour les espèces inscrites aux Annexes lors de sa dernière réunion avant chaque session de la Conférence des Parties et d’émettre des recommandations sur la mise à jour ou non du nom de toute espèce inscrite ;</w:t>
      </w:r>
    </w:p>
    <w:p w:rsidR="00D03EA9" w:rsidRPr="00046483" w:rsidRDefault="00D03EA9" w:rsidP="00D03EA9">
      <w:pPr>
        <w:contextualSpacing/>
        <w:jc w:val="both"/>
        <w:rPr>
          <w:rFonts w:ascii="Arial" w:hAnsi="Arial" w:cs="Arial"/>
          <w:sz w:val="22"/>
          <w:szCs w:val="22"/>
          <w:lang w:val="fr-FR"/>
        </w:rPr>
      </w:pPr>
    </w:p>
    <w:p w:rsidR="00D03EA9" w:rsidRPr="00046483" w:rsidRDefault="00D03EA9" w:rsidP="00D03EA9">
      <w:pPr>
        <w:ind w:left="1440" w:hanging="1440"/>
        <w:jc w:val="both"/>
        <w:rPr>
          <w:rFonts w:ascii="Arial" w:hAnsi="Arial" w:cs="Arial"/>
          <w:sz w:val="22"/>
          <w:szCs w:val="22"/>
          <w:lang w:val="fr-FR"/>
        </w:rPr>
      </w:pPr>
      <w:r w:rsidRPr="00046483">
        <w:rPr>
          <w:rFonts w:ascii="Arial" w:hAnsi="Arial" w:cs="Arial"/>
          <w:i/>
          <w:sz w:val="22"/>
          <w:szCs w:val="22"/>
          <w:lang w:val="fr-FR"/>
        </w:rPr>
        <w:t>1. quater</w:t>
      </w:r>
      <w:r w:rsidRPr="00046483">
        <w:rPr>
          <w:rFonts w:ascii="Arial" w:hAnsi="Arial" w:cs="Arial"/>
          <w:sz w:val="22"/>
          <w:szCs w:val="22"/>
          <w:lang w:val="fr-FR"/>
        </w:rPr>
        <w:tab/>
      </w:r>
      <w:r w:rsidRPr="00046483">
        <w:rPr>
          <w:rFonts w:ascii="Arial" w:hAnsi="Arial" w:cs="Arial"/>
          <w:i/>
          <w:sz w:val="22"/>
          <w:szCs w:val="22"/>
          <w:lang w:val="fr-FR"/>
        </w:rPr>
        <w:t xml:space="preserve">Accepte </w:t>
      </w:r>
      <w:r w:rsidRPr="00046483">
        <w:rPr>
          <w:rFonts w:ascii="Arial" w:hAnsi="Arial" w:cs="Arial"/>
          <w:sz w:val="22"/>
          <w:szCs w:val="22"/>
          <w:lang w:val="fr-FR"/>
        </w:rPr>
        <w:t>de suivre une approche conservative dans l’utilisation de la référence en ligne lors de la mise à jour du nom des espèces inscrites, en attendant qu’une nouvelle taxonomie soit confirmée par la majorité des scientifiques et autres cadres juridiques, tels que la CITES, avant l’application de toute modification ;</w:t>
      </w:r>
    </w:p>
    <w:p w:rsidR="00D03EA9" w:rsidRPr="00046483" w:rsidRDefault="00D03EA9" w:rsidP="00D03EA9">
      <w:pPr>
        <w:ind w:left="720" w:hanging="720"/>
        <w:jc w:val="both"/>
        <w:rPr>
          <w:rFonts w:ascii="Arial" w:hAnsi="Arial" w:cs="Arial"/>
          <w:sz w:val="22"/>
          <w:szCs w:val="22"/>
          <w:lang w:val="fr-FR"/>
        </w:rPr>
      </w:pPr>
    </w:p>
    <w:p w:rsidR="00D03EA9" w:rsidRDefault="00D03EA9" w:rsidP="00147026">
      <w:pPr>
        <w:ind w:left="1440" w:hanging="1440"/>
        <w:jc w:val="both"/>
        <w:rPr>
          <w:rFonts w:ascii="Arial" w:hAnsi="Arial" w:cs="Arial"/>
          <w:sz w:val="22"/>
          <w:szCs w:val="22"/>
          <w:lang w:val="fr-FR"/>
        </w:rPr>
      </w:pPr>
      <w:r w:rsidRPr="00046483">
        <w:rPr>
          <w:rFonts w:ascii="Arial" w:hAnsi="Arial" w:cs="Arial"/>
          <w:i/>
          <w:sz w:val="22"/>
          <w:szCs w:val="22"/>
          <w:lang w:val="fr-FR"/>
        </w:rPr>
        <w:t>1. quinquies</w:t>
      </w:r>
      <w:r w:rsidRPr="00046483">
        <w:rPr>
          <w:rFonts w:ascii="Arial" w:hAnsi="Arial" w:cs="Arial"/>
          <w:sz w:val="22"/>
          <w:szCs w:val="22"/>
          <w:lang w:val="fr-FR"/>
        </w:rPr>
        <w:tab/>
      </w:r>
      <w:r w:rsidRPr="00046483">
        <w:rPr>
          <w:rFonts w:ascii="Arial" w:hAnsi="Arial" w:cs="Arial"/>
          <w:i/>
          <w:sz w:val="22"/>
          <w:szCs w:val="22"/>
          <w:lang w:val="fr-FR"/>
        </w:rPr>
        <w:t>Accepte</w:t>
      </w:r>
      <w:r w:rsidRPr="00046483">
        <w:rPr>
          <w:rFonts w:ascii="Arial" w:hAnsi="Arial" w:cs="Arial"/>
          <w:sz w:val="22"/>
          <w:szCs w:val="22"/>
          <w:lang w:val="fr-FR"/>
        </w:rPr>
        <w:t xml:space="preserve"> d’adopter la même approche pour d’autres groupes taxonomiques si jamais la version en ligne de références standard est adoptée pour ces groupes ;</w:t>
      </w:r>
    </w:p>
    <w:p w:rsidR="00046483" w:rsidRDefault="00046483" w:rsidP="00046483">
      <w:pPr>
        <w:ind w:left="720" w:hanging="720"/>
        <w:jc w:val="both"/>
        <w:rPr>
          <w:rFonts w:ascii="Arial" w:hAnsi="Arial" w:cs="Arial"/>
          <w:sz w:val="22"/>
          <w:szCs w:val="22"/>
          <w:lang w:val="fr-FR"/>
        </w:rPr>
      </w:pPr>
    </w:p>
    <w:p w:rsidR="00046483" w:rsidRDefault="00046483" w:rsidP="00147026">
      <w:pPr>
        <w:ind w:left="1350" w:hanging="1350"/>
        <w:jc w:val="both"/>
        <w:rPr>
          <w:rFonts w:ascii="Arial" w:hAnsi="Arial" w:cs="Arial"/>
          <w:sz w:val="22"/>
          <w:szCs w:val="22"/>
          <w:lang w:val="fr-FR"/>
        </w:rPr>
      </w:pPr>
      <w:r>
        <w:rPr>
          <w:rFonts w:ascii="Arial" w:hAnsi="Arial" w:cs="Arial"/>
          <w:sz w:val="22"/>
          <w:szCs w:val="22"/>
          <w:lang w:val="fr-FR"/>
        </w:rPr>
        <w:t xml:space="preserve">1 </w:t>
      </w:r>
      <w:r w:rsidRPr="00147026">
        <w:rPr>
          <w:rFonts w:ascii="Arial" w:hAnsi="Arial" w:cs="Arial"/>
          <w:i/>
          <w:sz w:val="22"/>
          <w:szCs w:val="22"/>
          <w:lang w:val="fr-FR"/>
        </w:rPr>
        <w:t>sexies</w:t>
      </w:r>
      <w:r>
        <w:rPr>
          <w:rFonts w:ascii="Arial" w:hAnsi="Arial" w:cs="Arial"/>
          <w:sz w:val="22"/>
          <w:szCs w:val="22"/>
          <w:lang w:val="fr-FR"/>
        </w:rPr>
        <w:tab/>
      </w:r>
      <w:r w:rsidR="00147026">
        <w:rPr>
          <w:rFonts w:ascii="Arial" w:hAnsi="Arial" w:cs="Arial"/>
          <w:sz w:val="22"/>
          <w:szCs w:val="22"/>
          <w:lang w:val="fr-FR"/>
        </w:rPr>
        <w:t>[</w:t>
      </w:r>
      <w:r w:rsidR="00147026" w:rsidRPr="00147026">
        <w:rPr>
          <w:rFonts w:ascii="Arial" w:hAnsi="Arial" w:cs="Arial"/>
          <w:i/>
          <w:sz w:val="22"/>
          <w:szCs w:val="22"/>
          <w:lang w:val="fr-FR"/>
        </w:rPr>
        <w:t>Charge</w:t>
      </w:r>
      <w:r w:rsidR="00147026" w:rsidRPr="00147026">
        <w:rPr>
          <w:rFonts w:ascii="Arial" w:hAnsi="Arial" w:cs="Arial"/>
          <w:sz w:val="22"/>
          <w:szCs w:val="22"/>
          <w:lang w:val="fr-FR"/>
        </w:rPr>
        <w:t xml:space="preserve"> le Conseil scientifique d'examiner la version en ligne mise à jour de la référence </w:t>
      </w:r>
      <w:r w:rsidR="00147026">
        <w:rPr>
          <w:rFonts w:ascii="Arial" w:hAnsi="Arial" w:cs="Arial"/>
          <w:sz w:val="22"/>
          <w:szCs w:val="22"/>
          <w:lang w:val="fr-FR"/>
        </w:rPr>
        <w:t>oiseau pour les espèces inscrites aux A</w:t>
      </w:r>
      <w:r w:rsidR="00147026" w:rsidRPr="00147026">
        <w:rPr>
          <w:rFonts w:ascii="Arial" w:hAnsi="Arial" w:cs="Arial"/>
          <w:sz w:val="22"/>
          <w:szCs w:val="22"/>
          <w:lang w:val="fr-FR"/>
        </w:rPr>
        <w:t>nnexes lors de sa dernière réunion avant chaque session de la Conférence des Parties et de faire des recommandations sur la nécessité de mettre à jour le nom d'une espèce inscrite;]</w:t>
      </w:r>
    </w:p>
    <w:p w:rsidR="00147026" w:rsidRPr="00046483" w:rsidRDefault="00147026" w:rsidP="00147026">
      <w:pPr>
        <w:ind w:left="1350" w:hanging="1350"/>
        <w:jc w:val="both"/>
        <w:rPr>
          <w:rFonts w:ascii="Arial" w:hAnsi="Arial" w:cs="Arial"/>
          <w:sz w:val="22"/>
          <w:szCs w:val="22"/>
          <w:lang w:val="fr-FR"/>
        </w:rPr>
      </w:pPr>
    </w:p>
    <w:p w:rsidR="00D03EA9" w:rsidRPr="00D03EA9" w:rsidRDefault="00D03EA9" w:rsidP="00D03EA9">
      <w:pPr>
        <w:widowControl/>
        <w:numPr>
          <w:ilvl w:val="0"/>
          <w:numId w:val="4"/>
        </w:numPr>
        <w:autoSpaceDE/>
        <w:adjustRightInd/>
        <w:ind w:left="360"/>
        <w:contextualSpacing/>
        <w:jc w:val="both"/>
        <w:rPr>
          <w:rFonts w:ascii="Arial" w:hAnsi="Arial" w:cs="Arial"/>
          <w:sz w:val="22"/>
          <w:szCs w:val="17"/>
          <w:lang w:val="fr-FR"/>
        </w:rPr>
      </w:pPr>
      <w:r w:rsidRPr="00D03EA9">
        <w:rPr>
          <w:rFonts w:ascii="Arial" w:hAnsi="Arial" w:cs="Arial"/>
          <w:i/>
          <w:sz w:val="22"/>
          <w:szCs w:val="17"/>
          <w:lang w:val="fr-FR"/>
        </w:rPr>
        <w:t>Réaffirme</w:t>
      </w:r>
      <w:r w:rsidRPr="00D03EA9">
        <w:rPr>
          <w:rFonts w:ascii="Arial" w:hAnsi="Arial" w:cs="Arial"/>
          <w:sz w:val="22"/>
          <w:szCs w:val="17"/>
          <w:lang w:val="fr-FR"/>
        </w:rPr>
        <w:t xml:space="preserve"> les règles adoptées par la Convention pour le traitement des cas de synonymie, de séparation d’espèces et de regroupement (fusion) d’espèces résultant d’un changement de référence de nomenclature normalisée, comme suit: </w:t>
      </w:r>
    </w:p>
    <w:p w:rsidR="00D03EA9" w:rsidRPr="00D03EA9" w:rsidRDefault="00D03EA9" w:rsidP="00D03EA9">
      <w:pPr>
        <w:widowControl/>
        <w:autoSpaceDE/>
        <w:adjustRightInd/>
        <w:jc w:val="both"/>
        <w:rPr>
          <w:rFonts w:ascii="Arial" w:hAnsi="Arial" w:cs="Arial"/>
          <w:sz w:val="22"/>
          <w:szCs w:val="17"/>
          <w:lang w:val="fr-FR"/>
        </w:rPr>
      </w:pPr>
    </w:p>
    <w:p w:rsidR="00D03EA9" w:rsidRPr="00D03EA9" w:rsidRDefault="00D03EA9" w:rsidP="008B7D30">
      <w:pPr>
        <w:widowControl/>
        <w:autoSpaceDE/>
        <w:adjustRightInd/>
        <w:ind w:left="540" w:hanging="360"/>
        <w:jc w:val="both"/>
        <w:rPr>
          <w:rFonts w:ascii="Arial" w:hAnsi="Arial" w:cs="Arial"/>
          <w:sz w:val="22"/>
          <w:szCs w:val="17"/>
          <w:lang w:val="fr-FR"/>
        </w:rPr>
      </w:pPr>
      <w:r w:rsidRPr="00D03EA9">
        <w:rPr>
          <w:rFonts w:ascii="Arial" w:hAnsi="Arial" w:cs="Arial"/>
          <w:sz w:val="22"/>
          <w:szCs w:val="17"/>
          <w:lang w:val="fr-FR"/>
        </w:rPr>
        <w:sym w:font="Symbol" w:char="F0B7"/>
      </w:r>
      <w:r w:rsidRPr="00D03EA9">
        <w:rPr>
          <w:rFonts w:ascii="Arial" w:hAnsi="Arial" w:cs="Arial"/>
          <w:sz w:val="22"/>
          <w:szCs w:val="17"/>
          <w:lang w:val="fr-FR"/>
        </w:rPr>
        <w:t xml:space="preserve"> </w:t>
      </w:r>
      <w:r w:rsidRPr="00D03EA9">
        <w:rPr>
          <w:rFonts w:ascii="Arial" w:hAnsi="Arial" w:cs="Arial"/>
          <w:sz w:val="22"/>
          <w:szCs w:val="17"/>
          <w:lang w:val="fr-FR"/>
        </w:rPr>
        <w:tab/>
        <w:t>Synonymie: les corrections peuvent être faites automatiquement comme il n’y a pas de changement concernant le statut des populations inscrites; </w:t>
      </w:r>
    </w:p>
    <w:p w:rsidR="00D03EA9" w:rsidRPr="00D03EA9" w:rsidRDefault="00D03EA9" w:rsidP="008B7D30">
      <w:pPr>
        <w:widowControl/>
        <w:autoSpaceDE/>
        <w:adjustRightInd/>
        <w:ind w:left="540" w:hanging="360"/>
        <w:jc w:val="both"/>
        <w:rPr>
          <w:rFonts w:ascii="Arial" w:hAnsi="Arial" w:cs="Arial"/>
          <w:sz w:val="22"/>
          <w:szCs w:val="17"/>
          <w:lang w:val="fr-FR"/>
        </w:rPr>
      </w:pPr>
    </w:p>
    <w:p w:rsidR="00D03EA9" w:rsidRPr="00D03EA9" w:rsidRDefault="00D03EA9" w:rsidP="008B7D30">
      <w:pPr>
        <w:widowControl/>
        <w:autoSpaceDE/>
        <w:adjustRightInd/>
        <w:ind w:left="540" w:hanging="360"/>
        <w:jc w:val="both"/>
        <w:rPr>
          <w:rFonts w:ascii="Arial" w:hAnsi="Arial" w:cs="Arial"/>
          <w:sz w:val="22"/>
          <w:szCs w:val="17"/>
          <w:lang w:val="fr-FR"/>
        </w:rPr>
      </w:pPr>
      <w:r w:rsidRPr="00D03EA9">
        <w:rPr>
          <w:rFonts w:ascii="Arial" w:hAnsi="Arial" w:cs="Arial"/>
          <w:sz w:val="22"/>
          <w:szCs w:val="17"/>
          <w:lang w:val="fr-FR"/>
        </w:rPr>
        <w:lastRenderedPageBreak/>
        <w:sym w:font="Symbol" w:char="F0B7"/>
      </w:r>
      <w:r w:rsidRPr="00D03EA9">
        <w:rPr>
          <w:rFonts w:ascii="Arial" w:hAnsi="Arial" w:cs="Arial"/>
          <w:sz w:val="22"/>
          <w:szCs w:val="17"/>
          <w:lang w:val="fr-FR"/>
        </w:rPr>
        <w:t xml:space="preserve"> </w:t>
      </w:r>
      <w:r w:rsidRPr="00D03EA9">
        <w:rPr>
          <w:rFonts w:ascii="Arial" w:hAnsi="Arial" w:cs="Arial"/>
          <w:sz w:val="22"/>
          <w:szCs w:val="17"/>
          <w:lang w:val="fr-FR"/>
        </w:rPr>
        <w:tab/>
        <w:t>Division: quand un taxon est divisé en deux ou plus, chacun des taxons résultant de la division conserve le statut d’inscription de l’ancien taxon global; </w:t>
      </w:r>
    </w:p>
    <w:p w:rsidR="00D03EA9" w:rsidRPr="00D03EA9" w:rsidRDefault="00D03EA9" w:rsidP="008B7D30">
      <w:pPr>
        <w:widowControl/>
        <w:autoSpaceDE/>
        <w:adjustRightInd/>
        <w:ind w:left="540" w:hanging="360"/>
        <w:jc w:val="both"/>
        <w:rPr>
          <w:rFonts w:ascii="Arial" w:hAnsi="Arial" w:cs="Arial"/>
          <w:sz w:val="22"/>
          <w:szCs w:val="17"/>
          <w:lang w:val="fr-FR"/>
        </w:rPr>
      </w:pPr>
    </w:p>
    <w:p w:rsidR="00D03EA9" w:rsidRDefault="00D03EA9" w:rsidP="008B7D30">
      <w:pPr>
        <w:widowControl/>
        <w:autoSpaceDE/>
        <w:adjustRightInd/>
        <w:ind w:left="540" w:hanging="360"/>
        <w:jc w:val="both"/>
        <w:rPr>
          <w:rFonts w:ascii="Arial" w:hAnsi="Arial" w:cs="Arial"/>
          <w:sz w:val="22"/>
          <w:szCs w:val="17"/>
          <w:lang w:val="fr-FR"/>
        </w:rPr>
      </w:pPr>
      <w:r w:rsidRPr="00D03EA9">
        <w:rPr>
          <w:rFonts w:ascii="Arial" w:hAnsi="Arial" w:cs="Arial"/>
          <w:sz w:val="22"/>
          <w:szCs w:val="17"/>
          <w:lang w:val="fr-FR"/>
        </w:rPr>
        <w:sym w:font="Symbol" w:char="F0B7"/>
      </w:r>
      <w:r w:rsidRPr="00D03EA9">
        <w:rPr>
          <w:rFonts w:ascii="Arial" w:hAnsi="Arial" w:cs="Arial"/>
          <w:sz w:val="22"/>
          <w:szCs w:val="17"/>
          <w:lang w:val="fr-FR"/>
        </w:rPr>
        <w:t xml:space="preserve"> </w:t>
      </w:r>
      <w:r w:rsidRPr="00D03EA9">
        <w:rPr>
          <w:rFonts w:ascii="Arial" w:hAnsi="Arial" w:cs="Arial"/>
          <w:sz w:val="22"/>
          <w:szCs w:val="17"/>
          <w:lang w:val="fr-FR"/>
        </w:rPr>
        <w:tab/>
        <w:t>Regroupement (fusion): si un taxon figurant à l’Annexe I ou à l’Annexe II de la Convention est fusionné avec un ou plusieurs taxons non-inscrits aux annexes, sous son nom ou celui de l’un des taxons non-inscrits, l’ensemble du taxon regroupé figurera à l’Annexe à laquelle figurait à l’origine le taxon plus précis, dans les cas où l’entité non-inscrite ainsi ajoutée présente le même état de conservation, ou un état moins bon, que celui du taxon précédemment inscrit. Dans tous les autres cas, une restriction taxonomique ou géographique sera introduite, dans l’attente d’un examen par le Conseil scientifique et la Conférence des Parties des nouvelles inscriptions aux annexes; </w:t>
      </w:r>
    </w:p>
    <w:p w:rsidR="00147026" w:rsidRPr="00D03EA9" w:rsidRDefault="00147026" w:rsidP="00D03EA9">
      <w:pPr>
        <w:widowControl/>
        <w:autoSpaceDE/>
        <w:adjustRightInd/>
        <w:ind w:left="1440" w:hanging="720"/>
        <w:jc w:val="both"/>
        <w:rPr>
          <w:rFonts w:ascii="Arial" w:hAnsi="Arial" w:cs="Arial"/>
          <w:sz w:val="22"/>
          <w:szCs w:val="17"/>
          <w:lang w:val="fr-FR"/>
        </w:rPr>
      </w:pPr>
    </w:p>
    <w:p w:rsidR="00D03EA9" w:rsidRPr="00D03EA9" w:rsidRDefault="00D03EA9" w:rsidP="00D03EA9">
      <w:pPr>
        <w:widowControl/>
        <w:numPr>
          <w:ilvl w:val="0"/>
          <w:numId w:val="4"/>
        </w:numPr>
        <w:autoSpaceDE/>
        <w:adjustRightInd/>
        <w:ind w:left="360"/>
        <w:contextualSpacing/>
        <w:jc w:val="both"/>
        <w:rPr>
          <w:rFonts w:ascii="Arial" w:hAnsi="Arial" w:cs="Arial"/>
          <w:sz w:val="22"/>
          <w:szCs w:val="17"/>
          <w:lang w:val="fr-FR"/>
        </w:rPr>
      </w:pPr>
      <w:r w:rsidRPr="00D03EA9">
        <w:rPr>
          <w:rFonts w:ascii="Arial" w:hAnsi="Arial" w:cs="Arial"/>
          <w:i/>
          <w:sz w:val="22"/>
          <w:szCs w:val="17"/>
          <w:lang w:val="fr-FR"/>
        </w:rPr>
        <w:t>Prie instamment</w:t>
      </w:r>
      <w:r w:rsidRPr="00D03EA9">
        <w:rPr>
          <w:rFonts w:ascii="Arial" w:hAnsi="Arial" w:cs="Arial"/>
          <w:sz w:val="22"/>
          <w:szCs w:val="17"/>
          <w:lang w:val="fr-FR"/>
        </w:rPr>
        <w:t xml:space="preserve"> les autres AEM d’adopter la même référence taxonomique normalisée;</w:t>
      </w:r>
    </w:p>
    <w:p w:rsidR="00D03EA9" w:rsidRPr="00D03EA9" w:rsidRDefault="00D03EA9" w:rsidP="00D03EA9">
      <w:pPr>
        <w:widowControl/>
        <w:autoSpaceDE/>
        <w:adjustRightInd/>
        <w:jc w:val="both"/>
        <w:rPr>
          <w:rFonts w:ascii="Arial" w:hAnsi="Arial" w:cs="Arial"/>
          <w:sz w:val="22"/>
          <w:szCs w:val="17"/>
          <w:lang w:val="fr-FR"/>
        </w:rPr>
      </w:pPr>
    </w:p>
    <w:p w:rsidR="00D03EA9" w:rsidRPr="00D03EA9" w:rsidRDefault="00D03EA9" w:rsidP="00D03EA9">
      <w:pPr>
        <w:widowControl/>
        <w:numPr>
          <w:ilvl w:val="0"/>
          <w:numId w:val="4"/>
        </w:numPr>
        <w:autoSpaceDE/>
        <w:adjustRightInd/>
        <w:ind w:left="360"/>
        <w:contextualSpacing/>
        <w:jc w:val="both"/>
        <w:rPr>
          <w:rFonts w:ascii="Arial" w:hAnsi="Arial" w:cs="Arial"/>
          <w:i/>
          <w:sz w:val="22"/>
          <w:szCs w:val="17"/>
          <w:lang w:val="fr-FR"/>
        </w:rPr>
      </w:pPr>
      <w:r w:rsidRPr="00D03EA9">
        <w:rPr>
          <w:rFonts w:ascii="Arial" w:hAnsi="Arial" w:cs="Arial"/>
          <w:i/>
          <w:sz w:val="22"/>
          <w:szCs w:val="17"/>
          <w:lang w:val="fr-FR"/>
        </w:rPr>
        <w:t xml:space="preserve">Abroge </w:t>
      </w:r>
    </w:p>
    <w:p w:rsidR="00D03EA9" w:rsidRPr="00D03EA9" w:rsidRDefault="00D03EA9" w:rsidP="00D03EA9">
      <w:pPr>
        <w:widowControl/>
        <w:autoSpaceDE/>
        <w:adjustRightInd/>
        <w:jc w:val="both"/>
        <w:rPr>
          <w:rFonts w:ascii="Arial" w:hAnsi="Arial" w:cs="Arial"/>
          <w:sz w:val="22"/>
          <w:szCs w:val="17"/>
          <w:lang w:val="fr-FR"/>
        </w:rPr>
      </w:pPr>
    </w:p>
    <w:p w:rsidR="00D03EA9" w:rsidRPr="00D03EA9" w:rsidRDefault="00147026" w:rsidP="00D03EA9">
      <w:pPr>
        <w:widowControl/>
        <w:numPr>
          <w:ilvl w:val="0"/>
          <w:numId w:val="2"/>
        </w:numPr>
        <w:autoSpaceDE/>
        <w:adjustRightInd/>
        <w:contextualSpacing/>
        <w:rPr>
          <w:rFonts w:ascii="Arial" w:hAnsi="Arial" w:cs="Arial"/>
          <w:sz w:val="22"/>
          <w:szCs w:val="17"/>
          <w:lang w:val="fr-FR"/>
        </w:rPr>
      </w:pPr>
      <w:r>
        <w:rPr>
          <w:rFonts w:ascii="Arial" w:hAnsi="Arial" w:cs="Arial"/>
          <w:sz w:val="22"/>
          <w:szCs w:val="17"/>
          <w:lang w:val="fr-FR"/>
        </w:rPr>
        <w:t>l</w:t>
      </w:r>
      <w:r w:rsidR="00D03EA9" w:rsidRPr="00D03EA9">
        <w:rPr>
          <w:rFonts w:ascii="Arial" w:hAnsi="Arial" w:cs="Arial"/>
          <w:sz w:val="22"/>
          <w:szCs w:val="17"/>
          <w:lang w:val="fr-FR"/>
        </w:rPr>
        <w:t xml:space="preserve">a Recommandation 6.1, </w:t>
      </w:r>
      <w:r w:rsidR="00D03EA9" w:rsidRPr="00D03EA9">
        <w:rPr>
          <w:rFonts w:ascii="Arial" w:hAnsi="Arial" w:cs="Arial"/>
          <w:i/>
          <w:sz w:val="22"/>
          <w:szCs w:val="17"/>
          <w:lang w:val="fr-FR"/>
        </w:rPr>
        <w:t>Nomenclature normalisée à utiliser pour les Annexes à la CMS</w:t>
      </w:r>
      <w:r w:rsidR="00D03EA9" w:rsidRPr="00D03EA9">
        <w:rPr>
          <w:rFonts w:ascii="Arial" w:hAnsi="Arial" w:cs="Arial"/>
          <w:sz w:val="22"/>
          <w:szCs w:val="17"/>
          <w:lang w:val="fr-FR"/>
        </w:rPr>
        <w:t xml:space="preserve">; </w:t>
      </w:r>
    </w:p>
    <w:p w:rsidR="00D03EA9" w:rsidRPr="00D03EA9" w:rsidRDefault="00D03EA9" w:rsidP="00D03EA9">
      <w:pPr>
        <w:widowControl/>
        <w:autoSpaceDE/>
        <w:adjustRightInd/>
        <w:ind w:left="1440" w:hanging="720"/>
        <w:contextualSpacing/>
        <w:rPr>
          <w:rFonts w:ascii="Arial" w:hAnsi="Arial" w:cs="Arial"/>
          <w:sz w:val="22"/>
          <w:szCs w:val="17"/>
          <w:lang w:val="fr-FR"/>
        </w:rPr>
      </w:pPr>
    </w:p>
    <w:p w:rsidR="00D03EA9" w:rsidRPr="00D03EA9" w:rsidRDefault="00147026" w:rsidP="00D03EA9">
      <w:pPr>
        <w:widowControl/>
        <w:numPr>
          <w:ilvl w:val="0"/>
          <w:numId w:val="2"/>
        </w:numPr>
        <w:autoSpaceDE/>
        <w:adjustRightInd/>
        <w:contextualSpacing/>
        <w:rPr>
          <w:rFonts w:ascii="Arial" w:hAnsi="Arial" w:cs="Arial"/>
          <w:sz w:val="22"/>
          <w:szCs w:val="17"/>
          <w:lang w:val="fr-FR"/>
        </w:rPr>
      </w:pPr>
      <w:r>
        <w:rPr>
          <w:rFonts w:ascii="Arial" w:hAnsi="Arial" w:cs="Arial"/>
          <w:sz w:val="22"/>
          <w:szCs w:val="17"/>
          <w:lang w:val="fr-FR"/>
        </w:rPr>
        <w:t>l</w:t>
      </w:r>
      <w:r w:rsidR="00D03EA9" w:rsidRPr="00D03EA9">
        <w:rPr>
          <w:rFonts w:ascii="Arial" w:hAnsi="Arial" w:cs="Arial"/>
          <w:sz w:val="22"/>
          <w:szCs w:val="17"/>
          <w:lang w:val="fr-FR"/>
        </w:rPr>
        <w:t xml:space="preserve">a Recommandation 9.4, </w:t>
      </w:r>
      <w:r w:rsidR="00D03EA9" w:rsidRPr="00D03EA9">
        <w:rPr>
          <w:rFonts w:ascii="Arial" w:hAnsi="Arial" w:cs="Arial"/>
          <w:i/>
          <w:sz w:val="22"/>
          <w:szCs w:val="17"/>
          <w:lang w:val="fr-FR"/>
        </w:rPr>
        <w:t>Nomenclature standardisée pour les Annexes de la CMS</w:t>
      </w:r>
      <w:r w:rsidR="00D03EA9" w:rsidRPr="00D03EA9">
        <w:rPr>
          <w:rFonts w:ascii="Arial" w:hAnsi="Arial" w:cs="Arial"/>
          <w:sz w:val="22"/>
          <w:szCs w:val="17"/>
          <w:lang w:val="fr-FR"/>
        </w:rPr>
        <w:t xml:space="preserve">; </w:t>
      </w:r>
    </w:p>
    <w:p w:rsidR="00D03EA9" w:rsidRPr="00D03EA9" w:rsidRDefault="00D03EA9" w:rsidP="00D03EA9">
      <w:pPr>
        <w:widowControl/>
        <w:autoSpaceDE/>
        <w:adjustRightInd/>
        <w:ind w:hanging="720"/>
        <w:rPr>
          <w:rFonts w:ascii="Arial" w:hAnsi="Arial" w:cs="Arial"/>
          <w:sz w:val="22"/>
          <w:szCs w:val="17"/>
          <w:lang w:val="fr-FR"/>
        </w:rPr>
      </w:pPr>
    </w:p>
    <w:p w:rsidR="00D03EA9" w:rsidRPr="00D03EA9" w:rsidRDefault="00D03EA9" w:rsidP="00D03EA9">
      <w:pPr>
        <w:widowControl/>
        <w:numPr>
          <w:ilvl w:val="0"/>
          <w:numId w:val="2"/>
        </w:numPr>
        <w:autoSpaceDE/>
        <w:adjustRightInd/>
        <w:contextualSpacing/>
        <w:rPr>
          <w:rFonts w:ascii="Arial" w:hAnsi="Arial" w:cs="Arial"/>
          <w:sz w:val="22"/>
          <w:szCs w:val="17"/>
          <w:lang w:val="fr-FR"/>
        </w:rPr>
      </w:pPr>
      <w:r w:rsidRPr="00D03EA9">
        <w:rPr>
          <w:rFonts w:ascii="Arial" w:hAnsi="Arial" w:cs="Arial"/>
          <w:sz w:val="22"/>
          <w:szCs w:val="17"/>
          <w:lang w:val="fr-FR"/>
        </w:rPr>
        <w:t xml:space="preserve">La Résolution 10.13, </w:t>
      </w:r>
      <w:r w:rsidRPr="00D03EA9">
        <w:rPr>
          <w:rFonts w:ascii="Arial" w:hAnsi="Arial" w:cs="Arial"/>
          <w:i/>
          <w:sz w:val="22"/>
          <w:szCs w:val="17"/>
          <w:lang w:val="fr-FR"/>
        </w:rPr>
        <w:t>Nomenclature norma</w:t>
      </w:r>
      <w:r w:rsidR="00147026">
        <w:rPr>
          <w:rFonts w:ascii="Arial" w:hAnsi="Arial" w:cs="Arial"/>
          <w:i/>
          <w:sz w:val="22"/>
          <w:szCs w:val="17"/>
          <w:lang w:val="fr-FR"/>
        </w:rPr>
        <w:t>lisée des oiseaux figurant aux A</w:t>
      </w:r>
      <w:r w:rsidRPr="00D03EA9">
        <w:rPr>
          <w:rFonts w:ascii="Arial" w:hAnsi="Arial" w:cs="Arial"/>
          <w:i/>
          <w:sz w:val="22"/>
          <w:szCs w:val="17"/>
          <w:lang w:val="fr-FR"/>
        </w:rPr>
        <w:t>nnexes de la CMS</w:t>
      </w:r>
      <w:r w:rsidRPr="00D03EA9">
        <w:rPr>
          <w:rFonts w:ascii="Arial" w:hAnsi="Arial" w:cs="Arial"/>
          <w:sz w:val="22"/>
          <w:szCs w:val="17"/>
          <w:lang w:val="fr-FR"/>
        </w:rPr>
        <w:t>; et</w:t>
      </w:r>
    </w:p>
    <w:p w:rsidR="00D03EA9" w:rsidRPr="00D03EA9" w:rsidRDefault="00D03EA9" w:rsidP="00D03EA9">
      <w:pPr>
        <w:widowControl/>
        <w:autoSpaceDE/>
        <w:adjustRightInd/>
        <w:ind w:hanging="720"/>
        <w:rPr>
          <w:rFonts w:ascii="Arial" w:hAnsi="Arial" w:cs="Arial"/>
          <w:sz w:val="22"/>
          <w:szCs w:val="17"/>
          <w:lang w:val="fr-FR"/>
        </w:rPr>
      </w:pPr>
    </w:p>
    <w:p w:rsidR="00D03EA9" w:rsidRPr="00D03EA9" w:rsidRDefault="00147026" w:rsidP="00D03EA9">
      <w:pPr>
        <w:widowControl/>
        <w:numPr>
          <w:ilvl w:val="0"/>
          <w:numId w:val="2"/>
        </w:numPr>
        <w:autoSpaceDE/>
        <w:adjustRightInd/>
        <w:contextualSpacing/>
        <w:rPr>
          <w:rFonts w:ascii="Arial" w:hAnsi="Arial" w:cs="Arial"/>
          <w:sz w:val="22"/>
          <w:szCs w:val="17"/>
          <w:lang w:val="fr-FR"/>
        </w:rPr>
      </w:pPr>
      <w:r>
        <w:rPr>
          <w:rFonts w:ascii="Arial" w:hAnsi="Arial" w:cs="Arial"/>
          <w:sz w:val="22"/>
          <w:szCs w:val="17"/>
          <w:lang w:val="fr-FR"/>
        </w:rPr>
        <w:t>l</w:t>
      </w:r>
      <w:r w:rsidR="00D03EA9" w:rsidRPr="00D03EA9">
        <w:rPr>
          <w:rFonts w:ascii="Arial" w:hAnsi="Arial" w:cs="Arial"/>
          <w:sz w:val="22"/>
          <w:szCs w:val="17"/>
          <w:lang w:val="fr-FR"/>
        </w:rPr>
        <w:t xml:space="preserve">a Résolution 11.19: </w:t>
      </w:r>
      <w:r w:rsidR="00D03EA9" w:rsidRPr="00D03EA9">
        <w:rPr>
          <w:rFonts w:ascii="Arial" w:hAnsi="Arial" w:cs="Arial"/>
          <w:i/>
          <w:sz w:val="22"/>
          <w:szCs w:val="17"/>
          <w:lang w:val="fr-FR"/>
        </w:rPr>
        <w:t>Taxonomie et nomencl</w:t>
      </w:r>
      <w:r>
        <w:rPr>
          <w:rFonts w:ascii="Arial" w:hAnsi="Arial" w:cs="Arial"/>
          <w:i/>
          <w:sz w:val="22"/>
          <w:szCs w:val="17"/>
          <w:lang w:val="fr-FR"/>
        </w:rPr>
        <w:t>ature des oiseaux figurant aux A</w:t>
      </w:r>
      <w:r w:rsidR="00D03EA9" w:rsidRPr="00D03EA9">
        <w:rPr>
          <w:rFonts w:ascii="Arial" w:hAnsi="Arial" w:cs="Arial"/>
          <w:i/>
          <w:sz w:val="22"/>
          <w:szCs w:val="17"/>
          <w:lang w:val="fr-FR"/>
        </w:rPr>
        <w:t>nnexes de la CMS</w:t>
      </w:r>
      <w:r w:rsidR="00D03EA9" w:rsidRPr="00D03EA9">
        <w:rPr>
          <w:rFonts w:ascii="Arial" w:hAnsi="Arial" w:cs="Arial"/>
          <w:sz w:val="22"/>
          <w:szCs w:val="17"/>
          <w:lang w:val="fr-FR"/>
        </w:rPr>
        <w:t>.</w:t>
      </w:r>
    </w:p>
    <w:p w:rsidR="00D03EA9" w:rsidRPr="00D03EA9" w:rsidRDefault="00D03EA9" w:rsidP="00D03EA9">
      <w:pPr>
        <w:ind w:left="360"/>
        <w:contextualSpacing/>
        <w:jc w:val="both"/>
        <w:rPr>
          <w:rFonts w:ascii="Arial" w:hAnsi="Arial" w:cs="Arial"/>
          <w:i/>
          <w:sz w:val="22"/>
          <w:szCs w:val="22"/>
          <w:lang w:val="fr-FR"/>
        </w:rPr>
      </w:pPr>
    </w:p>
    <w:p w:rsidR="00D03EA9" w:rsidRPr="00D03EA9" w:rsidRDefault="00D03EA9" w:rsidP="00D03EA9">
      <w:pPr>
        <w:widowControl/>
        <w:autoSpaceDE/>
        <w:adjustRightInd/>
        <w:jc w:val="right"/>
        <w:rPr>
          <w:rFonts w:ascii="Arial" w:hAnsi="Arial" w:cs="Arial"/>
          <w:b/>
          <w:sz w:val="22"/>
          <w:szCs w:val="22"/>
          <w:lang w:val="fr-FR"/>
        </w:rPr>
      </w:pPr>
      <w:r w:rsidRPr="00D03EA9">
        <w:rPr>
          <w:rFonts w:ascii="Arial" w:hAnsi="Arial" w:cs="Arial"/>
          <w:i/>
          <w:sz w:val="22"/>
          <w:szCs w:val="22"/>
          <w:lang w:val="fr-FR"/>
        </w:rPr>
        <w:br w:type="page"/>
      </w:r>
      <w:r w:rsidRPr="00D03EA9">
        <w:rPr>
          <w:rFonts w:ascii="Arial" w:hAnsi="Arial" w:cs="Arial"/>
          <w:b/>
          <w:sz w:val="22"/>
          <w:szCs w:val="22"/>
          <w:lang w:val="fr-FR"/>
        </w:rPr>
        <w:lastRenderedPageBreak/>
        <w:t>Annexe 1 à la Résolution</w:t>
      </w:r>
    </w:p>
    <w:p w:rsidR="00D03EA9" w:rsidRPr="00D03EA9" w:rsidRDefault="00D03EA9" w:rsidP="00D03EA9">
      <w:pPr>
        <w:jc w:val="center"/>
        <w:rPr>
          <w:rFonts w:ascii="Arial" w:hAnsi="Arial" w:cs="Arial"/>
          <w:b/>
          <w:sz w:val="22"/>
          <w:szCs w:val="22"/>
          <w:lang w:val="fr-FR"/>
        </w:rPr>
      </w:pPr>
    </w:p>
    <w:p w:rsidR="00D03EA9" w:rsidRPr="00D03EA9" w:rsidRDefault="00D03EA9" w:rsidP="00D03EA9">
      <w:pPr>
        <w:jc w:val="center"/>
        <w:rPr>
          <w:rFonts w:ascii="Arial" w:hAnsi="Arial" w:cs="Arial"/>
          <w:b/>
          <w:sz w:val="22"/>
          <w:szCs w:val="22"/>
          <w:lang w:val="fr-FR"/>
        </w:rPr>
      </w:pPr>
      <w:r w:rsidRPr="00D03EA9">
        <w:rPr>
          <w:rFonts w:ascii="Arial" w:hAnsi="Arial" w:cs="Arial"/>
          <w:b/>
          <w:sz w:val="22"/>
          <w:szCs w:val="22"/>
          <w:lang w:val="fr-FR"/>
        </w:rPr>
        <w:t xml:space="preserve">LISTE DES RÉFÉRENCES STANDARD ADOPTÉES PAR </w:t>
      </w:r>
    </w:p>
    <w:p w:rsidR="00D03EA9" w:rsidRPr="00D03EA9" w:rsidRDefault="00D03EA9" w:rsidP="00D03EA9">
      <w:pPr>
        <w:jc w:val="center"/>
        <w:rPr>
          <w:rFonts w:ascii="Arial" w:hAnsi="Arial" w:cs="Arial"/>
          <w:b/>
          <w:sz w:val="22"/>
          <w:szCs w:val="22"/>
          <w:lang w:val="fr-FR"/>
        </w:rPr>
      </w:pPr>
      <w:r w:rsidRPr="00D03EA9">
        <w:rPr>
          <w:rFonts w:ascii="Arial" w:hAnsi="Arial" w:cs="Arial"/>
          <w:b/>
          <w:sz w:val="22"/>
          <w:szCs w:val="22"/>
          <w:lang w:val="fr-FR"/>
        </w:rPr>
        <w:t>LA CONFÉRENCE DES PARTIES</w:t>
      </w:r>
    </w:p>
    <w:p w:rsidR="00D03EA9" w:rsidRPr="00D03EA9" w:rsidRDefault="00D03EA9" w:rsidP="00D03EA9">
      <w:pPr>
        <w:jc w:val="both"/>
        <w:rPr>
          <w:rFonts w:ascii="Arial" w:hAnsi="Arial" w:cs="Arial"/>
          <w:sz w:val="22"/>
          <w:szCs w:val="22"/>
          <w:lang w:val="fr-FR"/>
        </w:rPr>
      </w:pPr>
    </w:p>
    <w:p w:rsidR="00D03EA9" w:rsidRPr="00D03EA9" w:rsidRDefault="00147026" w:rsidP="00D03EA9">
      <w:pPr>
        <w:jc w:val="both"/>
        <w:rPr>
          <w:rFonts w:ascii="Arial" w:hAnsi="Arial" w:cs="Arial"/>
          <w:i/>
          <w:sz w:val="22"/>
          <w:szCs w:val="22"/>
          <w:lang w:val="fr-FR"/>
        </w:rPr>
      </w:pPr>
      <w:r>
        <w:rPr>
          <w:rFonts w:ascii="Arial" w:hAnsi="Arial" w:cs="Arial"/>
          <w:i/>
          <w:sz w:val="22"/>
          <w:szCs w:val="22"/>
          <w:lang w:val="fr-FR"/>
        </w:rPr>
        <w:t>Mammifères marins</w:t>
      </w:r>
      <w:r w:rsidR="00D03EA9" w:rsidRPr="00D03EA9">
        <w:rPr>
          <w:rFonts w:ascii="Arial" w:hAnsi="Arial" w:cs="Arial"/>
          <w:i/>
          <w:sz w:val="22"/>
          <w:szCs w:val="22"/>
          <w:lang w:val="fr-FR"/>
        </w:rPr>
        <w:t xml:space="preserve"> </w:t>
      </w:r>
    </w:p>
    <w:p w:rsidR="00D03EA9" w:rsidRPr="00D03EA9" w:rsidRDefault="00D03EA9" w:rsidP="00D03EA9">
      <w:pPr>
        <w:jc w:val="both"/>
        <w:rPr>
          <w:rFonts w:ascii="Arial" w:hAnsi="Arial" w:cs="Arial"/>
          <w:sz w:val="22"/>
          <w:szCs w:val="22"/>
          <w:lang w:val="fr-FR"/>
        </w:rPr>
      </w:pPr>
    </w:p>
    <w:p w:rsidR="00D03EA9" w:rsidRPr="00B279E2" w:rsidRDefault="00D03EA9" w:rsidP="00D03EA9">
      <w:pPr>
        <w:ind w:firstLine="720"/>
        <w:jc w:val="both"/>
        <w:rPr>
          <w:rFonts w:ascii="Arial" w:hAnsi="Arial" w:cs="Arial"/>
          <w:sz w:val="22"/>
          <w:szCs w:val="22"/>
          <w:lang w:val="en-PH" w:eastAsia="en-GB"/>
        </w:rPr>
      </w:pPr>
      <w:r w:rsidRPr="00B279E2">
        <w:rPr>
          <w:rFonts w:ascii="Arial" w:hAnsi="Arial" w:cs="Arial"/>
          <w:sz w:val="22"/>
          <w:szCs w:val="22"/>
          <w:lang w:val="en-PH" w:eastAsia="en-GB"/>
        </w:rPr>
        <w:t>Mammifères marins:</w:t>
      </w:r>
    </w:p>
    <w:p w:rsidR="00D03EA9" w:rsidRPr="00B279E2" w:rsidRDefault="00D03EA9" w:rsidP="00D03EA9">
      <w:pPr>
        <w:jc w:val="both"/>
        <w:rPr>
          <w:rFonts w:ascii="Arial" w:hAnsi="Arial" w:cs="Arial"/>
          <w:sz w:val="22"/>
          <w:szCs w:val="22"/>
          <w:lang w:val="en-PH"/>
        </w:rPr>
      </w:pPr>
    </w:p>
    <w:p w:rsidR="00D03EA9" w:rsidRPr="00B279E2" w:rsidRDefault="006539F3" w:rsidP="00D03EA9">
      <w:pPr>
        <w:jc w:val="both"/>
        <w:rPr>
          <w:rFonts w:ascii="Arial" w:hAnsi="Arial" w:cs="Arial"/>
          <w:sz w:val="22"/>
          <w:szCs w:val="22"/>
          <w:lang w:val="en-PH" w:eastAsia="en-GB"/>
        </w:rPr>
      </w:pPr>
      <w:hyperlink r:id="rId9" w:tgtFrame="_blank" w:history="1">
        <w:r w:rsidR="00D03EA9" w:rsidRPr="00B279E2">
          <w:rPr>
            <w:rFonts w:ascii="Arial" w:hAnsi="Arial" w:cs="Arial"/>
            <w:color w:val="000000"/>
            <w:sz w:val="22"/>
            <w:szCs w:val="22"/>
            <w:lang w:val="en-PH" w:eastAsia="en-GB"/>
          </w:rPr>
          <w:t>Perrin</w:t>
        </w:r>
      </w:hyperlink>
      <w:r w:rsidR="00D03EA9" w:rsidRPr="00B279E2">
        <w:rPr>
          <w:rFonts w:ascii="Arial" w:hAnsi="Arial" w:cs="Arial"/>
          <w:sz w:val="22"/>
          <w:szCs w:val="22"/>
          <w:lang w:val="en-PH" w:eastAsia="en-GB"/>
        </w:rPr>
        <w:t xml:space="preserve"> W.F., Wursig B. and Thewissen J.G.M. (Editors), (2009), Encyclopaedia of Marine Mammals, Second edition. Academic Press as the standard nomenclatural reference for Marine Mammals as recommended by the 15</w:t>
      </w:r>
      <w:r w:rsidR="00D03EA9" w:rsidRPr="00B279E2">
        <w:rPr>
          <w:rFonts w:ascii="Arial" w:hAnsi="Arial" w:cs="Arial"/>
          <w:sz w:val="22"/>
          <w:szCs w:val="22"/>
          <w:vertAlign w:val="superscript"/>
          <w:lang w:val="en-PH" w:eastAsia="en-GB"/>
        </w:rPr>
        <w:t>th</w:t>
      </w:r>
      <w:r w:rsidR="00D03EA9" w:rsidRPr="00B279E2">
        <w:rPr>
          <w:rFonts w:ascii="Arial" w:hAnsi="Arial" w:cs="Arial"/>
          <w:sz w:val="22"/>
          <w:szCs w:val="22"/>
          <w:lang w:val="en-PH" w:eastAsia="en-GB"/>
        </w:rPr>
        <w:t xml:space="preserve"> meeting of the Scientific Council;</w:t>
      </w:r>
    </w:p>
    <w:p w:rsidR="00D03EA9" w:rsidRPr="00B279E2" w:rsidRDefault="00D03EA9" w:rsidP="00D03EA9">
      <w:pPr>
        <w:ind w:firstLine="720"/>
        <w:jc w:val="both"/>
        <w:rPr>
          <w:rFonts w:ascii="Arial" w:hAnsi="Arial" w:cs="Arial"/>
          <w:sz w:val="22"/>
          <w:szCs w:val="22"/>
          <w:lang w:val="en-PH" w:eastAsia="en-GB"/>
        </w:rPr>
      </w:pPr>
    </w:p>
    <w:p w:rsidR="00D03EA9" w:rsidRPr="00B279E2" w:rsidRDefault="00D03EA9" w:rsidP="00D03EA9">
      <w:pPr>
        <w:ind w:firstLine="720"/>
        <w:jc w:val="both"/>
        <w:rPr>
          <w:rFonts w:ascii="Arial" w:hAnsi="Arial" w:cs="Arial"/>
          <w:sz w:val="22"/>
          <w:szCs w:val="22"/>
          <w:lang w:val="en-PH" w:eastAsia="en-GB"/>
        </w:rPr>
      </w:pPr>
      <w:r w:rsidRPr="00B279E2">
        <w:rPr>
          <w:rFonts w:ascii="Arial" w:hAnsi="Arial" w:cs="Arial"/>
          <w:sz w:val="22"/>
          <w:szCs w:val="22"/>
          <w:lang w:val="en-PH" w:eastAsia="en-GB"/>
        </w:rPr>
        <w:t>Mammifères terrestres:</w:t>
      </w:r>
    </w:p>
    <w:p w:rsidR="00D03EA9" w:rsidRPr="00B279E2" w:rsidRDefault="00D03EA9" w:rsidP="00D03EA9">
      <w:pPr>
        <w:jc w:val="both"/>
        <w:rPr>
          <w:rFonts w:ascii="Arial" w:hAnsi="Arial" w:cs="Arial"/>
          <w:sz w:val="22"/>
          <w:szCs w:val="22"/>
          <w:lang w:val="en-PH" w:eastAsia="en-GB"/>
        </w:rPr>
      </w:pPr>
    </w:p>
    <w:p w:rsidR="00D03EA9" w:rsidRPr="00B279E2" w:rsidRDefault="00D03EA9" w:rsidP="00D03EA9">
      <w:pPr>
        <w:jc w:val="both"/>
        <w:rPr>
          <w:rFonts w:ascii="Arial" w:hAnsi="Arial" w:cs="Arial"/>
          <w:sz w:val="22"/>
          <w:szCs w:val="22"/>
          <w:lang w:val="en-PH" w:eastAsia="en-GB"/>
        </w:rPr>
      </w:pPr>
      <w:r w:rsidRPr="00B279E2">
        <w:rPr>
          <w:rFonts w:ascii="Arial" w:hAnsi="Arial" w:cs="Arial"/>
          <w:sz w:val="22"/>
          <w:szCs w:val="22"/>
          <w:lang w:val="en-PH" w:eastAsia="en-GB"/>
        </w:rPr>
        <w:t>Wilson, D. E. &amp; Reeder, D. M. (ed.) (2005): Mammal Species of the World. A Taxonomic and Geographic Reference. Third edition, John Hopkins University Press as the standard nomenclatural reference for terrestrial mammals, as recommended by the 14</w:t>
      </w:r>
      <w:r w:rsidRPr="00B279E2">
        <w:rPr>
          <w:rFonts w:ascii="Arial" w:hAnsi="Arial" w:cs="Arial"/>
          <w:sz w:val="22"/>
          <w:szCs w:val="22"/>
          <w:vertAlign w:val="superscript"/>
          <w:lang w:val="en-PH" w:eastAsia="en-GB"/>
        </w:rPr>
        <w:t>th</w:t>
      </w:r>
      <w:r w:rsidRPr="00B279E2">
        <w:rPr>
          <w:rFonts w:ascii="Arial" w:hAnsi="Arial" w:cs="Arial"/>
          <w:sz w:val="22"/>
          <w:szCs w:val="22"/>
          <w:lang w:val="en-PH" w:eastAsia="en-GB"/>
        </w:rPr>
        <w:t xml:space="preserve"> meeting of the Scientific Council;</w:t>
      </w:r>
    </w:p>
    <w:p w:rsidR="00D03EA9" w:rsidRPr="00B279E2" w:rsidRDefault="00D03EA9" w:rsidP="00D03EA9">
      <w:pPr>
        <w:jc w:val="both"/>
        <w:rPr>
          <w:rFonts w:ascii="Arial" w:hAnsi="Arial" w:cs="Arial"/>
          <w:sz w:val="22"/>
          <w:szCs w:val="22"/>
          <w:lang w:val="en-PH" w:eastAsia="en-GB"/>
        </w:rPr>
      </w:pPr>
    </w:p>
    <w:p w:rsidR="00D03EA9" w:rsidRPr="00B279E2" w:rsidRDefault="00147026" w:rsidP="00D03EA9">
      <w:pPr>
        <w:jc w:val="both"/>
        <w:rPr>
          <w:rFonts w:ascii="Arial" w:hAnsi="Arial" w:cs="Arial"/>
          <w:sz w:val="22"/>
          <w:szCs w:val="22"/>
          <w:lang w:val="en-PH" w:eastAsia="en-GB"/>
        </w:rPr>
      </w:pPr>
      <w:r w:rsidRPr="00B279E2">
        <w:rPr>
          <w:rFonts w:ascii="Arial" w:hAnsi="Arial" w:cs="Arial"/>
          <w:i/>
          <w:sz w:val="22"/>
          <w:szCs w:val="22"/>
          <w:lang w:val="en-PH" w:eastAsia="en-GB"/>
        </w:rPr>
        <w:t>Oiseaux</w:t>
      </w:r>
      <w:r w:rsidR="00D03EA9" w:rsidRPr="00B279E2">
        <w:rPr>
          <w:rFonts w:ascii="Arial" w:hAnsi="Arial" w:cs="Arial"/>
          <w:i/>
          <w:sz w:val="22"/>
          <w:szCs w:val="22"/>
          <w:lang w:val="en-PH" w:eastAsia="en-GB"/>
        </w:rPr>
        <w:t xml:space="preserve"> </w:t>
      </w:r>
    </w:p>
    <w:p w:rsidR="00D03EA9" w:rsidRPr="00B279E2" w:rsidRDefault="00D03EA9" w:rsidP="00D03EA9">
      <w:pPr>
        <w:jc w:val="both"/>
        <w:rPr>
          <w:rFonts w:ascii="Arial" w:hAnsi="Arial" w:cs="Arial"/>
          <w:sz w:val="22"/>
          <w:szCs w:val="22"/>
          <w:lang w:val="en-PH" w:eastAsia="en-GB"/>
        </w:rPr>
      </w:pPr>
    </w:p>
    <w:p w:rsidR="00D03EA9" w:rsidRPr="00B279E2" w:rsidRDefault="00D03EA9" w:rsidP="00D03EA9">
      <w:pPr>
        <w:ind w:firstLine="720"/>
        <w:jc w:val="both"/>
        <w:rPr>
          <w:rFonts w:ascii="Arial" w:hAnsi="Arial" w:cs="Arial"/>
          <w:sz w:val="22"/>
          <w:szCs w:val="22"/>
          <w:lang w:val="en-PH" w:eastAsia="en-GB"/>
        </w:rPr>
      </w:pPr>
      <w:r w:rsidRPr="00B279E2">
        <w:rPr>
          <w:rFonts w:ascii="Arial" w:hAnsi="Arial" w:cs="Arial"/>
          <w:sz w:val="22"/>
          <w:szCs w:val="22"/>
          <w:lang w:val="en-PH" w:eastAsia="en-GB"/>
        </w:rPr>
        <w:t>Espèces non-passereaux:</w:t>
      </w:r>
    </w:p>
    <w:p w:rsidR="00D03EA9" w:rsidRPr="00B279E2" w:rsidRDefault="00D03EA9" w:rsidP="00D03EA9">
      <w:pPr>
        <w:jc w:val="both"/>
        <w:rPr>
          <w:rFonts w:ascii="Arial" w:hAnsi="Arial" w:cs="Arial"/>
          <w:sz w:val="22"/>
          <w:szCs w:val="22"/>
          <w:lang w:val="en-PH" w:eastAsia="en-GB"/>
        </w:rPr>
      </w:pPr>
    </w:p>
    <w:p w:rsidR="00D03EA9" w:rsidRPr="00B279E2" w:rsidRDefault="00D03EA9" w:rsidP="00D03EA9">
      <w:pPr>
        <w:jc w:val="both"/>
        <w:rPr>
          <w:rFonts w:ascii="Arial" w:hAnsi="Arial" w:cs="Arial"/>
          <w:sz w:val="22"/>
          <w:szCs w:val="22"/>
          <w:lang w:val="en-PH"/>
        </w:rPr>
      </w:pPr>
      <w:r w:rsidRPr="00B279E2">
        <w:rPr>
          <w:rFonts w:ascii="Arial" w:hAnsi="Arial" w:cs="Arial"/>
          <w:sz w:val="22"/>
          <w:szCs w:val="22"/>
          <w:lang w:val="en-PH"/>
        </w:rPr>
        <w:t>Handbook of the Birds of the World/BirdLife International Illustrated Checklist of the Birds of the World, Volume 1: Non-passerines, by Josep del Hoyo, Nigel J. Collar, David A. Christie, Andrew Elliot and Lincoln D.C. Fishpool (2014);</w:t>
      </w:r>
    </w:p>
    <w:p w:rsidR="00D03EA9" w:rsidRPr="00B279E2" w:rsidRDefault="00D03EA9" w:rsidP="00D03EA9">
      <w:pPr>
        <w:jc w:val="both"/>
        <w:rPr>
          <w:rFonts w:ascii="Arial" w:hAnsi="Arial" w:cs="Arial"/>
          <w:sz w:val="22"/>
          <w:szCs w:val="22"/>
          <w:lang w:val="en-PH"/>
        </w:rPr>
      </w:pPr>
    </w:p>
    <w:p w:rsidR="00D03EA9" w:rsidRPr="00B279E2" w:rsidRDefault="00D03EA9" w:rsidP="00D03EA9">
      <w:pPr>
        <w:widowControl/>
        <w:adjustRightInd/>
        <w:ind w:firstLine="720"/>
        <w:jc w:val="both"/>
        <w:rPr>
          <w:rFonts w:ascii="Arial" w:hAnsi="Arial" w:cs="Arial"/>
          <w:color w:val="000000"/>
          <w:sz w:val="22"/>
          <w:szCs w:val="22"/>
          <w:lang w:val="en-PH" w:eastAsia="en-GB"/>
        </w:rPr>
      </w:pPr>
      <w:r w:rsidRPr="00B279E2">
        <w:rPr>
          <w:rFonts w:ascii="Arial" w:hAnsi="Arial" w:cs="Arial"/>
          <w:color w:val="000000"/>
          <w:sz w:val="22"/>
          <w:szCs w:val="22"/>
          <w:lang w:val="en-PH" w:eastAsia="en-GB"/>
        </w:rPr>
        <w:t>Espèces passereaux:</w:t>
      </w:r>
    </w:p>
    <w:p w:rsidR="00D03EA9" w:rsidRPr="00B279E2" w:rsidRDefault="00D03EA9" w:rsidP="00D03EA9">
      <w:pPr>
        <w:widowControl/>
        <w:adjustRightInd/>
        <w:jc w:val="both"/>
        <w:rPr>
          <w:rFonts w:ascii="Arial" w:hAnsi="Arial" w:cs="Arial"/>
          <w:strike/>
          <w:color w:val="000000"/>
          <w:sz w:val="22"/>
          <w:szCs w:val="22"/>
          <w:lang w:val="en-PH" w:eastAsia="en-GB"/>
        </w:rPr>
      </w:pPr>
    </w:p>
    <w:p w:rsidR="00D03EA9" w:rsidRPr="00B279E2" w:rsidRDefault="00D03EA9" w:rsidP="00D03EA9">
      <w:pPr>
        <w:jc w:val="both"/>
        <w:rPr>
          <w:rFonts w:ascii="Arial" w:hAnsi="Arial" w:cs="Arial"/>
          <w:spacing w:val="-4"/>
          <w:sz w:val="22"/>
          <w:szCs w:val="22"/>
          <w:lang w:val="en-PH"/>
        </w:rPr>
      </w:pPr>
      <w:r w:rsidRPr="00B279E2">
        <w:rPr>
          <w:rFonts w:ascii="Arial" w:hAnsi="Arial" w:cs="Arial"/>
          <w:spacing w:val="-4"/>
          <w:sz w:val="22"/>
          <w:szCs w:val="22"/>
          <w:lang w:val="en-PH"/>
        </w:rPr>
        <w:t>Handbook of the Birds of the World/BirdLife International Illustrated Checklist of the Birds of the World, Volume 2: Passerines, by Josep del Hoyo and Nigel J. Collar (2016);</w:t>
      </w:r>
    </w:p>
    <w:p w:rsidR="00D03EA9" w:rsidRPr="00B279E2" w:rsidRDefault="00D03EA9" w:rsidP="00D03EA9">
      <w:pPr>
        <w:widowControl/>
        <w:adjustRightInd/>
        <w:jc w:val="both"/>
        <w:rPr>
          <w:rFonts w:ascii="Arial" w:hAnsi="Arial" w:cs="Arial"/>
          <w:i/>
          <w:color w:val="000000"/>
          <w:spacing w:val="-4"/>
          <w:sz w:val="22"/>
          <w:szCs w:val="22"/>
          <w:lang w:val="en-PH" w:eastAsia="en-GB"/>
        </w:rPr>
      </w:pPr>
    </w:p>
    <w:p w:rsidR="00D03EA9" w:rsidRPr="00B279E2" w:rsidRDefault="00EB0005" w:rsidP="00D03EA9">
      <w:pPr>
        <w:widowControl/>
        <w:adjustRightInd/>
        <w:jc w:val="both"/>
        <w:rPr>
          <w:rFonts w:ascii="Arial" w:hAnsi="Arial" w:cs="Arial"/>
          <w:color w:val="000000"/>
          <w:spacing w:val="-4"/>
          <w:sz w:val="22"/>
          <w:szCs w:val="22"/>
          <w:lang w:val="en-PH" w:eastAsia="en-GB"/>
        </w:rPr>
      </w:pPr>
      <w:r w:rsidRPr="00B279E2">
        <w:rPr>
          <w:rFonts w:ascii="Arial" w:hAnsi="Arial" w:cs="Arial"/>
          <w:i/>
          <w:color w:val="000000"/>
          <w:spacing w:val="-4"/>
          <w:sz w:val="22"/>
          <w:szCs w:val="22"/>
          <w:lang w:val="en-PH" w:eastAsia="en-GB"/>
        </w:rPr>
        <w:t>Tor</w:t>
      </w:r>
      <w:r w:rsidR="00D03EA9" w:rsidRPr="00B279E2">
        <w:rPr>
          <w:rFonts w:ascii="Arial" w:hAnsi="Arial" w:cs="Arial"/>
          <w:i/>
          <w:color w:val="000000"/>
          <w:spacing w:val="-4"/>
          <w:sz w:val="22"/>
          <w:szCs w:val="22"/>
          <w:lang w:val="en-PH" w:eastAsia="en-GB"/>
        </w:rPr>
        <w:t>t</w:t>
      </w:r>
      <w:r w:rsidRPr="00B279E2">
        <w:rPr>
          <w:rFonts w:ascii="Arial" w:hAnsi="Arial" w:cs="Arial"/>
          <w:i/>
          <w:color w:val="000000"/>
          <w:spacing w:val="-4"/>
          <w:sz w:val="22"/>
          <w:szCs w:val="22"/>
          <w:lang w:val="en-PH" w:eastAsia="en-GB"/>
        </w:rPr>
        <w:t>u</w:t>
      </w:r>
      <w:r w:rsidR="00D03EA9" w:rsidRPr="00B279E2">
        <w:rPr>
          <w:rFonts w:ascii="Arial" w:hAnsi="Arial" w:cs="Arial"/>
          <w:i/>
          <w:color w:val="000000"/>
          <w:spacing w:val="-4"/>
          <w:sz w:val="22"/>
          <w:szCs w:val="22"/>
          <w:lang w:val="en-PH" w:eastAsia="en-GB"/>
        </w:rPr>
        <w:t>es marines</w:t>
      </w:r>
    </w:p>
    <w:p w:rsidR="00D03EA9" w:rsidRPr="00B279E2" w:rsidRDefault="00D03EA9" w:rsidP="00D03EA9">
      <w:pPr>
        <w:widowControl/>
        <w:adjustRightInd/>
        <w:jc w:val="both"/>
        <w:rPr>
          <w:rFonts w:ascii="Arial" w:hAnsi="Arial" w:cs="Arial"/>
          <w:color w:val="000000"/>
          <w:spacing w:val="-4"/>
          <w:sz w:val="22"/>
          <w:szCs w:val="22"/>
          <w:lang w:val="en-PH" w:eastAsia="en-GB"/>
        </w:rPr>
      </w:pPr>
    </w:p>
    <w:p w:rsidR="00D03EA9" w:rsidRPr="00B279E2" w:rsidRDefault="00D03EA9" w:rsidP="00D03EA9">
      <w:pPr>
        <w:widowControl/>
        <w:adjustRightInd/>
        <w:jc w:val="both"/>
        <w:rPr>
          <w:rFonts w:ascii="Arial" w:hAnsi="Arial" w:cs="Arial"/>
          <w:color w:val="000000"/>
          <w:sz w:val="22"/>
          <w:szCs w:val="22"/>
          <w:lang w:val="en-PH" w:eastAsia="en-GB"/>
        </w:rPr>
      </w:pPr>
      <w:r w:rsidRPr="00B279E2">
        <w:rPr>
          <w:rFonts w:ascii="Arial" w:hAnsi="Arial" w:cs="Arial"/>
          <w:color w:val="000000"/>
          <w:sz w:val="22"/>
          <w:szCs w:val="22"/>
          <w:lang w:val="en-PH" w:eastAsia="en-GB"/>
        </w:rPr>
        <w:t>Eckert, K.L., Bjorndal, K.A., Abreu-Grobois, F.A. and Donnelly, M. (Eds) (1999). Research and management techniques for the conservation of sea turtles. IUCN/SSC Marine Turtle Specialist Group Publication No. 4.</w:t>
      </w:r>
    </w:p>
    <w:p w:rsidR="00D03EA9" w:rsidRPr="00B279E2" w:rsidRDefault="00D03EA9" w:rsidP="00D03EA9">
      <w:pPr>
        <w:widowControl/>
        <w:adjustRightInd/>
        <w:jc w:val="both"/>
        <w:rPr>
          <w:rFonts w:ascii="Arial" w:hAnsi="Arial" w:cs="Arial"/>
          <w:color w:val="000000"/>
          <w:sz w:val="22"/>
          <w:szCs w:val="22"/>
          <w:lang w:val="en-PH" w:eastAsia="en-GB"/>
        </w:rPr>
      </w:pPr>
    </w:p>
    <w:p w:rsidR="00D03EA9" w:rsidRPr="00B279E2" w:rsidRDefault="00D03EA9" w:rsidP="00D03EA9">
      <w:pPr>
        <w:widowControl/>
        <w:adjustRightInd/>
        <w:jc w:val="both"/>
        <w:rPr>
          <w:rFonts w:ascii="Arial" w:hAnsi="Arial" w:cs="Arial"/>
          <w:color w:val="000000"/>
          <w:sz w:val="22"/>
          <w:szCs w:val="22"/>
          <w:lang w:val="en-PH" w:eastAsia="en-GB"/>
        </w:rPr>
      </w:pPr>
      <w:r w:rsidRPr="00B279E2">
        <w:rPr>
          <w:rFonts w:ascii="Arial" w:hAnsi="Arial" w:cs="Arial"/>
          <w:i/>
          <w:color w:val="000000"/>
          <w:sz w:val="22"/>
          <w:szCs w:val="22"/>
          <w:lang w:val="en-PH" w:eastAsia="en-GB"/>
        </w:rPr>
        <w:t>Poissons</w:t>
      </w:r>
    </w:p>
    <w:p w:rsidR="00D03EA9" w:rsidRPr="00B279E2" w:rsidRDefault="00D03EA9" w:rsidP="00D03EA9">
      <w:pPr>
        <w:widowControl/>
        <w:adjustRightInd/>
        <w:jc w:val="both"/>
        <w:rPr>
          <w:rFonts w:ascii="Arial" w:hAnsi="Arial" w:cs="Arial"/>
          <w:color w:val="000000"/>
          <w:sz w:val="22"/>
          <w:szCs w:val="22"/>
          <w:lang w:val="en-PH" w:eastAsia="en-GB"/>
        </w:rPr>
      </w:pPr>
    </w:p>
    <w:p w:rsidR="00D03EA9" w:rsidRPr="00EB0005" w:rsidRDefault="00D03EA9" w:rsidP="00D03EA9">
      <w:pPr>
        <w:widowControl/>
        <w:adjustRightInd/>
        <w:jc w:val="both"/>
        <w:rPr>
          <w:rFonts w:ascii="Arial" w:hAnsi="Arial" w:cs="Arial"/>
          <w:color w:val="000000"/>
          <w:sz w:val="22"/>
          <w:szCs w:val="22"/>
          <w:lang w:val="fr-FR" w:eastAsia="en-GB"/>
        </w:rPr>
      </w:pPr>
      <w:r w:rsidRPr="00B279E2">
        <w:rPr>
          <w:rFonts w:ascii="Arial" w:hAnsi="Arial" w:cs="Arial"/>
          <w:color w:val="000000"/>
          <w:sz w:val="22"/>
          <w:szCs w:val="22"/>
          <w:lang w:val="en-PH" w:eastAsia="en-GB"/>
        </w:rPr>
        <w:t xml:space="preserve">Online version of the Catalogue of Fishes: Genera, Species, References. Eschmeyer, W.N., R. Fricke and R. van der Laan (eds). </w:t>
      </w:r>
      <w:r w:rsidRPr="00EB0005">
        <w:rPr>
          <w:rFonts w:ascii="Arial" w:hAnsi="Arial" w:cs="Arial"/>
          <w:color w:val="000000"/>
          <w:sz w:val="22"/>
          <w:szCs w:val="22"/>
          <w:lang w:val="fr-FR" w:eastAsia="en-GB"/>
        </w:rPr>
        <w:t>California Academy of Sciences (continuously updated)</w:t>
      </w:r>
    </w:p>
    <w:p w:rsidR="00D03EA9" w:rsidRPr="00D03EA9" w:rsidRDefault="00D03EA9" w:rsidP="00D03EA9">
      <w:pPr>
        <w:widowControl/>
        <w:adjustRightInd/>
        <w:jc w:val="both"/>
        <w:rPr>
          <w:rFonts w:ascii="Arial" w:hAnsi="Arial" w:cs="Arial"/>
          <w:color w:val="000000"/>
          <w:sz w:val="22"/>
          <w:szCs w:val="22"/>
          <w:lang w:val="fr-FR" w:eastAsia="en-GB"/>
        </w:rPr>
      </w:pPr>
    </w:p>
    <w:p w:rsidR="00D03EA9" w:rsidRPr="00D03EA9" w:rsidRDefault="00D03EA9" w:rsidP="00D03EA9">
      <w:pPr>
        <w:widowControl/>
        <w:adjustRightInd/>
        <w:jc w:val="both"/>
        <w:rPr>
          <w:rFonts w:ascii="Arial" w:hAnsi="Arial" w:cs="Arial"/>
          <w:strike/>
          <w:color w:val="000000"/>
          <w:sz w:val="22"/>
          <w:szCs w:val="22"/>
          <w:lang w:val="fr-FR" w:eastAsia="en-GB"/>
        </w:rPr>
      </w:pPr>
    </w:p>
    <w:p w:rsidR="00D03EA9" w:rsidRPr="00D03EA9" w:rsidRDefault="00D03EA9" w:rsidP="00D03EA9">
      <w:pPr>
        <w:widowControl/>
        <w:autoSpaceDE/>
        <w:autoSpaceDN/>
        <w:adjustRightInd/>
        <w:rPr>
          <w:rFonts w:ascii="Arial" w:hAnsi="Arial" w:cs="Arial"/>
          <w:strike/>
          <w:color w:val="000000"/>
          <w:sz w:val="22"/>
          <w:szCs w:val="22"/>
          <w:lang w:val="fr-FR" w:eastAsia="en-GB"/>
        </w:rPr>
        <w:sectPr w:rsidR="00D03EA9" w:rsidRPr="00D03EA9">
          <w:footnotePr>
            <w:numRestart w:val="eachSect"/>
          </w:footnotePr>
          <w:endnotePr>
            <w:numFmt w:val="decimal"/>
          </w:endnotePr>
          <w:pgSz w:w="11905" w:h="16837"/>
          <w:pgMar w:top="1008" w:right="1411" w:bottom="1152" w:left="1411" w:header="432" w:footer="432" w:gutter="0"/>
          <w:cols w:space="720"/>
        </w:sectPr>
      </w:pPr>
    </w:p>
    <w:p w:rsidR="00D03EA9" w:rsidRPr="00D03EA9" w:rsidRDefault="00D03EA9" w:rsidP="00D03EA9">
      <w:pPr>
        <w:widowControl/>
        <w:adjustRightInd/>
        <w:jc w:val="both"/>
        <w:rPr>
          <w:rFonts w:ascii="Arial" w:hAnsi="Arial" w:cs="Arial"/>
          <w:strike/>
          <w:color w:val="000000"/>
          <w:sz w:val="22"/>
          <w:szCs w:val="22"/>
          <w:lang w:val="fr-FR" w:eastAsia="en-GB"/>
        </w:rPr>
      </w:pPr>
    </w:p>
    <w:p w:rsidR="00D03EA9" w:rsidRPr="00D03EA9" w:rsidRDefault="00D03EA9" w:rsidP="00D03EA9">
      <w:pPr>
        <w:jc w:val="right"/>
        <w:rPr>
          <w:rFonts w:ascii="Arial" w:hAnsi="Arial" w:cs="Arial"/>
          <w:sz w:val="22"/>
          <w:szCs w:val="22"/>
          <w:lang w:val="fr-FR"/>
        </w:rPr>
      </w:pPr>
    </w:p>
    <w:p w:rsidR="00D03EA9" w:rsidRPr="00EB0005" w:rsidRDefault="00D03EA9" w:rsidP="00D03EA9">
      <w:pPr>
        <w:jc w:val="center"/>
        <w:rPr>
          <w:rFonts w:ascii="Arial" w:hAnsi="Arial" w:cs="Arial"/>
          <w:sz w:val="22"/>
          <w:szCs w:val="22"/>
          <w:lang w:val="fr-FR"/>
        </w:rPr>
      </w:pPr>
      <w:r w:rsidRPr="00EB0005">
        <w:rPr>
          <w:rFonts w:ascii="Arial" w:hAnsi="Arial" w:cs="Arial"/>
          <w:sz w:val="22"/>
          <w:szCs w:val="22"/>
          <w:lang w:val="fr-FR"/>
        </w:rPr>
        <w:t>PROJET DE DÉCISION</w:t>
      </w:r>
    </w:p>
    <w:p w:rsidR="00D03EA9" w:rsidRPr="00D03EA9" w:rsidRDefault="00D03EA9" w:rsidP="00D03EA9">
      <w:pPr>
        <w:jc w:val="center"/>
        <w:rPr>
          <w:rFonts w:ascii="Arial" w:hAnsi="Arial" w:cs="Arial"/>
          <w:b/>
          <w:sz w:val="22"/>
          <w:szCs w:val="22"/>
          <w:lang w:val="fr-FR"/>
        </w:rPr>
      </w:pPr>
    </w:p>
    <w:p w:rsidR="00D03EA9" w:rsidRPr="00D03EA9" w:rsidRDefault="00D03EA9" w:rsidP="00D03EA9">
      <w:pPr>
        <w:jc w:val="center"/>
        <w:rPr>
          <w:rFonts w:ascii="Arial" w:hAnsi="Arial" w:cs="Arial"/>
          <w:b/>
          <w:sz w:val="22"/>
          <w:szCs w:val="22"/>
          <w:lang w:val="fr-FR"/>
        </w:rPr>
      </w:pPr>
    </w:p>
    <w:p w:rsidR="00D03EA9" w:rsidRPr="00EB0005" w:rsidRDefault="00D03EA9" w:rsidP="00D03EA9">
      <w:pPr>
        <w:jc w:val="both"/>
        <w:rPr>
          <w:rFonts w:ascii="Arial" w:hAnsi="Arial" w:cs="Arial"/>
          <w:b/>
          <w:i/>
          <w:sz w:val="22"/>
          <w:szCs w:val="22"/>
          <w:lang w:val="fr-FR"/>
        </w:rPr>
      </w:pPr>
      <w:r w:rsidRPr="00EB0005">
        <w:rPr>
          <w:rFonts w:ascii="Arial" w:hAnsi="Arial" w:cs="Arial"/>
          <w:b/>
          <w:i/>
          <w:sz w:val="22"/>
          <w:szCs w:val="22"/>
          <w:lang w:val="fr-FR"/>
        </w:rPr>
        <w:t>À l’attention du Secrétariat</w:t>
      </w:r>
    </w:p>
    <w:p w:rsidR="00D03EA9" w:rsidRPr="00D03EA9" w:rsidRDefault="00D03EA9" w:rsidP="00D03EA9">
      <w:pPr>
        <w:jc w:val="both"/>
        <w:rPr>
          <w:rFonts w:ascii="Arial" w:hAnsi="Arial" w:cs="Arial"/>
          <w:sz w:val="22"/>
          <w:szCs w:val="22"/>
          <w:lang w:val="fr-FR"/>
        </w:rPr>
      </w:pPr>
    </w:p>
    <w:p w:rsidR="00D03EA9" w:rsidRPr="00EB0005" w:rsidRDefault="00D03EA9" w:rsidP="00D03EA9">
      <w:pPr>
        <w:widowControl/>
        <w:adjustRightInd/>
        <w:ind w:left="720" w:hanging="720"/>
        <w:jc w:val="both"/>
        <w:rPr>
          <w:rFonts w:ascii="Arial" w:hAnsi="Arial" w:cs="Arial"/>
          <w:color w:val="000000"/>
          <w:sz w:val="22"/>
          <w:szCs w:val="22"/>
          <w:lang w:val="fr-FR" w:eastAsia="en-GB"/>
        </w:rPr>
      </w:pPr>
      <w:r w:rsidRPr="00D03EA9">
        <w:rPr>
          <w:rFonts w:ascii="Arial" w:hAnsi="Arial" w:cs="Arial"/>
          <w:iCs/>
          <w:color w:val="000000"/>
          <w:sz w:val="22"/>
          <w:szCs w:val="22"/>
          <w:lang w:val="fr-FR" w:eastAsia="en-GB"/>
        </w:rPr>
        <w:t>12.AA</w:t>
      </w:r>
      <w:r w:rsidRPr="00D03EA9">
        <w:rPr>
          <w:rFonts w:ascii="Arial" w:hAnsi="Arial" w:cs="Arial"/>
          <w:iCs/>
          <w:color w:val="000000"/>
          <w:sz w:val="22"/>
          <w:szCs w:val="22"/>
          <w:lang w:val="fr-FR" w:eastAsia="en-GB"/>
        </w:rPr>
        <w:tab/>
        <w:t>Le</w:t>
      </w:r>
      <w:r w:rsidRPr="00D03EA9">
        <w:rPr>
          <w:rFonts w:ascii="Arial" w:hAnsi="Arial" w:cs="Arial"/>
          <w:color w:val="000000"/>
          <w:sz w:val="22"/>
          <w:szCs w:val="22"/>
          <w:lang w:val="fr-FR" w:eastAsia="en-GB"/>
        </w:rPr>
        <w:t xml:space="preserve"> Secrétariat, en consultation avec le Conseil scientifique et le Dépositaire, </w:t>
      </w:r>
      <w:r w:rsidR="00EB0005">
        <w:rPr>
          <w:rFonts w:ascii="Arial" w:hAnsi="Arial" w:cs="Arial"/>
          <w:color w:val="000000"/>
          <w:sz w:val="22"/>
          <w:szCs w:val="22"/>
          <w:lang w:val="fr-FR" w:eastAsia="en-GB"/>
        </w:rPr>
        <w:t>adapte</w:t>
      </w:r>
      <w:r w:rsidRPr="00D03EA9">
        <w:rPr>
          <w:rFonts w:ascii="Arial" w:hAnsi="Arial" w:cs="Arial"/>
          <w:color w:val="000000"/>
          <w:sz w:val="22"/>
          <w:szCs w:val="22"/>
          <w:lang w:val="fr-FR" w:eastAsia="en-GB"/>
        </w:rPr>
        <w:t xml:space="preserve"> les Annexes de la CMS conformément à la nouvelle référence pour les oiseaux adoptée </w:t>
      </w:r>
      <w:r w:rsidRPr="00EB0005">
        <w:rPr>
          <w:rFonts w:ascii="Arial" w:hAnsi="Arial" w:cs="Arial"/>
          <w:color w:val="000000"/>
          <w:sz w:val="22"/>
          <w:szCs w:val="22"/>
          <w:lang w:val="fr-FR" w:eastAsia="en-GB"/>
        </w:rPr>
        <w:t>et aux règles présentées dans la Rés</w:t>
      </w:r>
      <w:r w:rsidR="00EB0005">
        <w:rPr>
          <w:rFonts w:ascii="Arial" w:hAnsi="Arial" w:cs="Arial"/>
          <w:color w:val="000000"/>
          <w:sz w:val="22"/>
          <w:szCs w:val="22"/>
          <w:lang w:val="fr-FR" w:eastAsia="en-GB"/>
        </w:rPr>
        <w:t xml:space="preserve">olution 12.X sur la Taxonomie et la nomenclature, y compris la publication </w:t>
      </w:r>
      <w:r w:rsidR="00EB0005" w:rsidRPr="00EB0005">
        <w:rPr>
          <w:rFonts w:ascii="Arial" w:hAnsi="Arial" w:cs="Arial"/>
          <w:color w:val="000000"/>
          <w:sz w:val="22"/>
          <w:szCs w:val="22"/>
          <w:lang w:val="fr-FR" w:eastAsia="en-GB"/>
        </w:rPr>
        <w:t>de la taxonomie de niveau supérieur.</w:t>
      </w:r>
    </w:p>
    <w:p w:rsidR="00D03EA9" w:rsidRPr="00D03EA9" w:rsidRDefault="00D03EA9" w:rsidP="00D03EA9">
      <w:pPr>
        <w:jc w:val="both"/>
        <w:rPr>
          <w:rFonts w:ascii="Arial" w:hAnsi="Arial" w:cs="Arial"/>
          <w:sz w:val="22"/>
          <w:szCs w:val="22"/>
          <w:lang w:val="fr-FR"/>
        </w:rPr>
      </w:pPr>
    </w:p>
    <w:p w:rsidR="00D03EA9" w:rsidRPr="00D03EA9" w:rsidRDefault="00D03EA9" w:rsidP="00D03EA9">
      <w:pPr>
        <w:tabs>
          <w:tab w:val="left" w:pos="1020"/>
        </w:tabs>
        <w:rPr>
          <w:rFonts w:ascii="Arial" w:hAnsi="Arial" w:cs="Arial"/>
          <w:sz w:val="22"/>
          <w:szCs w:val="22"/>
          <w:lang w:val="fr-FR"/>
        </w:rPr>
      </w:pPr>
    </w:p>
    <w:p w:rsidR="006A1DB0" w:rsidRPr="003F6700" w:rsidRDefault="006A1DB0" w:rsidP="00D03EA9">
      <w:pPr>
        <w:jc w:val="center"/>
        <w:rPr>
          <w:rFonts w:ascii="Arial" w:hAnsi="Arial" w:cs="Arial"/>
          <w:sz w:val="22"/>
          <w:szCs w:val="22"/>
          <w:lang w:val="fr-FR"/>
        </w:rPr>
      </w:pPr>
    </w:p>
    <w:sectPr w:rsidR="006A1DB0" w:rsidRPr="003F6700" w:rsidSect="003F6700">
      <w:footerReference w:type="default" r:id="rId10"/>
      <w:footerReference w:type="first" r:id="rId1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6A1DB0">
      <w:rPr>
        <w:rFonts w:asciiTheme="minorBidi" w:hAnsiTheme="minorBidi" w:cstheme="minorBidi"/>
        <w:noProof/>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D03EA9" w:rsidRDefault="00D03EA9" w:rsidP="00D03EA9">
      <w:pPr>
        <w:pStyle w:val="p1"/>
        <w:rPr>
          <w:sz w:val="18"/>
          <w:szCs w:val="18"/>
          <w:lang w:val="fr-FR"/>
        </w:rPr>
      </w:pPr>
      <w:r>
        <w:rPr>
          <w:rStyle w:val="FootnoteReference"/>
          <w:sz w:val="18"/>
          <w:szCs w:val="18"/>
          <w:vertAlign w:val="superscript"/>
          <w:lang w:val="fr-FR"/>
        </w:rPr>
        <w:t>1</w:t>
      </w:r>
      <w:r>
        <w:rPr>
          <w:sz w:val="18"/>
          <w:szCs w:val="18"/>
          <w:vertAlign w:val="superscript"/>
          <w:lang w:val="fr-FR"/>
        </w:rPr>
        <w:t xml:space="preserve"> </w:t>
      </w:r>
      <w:r>
        <w:rPr>
          <w:sz w:val="18"/>
          <w:szCs w:val="18"/>
          <w:lang w:val="fr-FR"/>
        </w:rPr>
        <w:t> Il n'a pas été nécessaire pour l'instant d'établir des références taxonomiques normalisées pour les insectes et les reptiles.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6684357"/>
    <w:multiLevelType w:val="hybridMultilevel"/>
    <w:tmpl w:val="A2B0D3E6"/>
    <w:lvl w:ilvl="0" w:tplc="D8E66FC0">
      <w:start w:val="1"/>
      <w:numFmt w:val="decimal"/>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B732F"/>
    <w:multiLevelType w:val="hybridMultilevel"/>
    <w:tmpl w:val="7EAE7C90"/>
    <w:lvl w:ilvl="0" w:tplc="6ABC50D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3D90FB3"/>
    <w:multiLevelType w:val="hybridMultilevel"/>
    <w:tmpl w:val="922E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numRestart w:val="eachSect"/>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4648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47026"/>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539F3"/>
    <w:rsid w:val="00667726"/>
    <w:rsid w:val="006815B2"/>
    <w:rsid w:val="00682B31"/>
    <w:rsid w:val="006864E1"/>
    <w:rsid w:val="006A1DB0"/>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B7D30"/>
    <w:rsid w:val="008C1A39"/>
    <w:rsid w:val="008E7DFB"/>
    <w:rsid w:val="008F7327"/>
    <w:rsid w:val="009076C8"/>
    <w:rsid w:val="009132DC"/>
    <w:rsid w:val="00915BBE"/>
    <w:rsid w:val="00921D62"/>
    <w:rsid w:val="00922791"/>
    <w:rsid w:val="00927CD6"/>
    <w:rsid w:val="00933572"/>
    <w:rsid w:val="009363C7"/>
    <w:rsid w:val="0093703A"/>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279E2"/>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3EA9"/>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0005"/>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5DD5F4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6A1DB0"/>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4053">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124348626">
      <w:bodyDiv w:val="1"/>
      <w:marLeft w:val="0"/>
      <w:marRight w:val="0"/>
      <w:marTop w:val="0"/>
      <w:marBottom w:val="0"/>
      <w:divBdr>
        <w:top w:val="none" w:sz="0" w:space="0" w:color="auto"/>
        <w:left w:val="none" w:sz="0" w:space="0" w:color="auto"/>
        <w:bottom w:val="none" w:sz="0" w:space="0" w:color="auto"/>
        <w:right w:val="none" w:sz="0" w:space="0" w:color="auto"/>
      </w:divBdr>
    </w:div>
    <w:div w:id="1395272087">
      <w:bodyDiv w:val="1"/>
      <w:marLeft w:val="0"/>
      <w:marRight w:val="0"/>
      <w:marTop w:val="0"/>
      <w:marBottom w:val="0"/>
      <w:divBdr>
        <w:top w:val="none" w:sz="0" w:space="0" w:color="auto"/>
        <w:left w:val="none" w:sz="0" w:space="0" w:color="auto"/>
        <w:bottom w:val="none" w:sz="0" w:space="0" w:color="auto"/>
        <w:right w:val="none" w:sz="0" w:space="0" w:color="auto"/>
      </w:divBdr>
    </w:div>
    <w:div w:id="19653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archive.calacademy.org/research/ichthyology/catalog/fishcat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13</TotalTime>
  <Pages>6</Pages>
  <Words>1904</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2017-10-26T09:23:00Z</dcterms:created>
  <dcterms:modified xsi:type="dcterms:W3CDTF">2017-10-27T02:06:00Z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