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894A29"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D956D5">
              <w:rPr>
                <w:rFonts w:ascii="Arial" w:hAnsi="Arial" w:cs="Arial"/>
                <w:sz w:val="22"/>
                <w:szCs w:val="22"/>
                <w:lang w:val="fr-FR"/>
              </w:rPr>
              <w:t>39</w:t>
            </w:r>
          </w:p>
          <w:p w:rsidR="00260772" w:rsidRPr="005B42D9" w:rsidRDefault="00D956D5"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27</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D956D5" w:rsidRPr="00A10B49" w:rsidRDefault="00D956D5" w:rsidP="00D956D5">
      <w:pPr>
        <w:pStyle w:val="Heading2"/>
        <w:keepNext w:val="0"/>
        <w:ind w:left="-90" w:right="-367"/>
        <w:jc w:val="center"/>
        <w:rPr>
          <w:rFonts w:ascii="Arial" w:hAnsi="Arial" w:cs="Arial"/>
          <w:sz w:val="22"/>
          <w:szCs w:val="22"/>
          <w:lang w:val="fr-FR"/>
        </w:rPr>
      </w:pPr>
      <w:r w:rsidRPr="00A10B49">
        <w:rPr>
          <w:rFonts w:ascii="Arial" w:hAnsi="Arial" w:cs="Arial"/>
          <w:sz w:val="22"/>
          <w:szCs w:val="22"/>
          <w:lang w:val="fr-FR"/>
        </w:rPr>
        <w:t>GÉRER L’UTILISATION NON DURABLE DE LA VIANDE D’ANIMAUX SAUVAGES TERRESTRES ET AVIAIRES</w:t>
      </w:r>
      <w:r w:rsidR="006968D8">
        <w:rPr>
          <w:rFonts w:ascii="Arial" w:hAnsi="Arial" w:cs="Arial"/>
          <w:sz w:val="22"/>
          <w:szCs w:val="22"/>
          <w:lang w:val="fr-FR"/>
        </w:rPr>
        <w:t xml:space="preserve"> DES ESPÈCES MIGRATRICES D’ANIMAUX SAUVAGES</w:t>
      </w:r>
    </w:p>
    <w:p w:rsidR="00BC6025" w:rsidRPr="001F1DA4" w:rsidRDefault="00BC6025" w:rsidP="00BC6025">
      <w:pPr>
        <w:jc w:val="center"/>
        <w:rPr>
          <w:rFonts w:ascii="Arial" w:hAnsi="Arial" w:cs="Arial"/>
          <w:b/>
          <w:caps/>
          <w:sz w:val="22"/>
          <w:szCs w:val="22"/>
          <w:lang w:val="fr-FR"/>
        </w:rPr>
      </w:pPr>
    </w:p>
    <w:p w:rsidR="00BC6025" w:rsidRPr="00BC6025" w:rsidRDefault="00BC6025" w:rsidP="00BC6025">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Pr="00BC6025">
        <w:rPr>
          <w:rFonts w:ascii="Arial" w:hAnsi="Arial" w:cs="Arial"/>
          <w:bCs/>
          <w:caps/>
          <w:sz w:val="22"/>
          <w:szCs w:val="22"/>
          <w:lang w:val="fr-FR"/>
        </w:rPr>
        <w:t>.24.</w:t>
      </w:r>
      <w:r w:rsidR="00D956D5">
        <w:rPr>
          <w:rFonts w:ascii="Arial" w:hAnsi="Arial" w:cs="Arial"/>
          <w:bCs/>
          <w:caps/>
          <w:sz w:val="22"/>
          <w:szCs w:val="22"/>
          <w:lang w:val="fr-FR"/>
        </w:rPr>
        <w:t>4.7</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952EAE" w:rsidRPr="006968D8" w:rsidRDefault="00952EAE" w:rsidP="00952EAE">
      <w:pPr>
        <w:jc w:val="center"/>
        <w:rPr>
          <w:rFonts w:ascii="Arial" w:hAnsi="Arial" w:cs="Arial"/>
          <w:bCs/>
          <w:i/>
          <w:iCs/>
          <w:sz w:val="22"/>
          <w:szCs w:val="22"/>
          <w:lang w:val="en-GB"/>
        </w:rPr>
      </w:pPr>
      <w:r w:rsidRPr="006968D8">
        <w:rPr>
          <w:rFonts w:ascii="Arial" w:hAnsi="Arial" w:cs="Arial"/>
          <w:bCs/>
          <w:i/>
          <w:iCs/>
          <w:sz w:val="22"/>
          <w:szCs w:val="22"/>
          <w:lang w:val="en-GB"/>
        </w:rPr>
        <w:t>(</w:t>
      </w:r>
      <w:proofErr w:type="spellStart"/>
      <w:r w:rsidRPr="006968D8">
        <w:rPr>
          <w:rFonts w:ascii="Arial" w:hAnsi="Arial" w:cs="Arial"/>
          <w:bCs/>
          <w:i/>
          <w:iCs/>
          <w:sz w:val="22"/>
          <w:szCs w:val="22"/>
          <w:lang w:val="en-GB"/>
        </w:rPr>
        <w:t>Pr</w:t>
      </w:r>
      <w:r w:rsidR="006968D8" w:rsidRPr="006968D8">
        <w:rPr>
          <w:rFonts w:ascii="Arial" w:hAnsi="Arial" w:cs="Arial"/>
          <w:bCs/>
          <w:i/>
          <w:iCs/>
          <w:sz w:val="22"/>
          <w:szCs w:val="22"/>
          <w:lang w:val="en-GB"/>
        </w:rPr>
        <w:t>éparé</w:t>
      </w:r>
      <w:proofErr w:type="spellEnd"/>
      <w:r w:rsidR="006968D8" w:rsidRPr="006968D8">
        <w:rPr>
          <w:rFonts w:ascii="Arial" w:hAnsi="Arial" w:cs="Arial"/>
          <w:bCs/>
          <w:i/>
          <w:iCs/>
          <w:sz w:val="22"/>
          <w:szCs w:val="22"/>
          <w:lang w:val="en-GB"/>
        </w:rPr>
        <w:t xml:space="preserve"> que le Groupe de travail </w:t>
      </w:r>
      <w:proofErr w:type="spellStart"/>
      <w:r w:rsidR="006968D8" w:rsidRPr="006968D8">
        <w:rPr>
          <w:rFonts w:ascii="Arial" w:hAnsi="Arial" w:cs="Arial"/>
          <w:bCs/>
          <w:i/>
          <w:iCs/>
          <w:sz w:val="22"/>
          <w:szCs w:val="22"/>
          <w:lang w:val="en-GB"/>
        </w:rPr>
        <w:t>aquatique</w:t>
      </w:r>
      <w:proofErr w:type="spellEnd"/>
      <w:r w:rsidRPr="006968D8">
        <w:rPr>
          <w:rFonts w:ascii="Arial" w:hAnsi="Arial" w:cs="Arial"/>
          <w:bCs/>
          <w:i/>
          <w:iCs/>
          <w:sz w:val="22"/>
          <w:szCs w:val="22"/>
          <w:lang w:val="en-GB"/>
        </w:rPr>
        <w:t>)</w:t>
      </w:r>
    </w:p>
    <w:p w:rsidR="00BC6025" w:rsidRPr="001F1DA4" w:rsidRDefault="00BC6025" w:rsidP="00BC6025">
      <w:pPr>
        <w:jc w:val="both"/>
        <w:rPr>
          <w:rFonts w:ascii="Arial" w:hAnsi="Arial" w:cs="Arial"/>
          <w:szCs w:val="20"/>
          <w:lang w:val="fr-FR"/>
        </w:rPr>
      </w:pPr>
    </w:p>
    <w:p w:rsidR="00BC6025" w:rsidRPr="001F1DA4" w:rsidRDefault="00BC6025" w:rsidP="00BC6025">
      <w:pPr>
        <w:jc w:val="center"/>
        <w:rPr>
          <w:rFonts w:ascii="Arial" w:hAnsi="Arial" w:cs="Arial"/>
          <w:sz w:val="22"/>
          <w:szCs w:val="22"/>
          <w:lang w:val="fr-FR"/>
        </w:rPr>
      </w:pPr>
    </w:p>
    <w:p w:rsidR="00D956D5" w:rsidRPr="00A10B49" w:rsidRDefault="006968D8" w:rsidP="00D956D5">
      <w:pPr>
        <w:jc w:val="center"/>
        <w:rPr>
          <w:rFonts w:ascii="Arial" w:hAnsi="Arial" w:cs="Arial"/>
          <w:sz w:val="22"/>
          <w:szCs w:val="22"/>
          <w:lang w:val="fr-FR"/>
        </w:rPr>
      </w:pPr>
      <w:r>
        <w:rPr>
          <w:rFonts w:ascii="Arial" w:hAnsi="Arial" w:cs="Arial"/>
          <w:sz w:val="22"/>
          <w:szCs w:val="22"/>
          <w:lang w:val="fr-FR"/>
        </w:rPr>
        <w:t>PROJET DE DÉCISION</w:t>
      </w:r>
    </w:p>
    <w:p w:rsidR="00D956D5" w:rsidRPr="00A10B49" w:rsidRDefault="00D956D5" w:rsidP="00D956D5">
      <w:pPr>
        <w:jc w:val="center"/>
        <w:rPr>
          <w:rFonts w:ascii="Arial" w:hAnsi="Arial" w:cs="Arial"/>
          <w:sz w:val="22"/>
          <w:szCs w:val="22"/>
          <w:lang w:val="fr-FR"/>
        </w:rPr>
      </w:pPr>
    </w:p>
    <w:p w:rsidR="00D956D5" w:rsidRPr="00A10B49" w:rsidRDefault="00D956D5" w:rsidP="00D956D5">
      <w:pPr>
        <w:jc w:val="both"/>
        <w:rPr>
          <w:rFonts w:ascii="Arial" w:hAnsi="Arial" w:cs="Arial"/>
          <w:sz w:val="22"/>
          <w:szCs w:val="22"/>
          <w:lang w:val="fr-FR"/>
        </w:rPr>
      </w:pPr>
    </w:p>
    <w:p w:rsidR="00D956D5" w:rsidRPr="00A10B49" w:rsidRDefault="00D956D5" w:rsidP="00D956D5">
      <w:pPr>
        <w:jc w:val="both"/>
        <w:rPr>
          <w:rFonts w:ascii="Arial" w:hAnsi="Arial" w:cs="Arial"/>
          <w:b/>
          <w:i/>
          <w:sz w:val="22"/>
          <w:szCs w:val="22"/>
          <w:lang w:val="fr-FR"/>
        </w:rPr>
      </w:pPr>
      <w:r w:rsidRPr="00A10B49">
        <w:rPr>
          <w:rFonts w:ascii="Arial" w:hAnsi="Arial" w:cs="Arial"/>
          <w:b/>
          <w:i/>
          <w:sz w:val="22"/>
          <w:szCs w:val="22"/>
          <w:lang w:val="fr-FR"/>
        </w:rPr>
        <w:t>À l’adresse du Secrétariat</w:t>
      </w:r>
    </w:p>
    <w:p w:rsidR="00D956D5" w:rsidRPr="00A10B49" w:rsidRDefault="00D956D5" w:rsidP="00D956D5">
      <w:pPr>
        <w:jc w:val="both"/>
        <w:rPr>
          <w:rFonts w:ascii="Arial" w:hAnsi="Arial" w:cs="Arial"/>
          <w:sz w:val="22"/>
          <w:szCs w:val="22"/>
          <w:lang w:val="fr-FR"/>
        </w:rPr>
      </w:pPr>
    </w:p>
    <w:p w:rsidR="00D956D5" w:rsidRPr="00A10B49" w:rsidRDefault="00D956D5" w:rsidP="00D956D5">
      <w:pPr>
        <w:ind w:left="720" w:hanging="720"/>
        <w:jc w:val="both"/>
        <w:rPr>
          <w:rFonts w:ascii="Arial" w:hAnsi="Arial" w:cs="Arial"/>
          <w:iCs/>
          <w:sz w:val="22"/>
          <w:szCs w:val="22"/>
          <w:lang w:val="fr-FR"/>
        </w:rPr>
      </w:pPr>
      <w:r w:rsidRPr="00A10B49">
        <w:rPr>
          <w:rFonts w:ascii="Arial" w:hAnsi="Arial" w:cs="Arial"/>
          <w:sz w:val="22"/>
          <w:szCs w:val="22"/>
          <w:lang w:val="fr-FR"/>
        </w:rPr>
        <w:t>12.AA</w:t>
      </w:r>
      <w:r w:rsidRPr="00A10B49">
        <w:rPr>
          <w:rFonts w:ascii="Arial" w:hAnsi="Arial" w:cs="Arial"/>
          <w:sz w:val="22"/>
          <w:szCs w:val="22"/>
          <w:lang w:val="fr-FR"/>
        </w:rPr>
        <w:tab/>
        <w:t>Le Secrétariat, sous réserve de la disponibilité de ressources externes</w:t>
      </w:r>
      <w:r w:rsidR="006968D8">
        <w:rPr>
          <w:rFonts w:ascii="Arial" w:hAnsi="Arial" w:cs="Arial"/>
          <w:sz w:val="22"/>
          <w:szCs w:val="22"/>
          <w:lang w:val="fr-FR"/>
        </w:rPr>
        <w:t xml:space="preserve"> et travaillant dans le cadre de la Convention</w:t>
      </w:r>
      <w:r w:rsidRPr="00A10B49">
        <w:rPr>
          <w:rFonts w:ascii="Arial" w:hAnsi="Arial" w:cs="Arial"/>
          <w:sz w:val="22"/>
          <w:szCs w:val="22"/>
          <w:lang w:val="fr-FR"/>
        </w:rPr>
        <w:t xml:space="preserve">: </w:t>
      </w:r>
    </w:p>
    <w:p w:rsidR="00D956D5" w:rsidRPr="00A10B49" w:rsidRDefault="00D956D5" w:rsidP="00D956D5">
      <w:pPr>
        <w:ind w:left="720" w:hanging="720"/>
        <w:jc w:val="both"/>
        <w:rPr>
          <w:rFonts w:ascii="Arial" w:hAnsi="Arial" w:cs="Arial"/>
          <w:iCs/>
          <w:sz w:val="22"/>
          <w:szCs w:val="22"/>
          <w:lang w:val="fr-FR"/>
        </w:rPr>
      </w:pPr>
    </w:p>
    <w:p w:rsidR="00D956D5" w:rsidRPr="00A10B49" w:rsidRDefault="006968D8" w:rsidP="00D956D5">
      <w:pPr>
        <w:numPr>
          <w:ilvl w:val="0"/>
          <w:numId w:val="49"/>
        </w:numPr>
        <w:jc w:val="both"/>
        <w:rPr>
          <w:rFonts w:ascii="Arial" w:hAnsi="Arial" w:cs="Arial"/>
          <w:sz w:val="22"/>
          <w:szCs w:val="22"/>
          <w:lang w:val="fr-FR"/>
        </w:rPr>
      </w:pPr>
      <w:r>
        <w:rPr>
          <w:rFonts w:ascii="Arial" w:hAnsi="Arial" w:cs="Arial"/>
          <w:sz w:val="22"/>
          <w:szCs w:val="22"/>
          <w:lang w:val="fr-FR"/>
        </w:rPr>
        <w:t>Prépare</w:t>
      </w:r>
      <w:r w:rsidR="00D956D5" w:rsidRPr="00A10B49">
        <w:rPr>
          <w:rFonts w:ascii="Arial" w:hAnsi="Arial" w:cs="Arial"/>
          <w:sz w:val="22"/>
          <w:szCs w:val="22"/>
          <w:lang w:val="fr-FR"/>
        </w:rPr>
        <w:t xml:space="preserve"> une analyse des effets directs et indirects de </w:t>
      </w:r>
      <w:r w:rsidR="00CD14B6">
        <w:rPr>
          <w:rFonts w:ascii="Arial" w:hAnsi="Arial" w:cs="Arial"/>
          <w:sz w:val="22"/>
          <w:szCs w:val="22"/>
          <w:lang w:val="fr-FR"/>
        </w:rPr>
        <w:t xml:space="preserve">la prise, le commerce et </w:t>
      </w:r>
      <w:r w:rsidR="00D956D5" w:rsidRPr="00A10B49">
        <w:rPr>
          <w:rFonts w:ascii="Arial" w:hAnsi="Arial" w:cs="Arial"/>
          <w:sz w:val="22"/>
          <w:szCs w:val="22"/>
          <w:lang w:val="fr-FR"/>
        </w:rPr>
        <w:t xml:space="preserve">la consommation de viande d’animaux sauvages sur les espèces terrestres et aviaires inscrites aux Annexes </w:t>
      </w:r>
      <w:r w:rsidR="00CD14B6">
        <w:rPr>
          <w:rFonts w:ascii="Arial" w:hAnsi="Arial" w:cs="Arial"/>
          <w:sz w:val="22"/>
          <w:szCs w:val="22"/>
          <w:lang w:val="fr-FR"/>
        </w:rPr>
        <w:t xml:space="preserve">I et II </w:t>
      </w:r>
      <w:r w:rsidR="00D956D5" w:rsidRPr="00A10B49">
        <w:rPr>
          <w:rFonts w:ascii="Arial" w:hAnsi="Arial" w:cs="Arial"/>
          <w:sz w:val="22"/>
          <w:szCs w:val="22"/>
          <w:lang w:val="fr-FR"/>
        </w:rPr>
        <w:t>de la CMS; </w:t>
      </w:r>
    </w:p>
    <w:p w:rsidR="00D956D5" w:rsidRPr="00A10B49" w:rsidRDefault="00D956D5" w:rsidP="00D956D5">
      <w:pPr>
        <w:ind w:left="720"/>
        <w:jc w:val="both"/>
        <w:rPr>
          <w:rFonts w:ascii="Arial" w:hAnsi="Arial" w:cs="Arial"/>
          <w:sz w:val="22"/>
          <w:szCs w:val="22"/>
          <w:lang w:val="fr-FR"/>
        </w:rPr>
      </w:pPr>
    </w:p>
    <w:p w:rsidR="00D956D5" w:rsidRPr="00A10B49" w:rsidRDefault="00D956D5" w:rsidP="00D956D5">
      <w:pPr>
        <w:numPr>
          <w:ilvl w:val="0"/>
          <w:numId w:val="49"/>
        </w:numPr>
        <w:jc w:val="both"/>
        <w:rPr>
          <w:rFonts w:ascii="Arial" w:hAnsi="Arial" w:cs="Arial"/>
          <w:sz w:val="22"/>
          <w:szCs w:val="22"/>
          <w:lang w:val="fr-FR"/>
        </w:rPr>
      </w:pPr>
      <w:r w:rsidRPr="00A10B49">
        <w:rPr>
          <w:rFonts w:ascii="Arial" w:hAnsi="Arial" w:cs="Arial"/>
          <w:sz w:val="22"/>
          <w:szCs w:val="22"/>
          <w:lang w:val="fr-FR"/>
        </w:rPr>
        <w:t xml:space="preserve">Sur la base des conclusions formulées au titre du paragraphe a), coopérer avec les membres du Partenariat de collaboration sur la gestion durable de la faune sauvage (CPW) et, en particulier, avec: </w:t>
      </w:r>
    </w:p>
    <w:p w:rsidR="00D956D5" w:rsidRPr="00A10B49" w:rsidRDefault="00D956D5" w:rsidP="00D956D5">
      <w:pPr>
        <w:pStyle w:val="ListParagraph"/>
        <w:rPr>
          <w:rFonts w:ascii="Arial" w:hAnsi="Arial" w:cs="Arial"/>
          <w:sz w:val="22"/>
          <w:szCs w:val="22"/>
          <w:lang w:val="fr-FR"/>
        </w:rPr>
      </w:pPr>
    </w:p>
    <w:p w:rsidR="00D956D5" w:rsidRPr="00A10B49" w:rsidRDefault="00D956D5" w:rsidP="00D956D5">
      <w:pPr>
        <w:numPr>
          <w:ilvl w:val="1"/>
          <w:numId w:val="49"/>
        </w:numPr>
        <w:jc w:val="both"/>
        <w:rPr>
          <w:rFonts w:ascii="Arial" w:hAnsi="Arial" w:cs="Arial"/>
          <w:sz w:val="22"/>
          <w:szCs w:val="22"/>
          <w:lang w:val="fr-FR"/>
        </w:rPr>
      </w:pPr>
      <w:r w:rsidRPr="00A10B49">
        <w:rPr>
          <w:rFonts w:ascii="Arial" w:hAnsi="Arial" w:cs="Arial"/>
          <w:sz w:val="22"/>
          <w:szCs w:val="22"/>
          <w:lang w:val="fr-FR"/>
        </w:rPr>
        <w:t xml:space="preserve">Les Secrétariats de la Convention sur le commerce international des espèces de faune et de flore sauvages menacées d’extinction (CITES) et de la Convention sur la diversité biologique (CDB), ainsi que les présidences de leurs Conférences des Parties respectives par le biais des Secrétariats de la CDB et de la CITES, en donnant une importance accrue sur l’agenda politique à la question </w:t>
      </w:r>
      <w:r w:rsidR="00CD14B6">
        <w:rPr>
          <w:rFonts w:ascii="Arial" w:hAnsi="Arial" w:cs="Arial"/>
          <w:sz w:val="22"/>
          <w:szCs w:val="22"/>
          <w:lang w:val="fr-FR"/>
        </w:rPr>
        <w:t xml:space="preserve">de la prise, </w:t>
      </w:r>
      <w:r w:rsidRPr="00A10B49">
        <w:rPr>
          <w:rFonts w:ascii="Arial" w:hAnsi="Arial" w:cs="Arial"/>
          <w:sz w:val="22"/>
          <w:szCs w:val="22"/>
          <w:lang w:val="fr-FR"/>
        </w:rPr>
        <w:t>du commerce et de la consommation non durables de viande d’animaux sauvages;</w:t>
      </w:r>
    </w:p>
    <w:p w:rsidR="00D956D5" w:rsidRPr="00A10B49" w:rsidRDefault="00D956D5" w:rsidP="00D956D5">
      <w:pPr>
        <w:pStyle w:val="ListParagraph"/>
        <w:rPr>
          <w:rFonts w:ascii="Arial" w:hAnsi="Arial" w:cs="Arial"/>
          <w:sz w:val="22"/>
          <w:szCs w:val="22"/>
          <w:lang w:val="fr-FR"/>
        </w:rPr>
      </w:pPr>
    </w:p>
    <w:p w:rsidR="00D956D5" w:rsidRPr="00A10B49" w:rsidRDefault="00D956D5" w:rsidP="00D956D5">
      <w:pPr>
        <w:numPr>
          <w:ilvl w:val="1"/>
          <w:numId w:val="49"/>
        </w:numPr>
        <w:jc w:val="both"/>
        <w:rPr>
          <w:rFonts w:ascii="Arial" w:hAnsi="Arial" w:cs="Arial"/>
          <w:sz w:val="22"/>
          <w:szCs w:val="22"/>
          <w:lang w:val="fr-FR"/>
        </w:rPr>
      </w:pPr>
      <w:r w:rsidRPr="00A10B49">
        <w:rPr>
          <w:rFonts w:ascii="Arial" w:hAnsi="Arial" w:cs="Arial"/>
          <w:sz w:val="22"/>
          <w:szCs w:val="22"/>
          <w:lang w:val="fr-FR"/>
        </w:rPr>
        <w:t xml:space="preserve">L’Organisation des Nations Unies pour l’alimentation et l’agriculture (FAO), le Centre pour la recherche forestière internationale (CIFOR), le Centre de Coopération Internationale en Recherche Agronomique pour le Développement (CIRAD) et la </w:t>
      </w:r>
      <w:proofErr w:type="spellStart"/>
      <w:r w:rsidRPr="00A10B49">
        <w:rPr>
          <w:rFonts w:ascii="Arial" w:hAnsi="Arial" w:cs="Arial"/>
          <w:sz w:val="22"/>
          <w:szCs w:val="22"/>
          <w:lang w:val="fr-FR"/>
        </w:rPr>
        <w:t>Wildlife</w:t>
      </w:r>
      <w:proofErr w:type="spellEnd"/>
      <w:r w:rsidRPr="00A10B49">
        <w:rPr>
          <w:rFonts w:ascii="Arial" w:hAnsi="Arial" w:cs="Arial"/>
          <w:sz w:val="22"/>
          <w:szCs w:val="22"/>
          <w:lang w:val="fr-FR"/>
        </w:rPr>
        <w:t xml:space="preserve"> Conservation Society (WCS) (Société pour la conservation de la vie sauvage) sur des questions de gestion durable de la vie sauvage, dans la mesure où elles se rapportent aux espèces inscrites aux Annexes de la CMS et présenter les leçons retenues à la 13</w:t>
      </w:r>
      <w:r w:rsidRPr="00A10B49">
        <w:rPr>
          <w:rFonts w:ascii="Arial" w:hAnsi="Arial" w:cs="Arial"/>
          <w:sz w:val="22"/>
          <w:szCs w:val="22"/>
          <w:vertAlign w:val="superscript"/>
          <w:lang w:val="fr-FR"/>
        </w:rPr>
        <w:t>e</w:t>
      </w:r>
      <w:r w:rsidR="00CD14B6">
        <w:rPr>
          <w:rFonts w:ascii="Arial" w:hAnsi="Arial" w:cs="Arial"/>
          <w:sz w:val="22"/>
          <w:szCs w:val="22"/>
          <w:lang w:val="fr-FR"/>
        </w:rPr>
        <w:t xml:space="preserve"> S</w:t>
      </w:r>
      <w:r w:rsidRPr="00A10B49">
        <w:rPr>
          <w:rFonts w:ascii="Arial" w:hAnsi="Arial" w:cs="Arial"/>
          <w:sz w:val="22"/>
          <w:szCs w:val="22"/>
          <w:lang w:val="fr-FR"/>
        </w:rPr>
        <w:t xml:space="preserve">ession de la Conférence des Parties; </w:t>
      </w:r>
    </w:p>
    <w:p w:rsidR="00D956D5" w:rsidRPr="00A10B49" w:rsidRDefault="00D956D5" w:rsidP="00D956D5">
      <w:pPr>
        <w:pStyle w:val="ListParagraph"/>
        <w:rPr>
          <w:rFonts w:ascii="Arial" w:hAnsi="Arial" w:cs="Arial"/>
          <w:sz w:val="22"/>
          <w:szCs w:val="22"/>
          <w:lang w:val="fr-FR"/>
        </w:rPr>
      </w:pPr>
    </w:p>
    <w:p w:rsidR="00D956D5" w:rsidRPr="00A10B49" w:rsidRDefault="00D956D5" w:rsidP="00D956D5">
      <w:pPr>
        <w:numPr>
          <w:ilvl w:val="1"/>
          <w:numId w:val="49"/>
        </w:numPr>
        <w:jc w:val="both"/>
        <w:rPr>
          <w:rFonts w:ascii="Arial" w:hAnsi="Arial" w:cs="Arial"/>
          <w:sz w:val="22"/>
          <w:szCs w:val="22"/>
          <w:lang w:val="fr-FR"/>
        </w:rPr>
      </w:pPr>
      <w:r w:rsidRPr="00A10B49">
        <w:rPr>
          <w:rFonts w:ascii="Arial" w:hAnsi="Arial" w:cs="Arial"/>
          <w:sz w:val="22"/>
          <w:szCs w:val="22"/>
          <w:lang w:val="fr-FR"/>
        </w:rPr>
        <w:t xml:space="preserve">Le Secrétaire exécutif de la CDB et d’autres membres du CPW pour </w:t>
      </w:r>
      <w:r w:rsidR="00CD14B6">
        <w:rPr>
          <w:rFonts w:ascii="Arial" w:hAnsi="Arial" w:cs="Arial"/>
          <w:sz w:val="22"/>
          <w:szCs w:val="22"/>
          <w:lang w:val="fr-FR"/>
        </w:rPr>
        <w:t xml:space="preserve">contribuer au développement </w:t>
      </w:r>
      <w:r w:rsidRPr="00A10B49">
        <w:rPr>
          <w:rFonts w:ascii="Arial" w:hAnsi="Arial" w:cs="Arial"/>
          <w:sz w:val="22"/>
          <w:szCs w:val="22"/>
          <w:lang w:val="fr-FR"/>
        </w:rPr>
        <w:t>des orientations techniques pour une meilleure gouvernance en vue d’un secteur de la viande d’animaux sauvages</w:t>
      </w:r>
      <w:r w:rsidR="000D0E2D">
        <w:rPr>
          <w:rFonts w:ascii="Arial" w:hAnsi="Arial" w:cs="Arial"/>
          <w:sz w:val="22"/>
          <w:szCs w:val="22"/>
          <w:lang w:val="fr-FR"/>
        </w:rPr>
        <w:t xml:space="preserve"> (y compris la viande de brousse)</w:t>
      </w:r>
      <w:r w:rsidRPr="00A10B49">
        <w:rPr>
          <w:rFonts w:ascii="Arial" w:hAnsi="Arial" w:cs="Arial"/>
          <w:sz w:val="22"/>
          <w:szCs w:val="22"/>
          <w:lang w:val="fr-FR"/>
        </w:rPr>
        <w:t xml:space="preserve"> plus durable, comme énoncé dans la Décision CBD/COP/DEC/XIII/8 de la CDB;</w:t>
      </w:r>
    </w:p>
    <w:p w:rsidR="00D956D5" w:rsidRDefault="00D956D5" w:rsidP="00D956D5">
      <w:pPr>
        <w:ind w:left="720"/>
        <w:jc w:val="both"/>
        <w:rPr>
          <w:rFonts w:ascii="Arial" w:hAnsi="Arial" w:cs="Arial"/>
          <w:sz w:val="22"/>
          <w:szCs w:val="22"/>
          <w:lang w:val="fr-FR"/>
        </w:rPr>
      </w:pPr>
    </w:p>
    <w:p w:rsidR="00F81BDF" w:rsidRPr="00A10B49" w:rsidRDefault="00F81BDF" w:rsidP="00D956D5">
      <w:pPr>
        <w:ind w:left="720"/>
        <w:jc w:val="both"/>
        <w:rPr>
          <w:rFonts w:ascii="Arial" w:hAnsi="Arial" w:cs="Arial"/>
          <w:sz w:val="22"/>
          <w:szCs w:val="22"/>
          <w:lang w:val="fr-FR"/>
        </w:rPr>
      </w:pPr>
      <w:bookmarkStart w:id="0" w:name="_GoBack"/>
      <w:bookmarkEnd w:id="0"/>
    </w:p>
    <w:p w:rsidR="00D956D5" w:rsidRPr="00A10B49" w:rsidRDefault="00D956D5" w:rsidP="00D956D5">
      <w:pPr>
        <w:numPr>
          <w:ilvl w:val="0"/>
          <w:numId w:val="49"/>
        </w:numPr>
        <w:jc w:val="both"/>
        <w:rPr>
          <w:rFonts w:ascii="Arial" w:hAnsi="Arial" w:cs="Arial"/>
          <w:sz w:val="22"/>
          <w:szCs w:val="22"/>
          <w:lang w:val="fr-FR"/>
        </w:rPr>
      </w:pPr>
      <w:r w:rsidRPr="00A10B49">
        <w:rPr>
          <w:rFonts w:ascii="Arial" w:hAnsi="Arial" w:cs="Arial"/>
          <w:sz w:val="22"/>
          <w:szCs w:val="22"/>
          <w:lang w:val="fr-FR"/>
        </w:rPr>
        <w:lastRenderedPageBreak/>
        <w:t>Faire rapport au Comité permanent à ses 48</w:t>
      </w:r>
      <w:r w:rsidRPr="00A10B49">
        <w:rPr>
          <w:rFonts w:ascii="Arial" w:hAnsi="Arial" w:cs="Arial"/>
          <w:sz w:val="22"/>
          <w:szCs w:val="22"/>
          <w:vertAlign w:val="superscript"/>
          <w:lang w:val="fr-FR"/>
        </w:rPr>
        <w:t>e</w:t>
      </w:r>
      <w:r w:rsidRPr="00A10B49">
        <w:rPr>
          <w:rFonts w:ascii="Arial" w:hAnsi="Arial" w:cs="Arial"/>
          <w:sz w:val="22"/>
          <w:szCs w:val="22"/>
          <w:lang w:val="fr-FR"/>
        </w:rPr>
        <w:t xml:space="preserve"> et 49</w:t>
      </w:r>
      <w:r w:rsidRPr="00A10B49">
        <w:rPr>
          <w:rFonts w:ascii="Arial" w:hAnsi="Arial" w:cs="Arial"/>
          <w:sz w:val="22"/>
          <w:szCs w:val="22"/>
          <w:vertAlign w:val="superscript"/>
          <w:lang w:val="fr-FR"/>
        </w:rPr>
        <w:t>e</w:t>
      </w:r>
      <w:r w:rsidR="000D0E2D">
        <w:rPr>
          <w:rFonts w:ascii="Arial" w:hAnsi="Arial" w:cs="Arial"/>
          <w:sz w:val="22"/>
          <w:szCs w:val="22"/>
          <w:lang w:val="fr-FR"/>
        </w:rPr>
        <w:t xml:space="preserve"> </w:t>
      </w:r>
      <w:r w:rsidR="00F81BDF">
        <w:rPr>
          <w:rFonts w:ascii="Arial" w:hAnsi="Arial" w:cs="Arial"/>
          <w:sz w:val="22"/>
          <w:szCs w:val="22"/>
          <w:lang w:val="fr-FR"/>
        </w:rPr>
        <w:t>Réunions</w:t>
      </w:r>
      <w:r w:rsidRPr="00A10B49">
        <w:rPr>
          <w:rFonts w:ascii="Arial" w:hAnsi="Arial" w:cs="Arial"/>
          <w:sz w:val="22"/>
          <w:szCs w:val="22"/>
          <w:lang w:val="fr-FR"/>
        </w:rPr>
        <w:t xml:space="preserve"> et à la Conférence des Parties à sa 13</w:t>
      </w:r>
      <w:r w:rsidRPr="00A10B49">
        <w:rPr>
          <w:rFonts w:ascii="Arial" w:hAnsi="Arial" w:cs="Arial"/>
          <w:sz w:val="22"/>
          <w:szCs w:val="22"/>
          <w:vertAlign w:val="superscript"/>
          <w:lang w:val="fr-FR"/>
        </w:rPr>
        <w:t>e</w:t>
      </w:r>
      <w:r w:rsidR="000D0E2D">
        <w:rPr>
          <w:rFonts w:ascii="Arial" w:hAnsi="Arial" w:cs="Arial"/>
          <w:sz w:val="22"/>
          <w:szCs w:val="22"/>
          <w:lang w:val="fr-FR"/>
        </w:rPr>
        <w:t xml:space="preserve"> Sessio</w:t>
      </w:r>
      <w:r w:rsidRPr="00A10B49">
        <w:rPr>
          <w:rFonts w:ascii="Arial" w:hAnsi="Arial" w:cs="Arial"/>
          <w:sz w:val="22"/>
          <w:szCs w:val="22"/>
          <w:lang w:val="fr-FR"/>
        </w:rPr>
        <w:t>n sur l’état d’avancement de la mise en application de cette décision.</w:t>
      </w:r>
    </w:p>
    <w:p w:rsidR="00D956D5" w:rsidRDefault="00D956D5" w:rsidP="00D956D5">
      <w:pPr>
        <w:jc w:val="both"/>
        <w:rPr>
          <w:rFonts w:ascii="Arial" w:hAnsi="Arial" w:cs="Arial"/>
          <w:b/>
          <w:i/>
          <w:sz w:val="22"/>
          <w:szCs w:val="22"/>
          <w:lang w:val="fr-FR"/>
        </w:rPr>
      </w:pPr>
    </w:p>
    <w:p w:rsidR="00D956D5" w:rsidRPr="00A10B49" w:rsidRDefault="00D956D5" w:rsidP="00D956D5">
      <w:pPr>
        <w:jc w:val="both"/>
        <w:rPr>
          <w:rFonts w:ascii="Arial" w:hAnsi="Arial" w:cs="Arial"/>
          <w:b/>
          <w:i/>
          <w:sz w:val="22"/>
          <w:szCs w:val="22"/>
          <w:lang w:val="fr-FR"/>
        </w:rPr>
      </w:pPr>
    </w:p>
    <w:p w:rsidR="00D956D5" w:rsidRPr="00A10B49" w:rsidRDefault="00D956D5" w:rsidP="00D956D5">
      <w:pPr>
        <w:jc w:val="both"/>
        <w:rPr>
          <w:rFonts w:ascii="Arial" w:hAnsi="Arial" w:cs="Arial"/>
          <w:b/>
          <w:i/>
          <w:sz w:val="22"/>
          <w:szCs w:val="22"/>
          <w:lang w:val="fr-FR"/>
        </w:rPr>
      </w:pPr>
      <w:r w:rsidRPr="00A10B49">
        <w:rPr>
          <w:rFonts w:ascii="Arial" w:hAnsi="Arial" w:cs="Arial"/>
          <w:b/>
          <w:i/>
          <w:sz w:val="22"/>
          <w:szCs w:val="22"/>
          <w:lang w:val="fr-FR"/>
        </w:rPr>
        <w:t xml:space="preserve">À l’adresse des Parties </w:t>
      </w:r>
    </w:p>
    <w:p w:rsidR="00D956D5" w:rsidRPr="00A10B49" w:rsidRDefault="00D956D5" w:rsidP="00D956D5">
      <w:pPr>
        <w:pStyle w:val="ListParagraph"/>
        <w:jc w:val="both"/>
        <w:rPr>
          <w:rFonts w:ascii="Arial" w:hAnsi="Arial" w:cs="Arial"/>
          <w:sz w:val="22"/>
          <w:szCs w:val="22"/>
          <w:lang w:val="fr-FR"/>
        </w:rPr>
      </w:pPr>
    </w:p>
    <w:p w:rsidR="00D956D5" w:rsidRPr="00A10B49" w:rsidRDefault="00D956D5" w:rsidP="00D956D5">
      <w:pPr>
        <w:ind w:left="720" w:hanging="720"/>
        <w:jc w:val="both"/>
        <w:rPr>
          <w:rFonts w:ascii="Arial" w:hAnsi="Arial" w:cs="Arial"/>
          <w:iCs/>
          <w:sz w:val="22"/>
          <w:szCs w:val="22"/>
          <w:lang w:val="fr-FR"/>
        </w:rPr>
      </w:pPr>
      <w:r w:rsidRPr="00A10B49">
        <w:rPr>
          <w:rFonts w:ascii="Arial" w:hAnsi="Arial" w:cs="Arial"/>
          <w:sz w:val="22"/>
          <w:szCs w:val="22"/>
          <w:lang w:val="fr-FR"/>
        </w:rPr>
        <w:t>12.BB</w:t>
      </w:r>
      <w:r w:rsidRPr="00A10B49">
        <w:rPr>
          <w:rFonts w:ascii="Arial" w:hAnsi="Arial" w:cs="Arial"/>
          <w:sz w:val="22"/>
          <w:szCs w:val="22"/>
          <w:lang w:val="fr-FR"/>
        </w:rPr>
        <w:tab/>
        <w:t>Les Parties sont invitées à coopérer avec le</w:t>
      </w:r>
      <w:r w:rsidRPr="00A10B49">
        <w:rPr>
          <w:rFonts w:ascii="Arial" w:hAnsi="Arial" w:cs="Arial"/>
          <w:iCs/>
          <w:sz w:val="22"/>
          <w:szCs w:val="22"/>
          <w:lang w:val="fr-FR"/>
        </w:rPr>
        <w:t xml:space="preserve"> Secrétariat pour l’application des décisions 12.AA, en:</w:t>
      </w:r>
    </w:p>
    <w:p w:rsidR="00D956D5" w:rsidRPr="00A10B49" w:rsidRDefault="00D956D5" w:rsidP="00D956D5">
      <w:pPr>
        <w:ind w:left="720"/>
        <w:jc w:val="both"/>
        <w:rPr>
          <w:rFonts w:ascii="Arial" w:hAnsi="Arial" w:cs="Arial"/>
          <w:iCs/>
          <w:sz w:val="22"/>
          <w:szCs w:val="22"/>
          <w:lang w:val="fr-FR"/>
        </w:rPr>
      </w:pPr>
    </w:p>
    <w:p w:rsidR="00D956D5" w:rsidRPr="00A10B49" w:rsidRDefault="000D0E2D" w:rsidP="00D956D5">
      <w:pPr>
        <w:pStyle w:val="ListParagraph"/>
        <w:numPr>
          <w:ilvl w:val="0"/>
          <w:numId w:val="50"/>
        </w:numPr>
        <w:ind w:left="720"/>
        <w:jc w:val="both"/>
        <w:rPr>
          <w:rFonts w:ascii="Arial" w:hAnsi="Arial" w:cs="Arial"/>
          <w:iCs/>
          <w:sz w:val="22"/>
          <w:szCs w:val="22"/>
          <w:lang w:val="fr-FR"/>
        </w:rPr>
      </w:pPr>
      <w:r>
        <w:rPr>
          <w:rFonts w:ascii="Arial" w:hAnsi="Arial" w:cs="Arial"/>
          <w:iCs/>
          <w:sz w:val="22"/>
          <w:szCs w:val="22"/>
          <w:lang w:val="fr-FR"/>
        </w:rPr>
        <w:t>f</w:t>
      </w:r>
      <w:r w:rsidR="00D956D5" w:rsidRPr="00A10B49">
        <w:rPr>
          <w:rFonts w:ascii="Arial" w:hAnsi="Arial" w:cs="Arial"/>
          <w:iCs/>
          <w:sz w:val="22"/>
          <w:szCs w:val="22"/>
          <w:lang w:val="fr-FR"/>
        </w:rPr>
        <w:t>ournissant des informations et des données pour l’analyse mentionnée ci-dessus au paragraphe a);</w:t>
      </w:r>
    </w:p>
    <w:p w:rsidR="00D956D5" w:rsidRPr="00A10B49" w:rsidRDefault="00D956D5" w:rsidP="00D956D5">
      <w:pPr>
        <w:pStyle w:val="ListParagraph"/>
        <w:jc w:val="both"/>
        <w:rPr>
          <w:rFonts w:ascii="Arial" w:hAnsi="Arial" w:cs="Arial"/>
          <w:iCs/>
          <w:sz w:val="22"/>
          <w:szCs w:val="22"/>
          <w:lang w:val="fr-FR"/>
        </w:rPr>
      </w:pPr>
    </w:p>
    <w:p w:rsidR="00D956D5" w:rsidRPr="00A10B49" w:rsidRDefault="000D0E2D" w:rsidP="00D956D5">
      <w:pPr>
        <w:pStyle w:val="ListParagraph"/>
        <w:numPr>
          <w:ilvl w:val="0"/>
          <w:numId w:val="50"/>
        </w:numPr>
        <w:ind w:left="720"/>
        <w:jc w:val="both"/>
        <w:rPr>
          <w:rFonts w:ascii="Arial" w:hAnsi="Arial" w:cs="Arial"/>
          <w:iCs/>
          <w:sz w:val="22"/>
          <w:szCs w:val="22"/>
          <w:lang w:val="fr-FR"/>
        </w:rPr>
      </w:pPr>
      <w:r>
        <w:rPr>
          <w:rFonts w:ascii="Arial" w:hAnsi="Arial" w:cs="Arial"/>
          <w:iCs/>
          <w:sz w:val="22"/>
          <w:szCs w:val="22"/>
          <w:lang w:val="fr-FR"/>
        </w:rPr>
        <w:t>c</w:t>
      </w:r>
      <w:r w:rsidR="00D956D5" w:rsidRPr="00A10B49">
        <w:rPr>
          <w:rFonts w:ascii="Arial" w:hAnsi="Arial" w:cs="Arial"/>
          <w:iCs/>
          <w:sz w:val="22"/>
          <w:szCs w:val="22"/>
          <w:lang w:val="fr-FR"/>
        </w:rPr>
        <w:t>ontribuant aux débats sur la viande d’animaux sauvages dans les instances mondiales mentionnées au paragraphe b) i. ; et</w:t>
      </w:r>
    </w:p>
    <w:p w:rsidR="00D956D5" w:rsidRPr="00A10B49" w:rsidRDefault="00D956D5" w:rsidP="00D956D5">
      <w:pPr>
        <w:pStyle w:val="ListParagraph"/>
        <w:rPr>
          <w:rFonts w:ascii="Arial" w:hAnsi="Arial" w:cs="Arial"/>
          <w:iCs/>
          <w:sz w:val="22"/>
          <w:szCs w:val="22"/>
          <w:lang w:val="fr-FR"/>
        </w:rPr>
      </w:pPr>
    </w:p>
    <w:p w:rsidR="00D956D5" w:rsidRDefault="000D0E2D" w:rsidP="00D956D5">
      <w:pPr>
        <w:pStyle w:val="ListParagraph"/>
        <w:numPr>
          <w:ilvl w:val="0"/>
          <w:numId w:val="50"/>
        </w:numPr>
        <w:ind w:left="720"/>
        <w:jc w:val="both"/>
        <w:rPr>
          <w:rFonts w:ascii="Arial" w:hAnsi="Arial" w:cs="Arial"/>
          <w:iCs/>
          <w:sz w:val="22"/>
          <w:szCs w:val="22"/>
          <w:lang w:val="fr-FR"/>
        </w:rPr>
      </w:pPr>
      <w:r>
        <w:rPr>
          <w:rFonts w:ascii="Arial" w:hAnsi="Arial" w:cs="Arial"/>
          <w:iCs/>
          <w:sz w:val="22"/>
          <w:szCs w:val="22"/>
          <w:lang w:val="fr-FR"/>
        </w:rPr>
        <w:t>a</w:t>
      </w:r>
      <w:r w:rsidR="00D956D5" w:rsidRPr="00A10B49">
        <w:rPr>
          <w:rFonts w:ascii="Arial" w:hAnsi="Arial" w:cs="Arial"/>
          <w:iCs/>
          <w:sz w:val="22"/>
          <w:szCs w:val="22"/>
          <w:lang w:val="fr-FR"/>
        </w:rPr>
        <w:t>ppuyant le développement et la mise en œuvre d’une gouvernance favorisant la durabilité du secteur de la viande d’animaux sauvages mentionnée au paragraphe b) iii.</w:t>
      </w:r>
    </w:p>
    <w:p w:rsidR="00D956D5" w:rsidRPr="006B72F5" w:rsidRDefault="00D956D5" w:rsidP="00D956D5">
      <w:pPr>
        <w:pStyle w:val="ListParagraph"/>
        <w:rPr>
          <w:rFonts w:ascii="Arial" w:hAnsi="Arial" w:cs="Arial"/>
          <w:iCs/>
          <w:sz w:val="22"/>
          <w:szCs w:val="22"/>
          <w:lang w:val="fr-FR"/>
        </w:rPr>
      </w:pPr>
    </w:p>
    <w:p w:rsidR="00D956D5" w:rsidRDefault="00F81BDF" w:rsidP="00F81BDF">
      <w:pPr>
        <w:pStyle w:val="ListParagraph"/>
        <w:ind w:hanging="630"/>
        <w:jc w:val="both"/>
        <w:rPr>
          <w:rFonts w:ascii="Arial" w:hAnsi="Arial" w:cs="Arial"/>
          <w:iCs/>
          <w:sz w:val="22"/>
          <w:szCs w:val="22"/>
          <w:lang w:val="fr-FR"/>
        </w:rPr>
      </w:pPr>
      <w:r>
        <w:rPr>
          <w:rFonts w:ascii="Arial" w:hAnsi="Arial" w:cs="Arial"/>
          <w:iCs/>
          <w:sz w:val="22"/>
          <w:szCs w:val="22"/>
          <w:lang w:val="fr-FR"/>
        </w:rPr>
        <w:t>12.BB.bis Les Parties sont invitées à :</w:t>
      </w:r>
    </w:p>
    <w:p w:rsidR="00F81BDF" w:rsidRDefault="00F81BDF" w:rsidP="00D956D5">
      <w:pPr>
        <w:pStyle w:val="ListParagraph"/>
        <w:jc w:val="both"/>
        <w:rPr>
          <w:rFonts w:ascii="Arial" w:hAnsi="Arial" w:cs="Arial"/>
          <w:iCs/>
          <w:sz w:val="22"/>
          <w:szCs w:val="22"/>
          <w:lang w:val="fr-FR"/>
        </w:rPr>
      </w:pPr>
    </w:p>
    <w:p w:rsidR="00F81BDF" w:rsidRDefault="00F81BDF" w:rsidP="00D956D5">
      <w:pPr>
        <w:pStyle w:val="ListParagraph"/>
        <w:jc w:val="both"/>
        <w:rPr>
          <w:rFonts w:ascii="Arial" w:hAnsi="Arial" w:cs="Arial"/>
          <w:iCs/>
          <w:sz w:val="22"/>
          <w:szCs w:val="22"/>
          <w:lang w:val="fr-FR"/>
        </w:rPr>
      </w:pPr>
      <w:r w:rsidRPr="00F81BDF">
        <w:rPr>
          <w:rFonts w:ascii="Arial" w:hAnsi="Arial" w:cs="Arial"/>
          <w:iCs/>
          <w:sz w:val="22"/>
          <w:szCs w:val="22"/>
          <w:lang w:val="fr-FR"/>
        </w:rPr>
        <w:t xml:space="preserve">Envisager, le cas échéant via la coopération entre les points focaux nationaux </w:t>
      </w:r>
      <w:r>
        <w:rPr>
          <w:rFonts w:ascii="Arial" w:hAnsi="Arial" w:cs="Arial"/>
          <w:iCs/>
          <w:sz w:val="22"/>
          <w:szCs w:val="22"/>
          <w:lang w:val="fr-FR"/>
        </w:rPr>
        <w:t xml:space="preserve">de la CMS et de la </w:t>
      </w:r>
      <w:r w:rsidRPr="00F81BDF">
        <w:rPr>
          <w:rFonts w:ascii="Arial" w:hAnsi="Arial" w:cs="Arial"/>
          <w:iCs/>
          <w:sz w:val="22"/>
          <w:szCs w:val="22"/>
          <w:lang w:val="fr-FR"/>
        </w:rPr>
        <w:t>CITES</w:t>
      </w:r>
      <w:r>
        <w:rPr>
          <w:rFonts w:ascii="Arial" w:hAnsi="Arial" w:cs="Arial"/>
          <w:iCs/>
          <w:sz w:val="22"/>
          <w:szCs w:val="22"/>
          <w:lang w:val="fr-FR"/>
        </w:rPr>
        <w:t>, de réglementer le commerce de</w:t>
      </w:r>
      <w:r w:rsidRPr="00F81BDF">
        <w:rPr>
          <w:rFonts w:ascii="Arial" w:hAnsi="Arial" w:cs="Arial"/>
          <w:iCs/>
          <w:sz w:val="22"/>
          <w:szCs w:val="22"/>
          <w:lang w:val="fr-FR"/>
        </w:rPr>
        <w:t xml:space="preserve"> viandes sauvages des espèces terrestres et aviaires inscrites aux Annexes I et II de la CMS afin d'éviter les effets négatifs sur l'état de conservation des populations sources</w:t>
      </w:r>
      <w:r>
        <w:rPr>
          <w:rFonts w:ascii="Arial" w:hAnsi="Arial" w:cs="Arial"/>
          <w:iCs/>
          <w:sz w:val="22"/>
          <w:szCs w:val="22"/>
          <w:lang w:val="fr-FR"/>
        </w:rPr>
        <w:t>.</w:t>
      </w:r>
    </w:p>
    <w:p w:rsidR="00F81BDF" w:rsidRDefault="00F81BDF" w:rsidP="00D956D5">
      <w:pPr>
        <w:pStyle w:val="ListParagraph"/>
        <w:jc w:val="both"/>
        <w:rPr>
          <w:rFonts w:ascii="Arial" w:hAnsi="Arial" w:cs="Arial"/>
          <w:iCs/>
          <w:sz w:val="22"/>
          <w:szCs w:val="22"/>
          <w:lang w:val="fr-FR"/>
        </w:rPr>
      </w:pPr>
    </w:p>
    <w:p w:rsidR="00F81BDF" w:rsidRPr="00A10B49" w:rsidRDefault="00F81BDF" w:rsidP="00D956D5">
      <w:pPr>
        <w:pStyle w:val="ListParagraph"/>
        <w:jc w:val="both"/>
        <w:rPr>
          <w:rFonts w:ascii="Arial" w:hAnsi="Arial" w:cs="Arial"/>
          <w:iCs/>
          <w:sz w:val="22"/>
          <w:szCs w:val="22"/>
          <w:lang w:val="fr-FR"/>
        </w:rPr>
      </w:pPr>
    </w:p>
    <w:p w:rsidR="00D956D5" w:rsidRPr="00A10B49" w:rsidRDefault="00D956D5" w:rsidP="00D956D5">
      <w:pPr>
        <w:jc w:val="both"/>
        <w:rPr>
          <w:rFonts w:ascii="Arial" w:hAnsi="Arial" w:cs="Arial"/>
          <w:sz w:val="22"/>
          <w:szCs w:val="22"/>
          <w:lang w:val="fr-FR"/>
        </w:rPr>
      </w:pPr>
      <w:r w:rsidRPr="00A10B49">
        <w:rPr>
          <w:rFonts w:ascii="Arial" w:hAnsi="Arial" w:cs="Arial"/>
          <w:b/>
          <w:i/>
          <w:sz w:val="22"/>
          <w:szCs w:val="22"/>
          <w:lang w:val="fr-FR"/>
        </w:rPr>
        <w:t xml:space="preserve">À l’adresse du Conseil scientifique </w:t>
      </w:r>
    </w:p>
    <w:p w:rsidR="00D956D5" w:rsidRPr="00A10B49" w:rsidRDefault="00D956D5" w:rsidP="00D956D5">
      <w:pPr>
        <w:jc w:val="both"/>
        <w:rPr>
          <w:rFonts w:ascii="Arial" w:hAnsi="Arial" w:cs="Arial"/>
          <w:sz w:val="22"/>
          <w:szCs w:val="22"/>
          <w:lang w:val="fr-FR"/>
        </w:rPr>
      </w:pPr>
    </w:p>
    <w:p w:rsidR="00D956D5" w:rsidRPr="00A10B49" w:rsidRDefault="00D956D5" w:rsidP="00D956D5">
      <w:pPr>
        <w:ind w:left="720" w:hanging="720"/>
        <w:jc w:val="both"/>
        <w:rPr>
          <w:rFonts w:ascii="Arial" w:hAnsi="Arial" w:cs="Arial"/>
          <w:sz w:val="22"/>
          <w:szCs w:val="22"/>
          <w:lang w:val="fr-FR"/>
        </w:rPr>
      </w:pPr>
      <w:r w:rsidRPr="00A10B49">
        <w:rPr>
          <w:rFonts w:ascii="Arial" w:hAnsi="Arial" w:cs="Arial"/>
          <w:sz w:val="22"/>
          <w:szCs w:val="22"/>
          <w:lang w:val="fr-FR"/>
        </w:rPr>
        <w:t>12.CC</w:t>
      </w:r>
      <w:r w:rsidRPr="00A10B49">
        <w:rPr>
          <w:rFonts w:ascii="Arial" w:hAnsi="Arial" w:cs="Arial"/>
          <w:sz w:val="22"/>
          <w:szCs w:val="22"/>
          <w:lang w:val="fr-FR"/>
        </w:rPr>
        <w:tab/>
        <w:t>Le Conseil scientifique</w:t>
      </w:r>
      <w:r w:rsidR="00F81BDF">
        <w:rPr>
          <w:rFonts w:ascii="Arial" w:hAnsi="Arial" w:cs="Arial"/>
          <w:sz w:val="22"/>
          <w:szCs w:val="22"/>
          <w:lang w:val="fr-FR"/>
        </w:rPr>
        <w:t>  devrait:</w:t>
      </w:r>
    </w:p>
    <w:p w:rsidR="00D956D5" w:rsidRPr="00A10B49" w:rsidRDefault="00D956D5" w:rsidP="00D956D5">
      <w:pPr>
        <w:ind w:left="720" w:hanging="720"/>
        <w:jc w:val="both"/>
        <w:rPr>
          <w:rFonts w:ascii="Arial" w:hAnsi="Arial" w:cs="Arial"/>
          <w:sz w:val="22"/>
          <w:szCs w:val="22"/>
          <w:lang w:val="fr-FR"/>
        </w:rPr>
      </w:pPr>
    </w:p>
    <w:p w:rsidR="00D956D5" w:rsidRPr="00A10B49" w:rsidRDefault="00F81BDF" w:rsidP="00D956D5">
      <w:pPr>
        <w:numPr>
          <w:ilvl w:val="0"/>
          <w:numId w:val="48"/>
        </w:numPr>
        <w:jc w:val="both"/>
        <w:rPr>
          <w:rFonts w:ascii="Arial" w:hAnsi="Arial" w:cs="Arial"/>
          <w:sz w:val="22"/>
          <w:szCs w:val="22"/>
          <w:lang w:val="fr-FR"/>
        </w:rPr>
      </w:pPr>
      <w:r>
        <w:rPr>
          <w:rFonts w:ascii="Arial" w:hAnsi="Arial" w:cs="Arial"/>
          <w:sz w:val="22"/>
          <w:szCs w:val="22"/>
          <w:lang w:val="fr-FR"/>
        </w:rPr>
        <w:t>Examiner</w:t>
      </w:r>
      <w:r w:rsidR="00D956D5" w:rsidRPr="00A10B49">
        <w:rPr>
          <w:rFonts w:ascii="Arial" w:hAnsi="Arial" w:cs="Arial"/>
          <w:sz w:val="22"/>
          <w:szCs w:val="22"/>
          <w:lang w:val="fr-FR"/>
        </w:rPr>
        <w:t xml:space="preserve"> l’analyse des effets directs et indirects de la consommation de viande d’animaux sauvages sur les espèces inscrites à la CMS soumise par le Secrétariat et formuler les recommandations appropriées </w:t>
      </w:r>
      <w:r>
        <w:rPr>
          <w:rFonts w:ascii="Arial" w:hAnsi="Arial" w:cs="Arial"/>
          <w:sz w:val="22"/>
          <w:szCs w:val="22"/>
          <w:lang w:val="fr-FR"/>
        </w:rPr>
        <w:t xml:space="preserve">aux </w:t>
      </w:r>
      <w:r w:rsidRPr="00A10B49">
        <w:rPr>
          <w:rFonts w:ascii="Arial" w:hAnsi="Arial" w:cs="Arial"/>
          <w:sz w:val="22"/>
          <w:szCs w:val="22"/>
          <w:lang w:val="fr-FR"/>
        </w:rPr>
        <w:t>48</w:t>
      </w:r>
      <w:r w:rsidRPr="00A10B49">
        <w:rPr>
          <w:rFonts w:ascii="Arial" w:hAnsi="Arial" w:cs="Arial"/>
          <w:sz w:val="22"/>
          <w:szCs w:val="22"/>
          <w:vertAlign w:val="superscript"/>
          <w:lang w:val="fr-FR"/>
        </w:rPr>
        <w:t>e</w:t>
      </w:r>
      <w:r w:rsidRPr="00A10B49">
        <w:rPr>
          <w:rFonts w:ascii="Arial" w:hAnsi="Arial" w:cs="Arial"/>
          <w:sz w:val="22"/>
          <w:szCs w:val="22"/>
          <w:lang w:val="fr-FR"/>
        </w:rPr>
        <w:t xml:space="preserve"> et 49</w:t>
      </w:r>
      <w:r w:rsidRPr="00A10B49">
        <w:rPr>
          <w:rFonts w:ascii="Arial" w:hAnsi="Arial" w:cs="Arial"/>
          <w:sz w:val="22"/>
          <w:szCs w:val="22"/>
          <w:vertAlign w:val="superscript"/>
          <w:lang w:val="fr-FR"/>
        </w:rPr>
        <w:t>e</w:t>
      </w:r>
      <w:r>
        <w:rPr>
          <w:rFonts w:ascii="Arial" w:hAnsi="Arial" w:cs="Arial"/>
          <w:sz w:val="22"/>
          <w:szCs w:val="22"/>
          <w:lang w:val="fr-FR"/>
        </w:rPr>
        <w:t xml:space="preserve"> Réunions</w:t>
      </w:r>
      <w:r w:rsidRPr="00A10B49">
        <w:rPr>
          <w:rFonts w:ascii="Arial" w:hAnsi="Arial" w:cs="Arial"/>
          <w:sz w:val="22"/>
          <w:szCs w:val="22"/>
          <w:lang w:val="fr-FR"/>
        </w:rPr>
        <w:t xml:space="preserve"> </w:t>
      </w:r>
      <w:r>
        <w:rPr>
          <w:rFonts w:ascii="Arial" w:hAnsi="Arial" w:cs="Arial"/>
          <w:sz w:val="22"/>
          <w:szCs w:val="22"/>
          <w:lang w:val="fr-FR"/>
        </w:rPr>
        <w:t>du Comité permanent</w:t>
      </w:r>
      <w:r w:rsidR="00D956D5" w:rsidRPr="00A10B49">
        <w:rPr>
          <w:rFonts w:ascii="Arial" w:hAnsi="Arial" w:cs="Arial"/>
          <w:sz w:val="22"/>
          <w:szCs w:val="22"/>
          <w:lang w:val="fr-FR"/>
        </w:rPr>
        <w:t>;</w:t>
      </w:r>
    </w:p>
    <w:p w:rsidR="00D956D5" w:rsidRPr="00A10B49" w:rsidRDefault="00D956D5" w:rsidP="00D956D5">
      <w:pPr>
        <w:ind w:left="720"/>
        <w:jc w:val="both"/>
        <w:rPr>
          <w:rFonts w:ascii="Arial" w:hAnsi="Arial" w:cs="Arial"/>
          <w:sz w:val="22"/>
          <w:szCs w:val="22"/>
          <w:lang w:val="fr-FR"/>
        </w:rPr>
      </w:pPr>
    </w:p>
    <w:p w:rsidR="00D956D5" w:rsidRPr="00A10B49" w:rsidRDefault="00D956D5" w:rsidP="00D956D5">
      <w:pPr>
        <w:ind w:left="720"/>
        <w:jc w:val="both"/>
        <w:rPr>
          <w:rFonts w:ascii="Arial" w:hAnsi="Arial" w:cs="Arial"/>
          <w:sz w:val="22"/>
          <w:szCs w:val="22"/>
          <w:lang w:val="fr-FR"/>
        </w:rPr>
      </w:pPr>
    </w:p>
    <w:p w:rsidR="00D956D5" w:rsidRPr="00A10B49" w:rsidRDefault="00D956D5" w:rsidP="00D956D5">
      <w:pPr>
        <w:jc w:val="both"/>
        <w:rPr>
          <w:rFonts w:ascii="Arial" w:hAnsi="Arial" w:cs="Arial"/>
          <w:b/>
          <w:i/>
          <w:sz w:val="22"/>
          <w:szCs w:val="22"/>
          <w:lang w:val="fr-FR"/>
        </w:rPr>
      </w:pPr>
      <w:r w:rsidRPr="00A10B49">
        <w:rPr>
          <w:rFonts w:ascii="Arial" w:hAnsi="Arial" w:cs="Arial"/>
          <w:b/>
          <w:i/>
          <w:sz w:val="22"/>
          <w:szCs w:val="22"/>
          <w:lang w:val="fr-FR"/>
        </w:rPr>
        <w:t>À l’adresse du Comité permanent</w:t>
      </w:r>
    </w:p>
    <w:p w:rsidR="00D956D5" w:rsidRPr="00A10B49" w:rsidRDefault="00D956D5" w:rsidP="00D956D5">
      <w:pPr>
        <w:jc w:val="both"/>
        <w:rPr>
          <w:rFonts w:ascii="Arial" w:hAnsi="Arial" w:cs="Arial"/>
          <w:sz w:val="22"/>
          <w:szCs w:val="22"/>
          <w:lang w:val="fr-FR"/>
        </w:rPr>
      </w:pPr>
    </w:p>
    <w:p w:rsidR="00D956D5" w:rsidRPr="00A10B49" w:rsidRDefault="00D956D5" w:rsidP="00D956D5">
      <w:pPr>
        <w:jc w:val="both"/>
        <w:rPr>
          <w:rFonts w:ascii="Arial" w:hAnsi="Arial" w:cs="Arial"/>
          <w:sz w:val="22"/>
          <w:szCs w:val="22"/>
          <w:lang w:val="fr-FR"/>
        </w:rPr>
      </w:pPr>
      <w:r w:rsidRPr="00A10B49">
        <w:rPr>
          <w:rFonts w:ascii="Arial" w:hAnsi="Arial" w:cs="Arial"/>
          <w:sz w:val="22"/>
          <w:szCs w:val="22"/>
          <w:lang w:val="fr-FR"/>
        </w:rPr>
        <w:t>12.DD</w:t>
      </w:r>
      <w:r w:rsidRPr="00A10B49">
        <w:rPr>
          <w:rFonts w:ascii="Arial" w:hAnsi="Arial" w:cs="Arial"/>
          <w:sz w:val="22"/>
          <w:szCs w:val="22"/>
          <w:lang w:val="fr-FR"/>
        </w:rPr>
        <w:tab/>
      </w:r>
      <w:r w:rsidR="00F81BDF">
        <w:rPr>
          <w:rFonts w:ascii="Arial" w:hAnsi="Arial" w:cs="Arial"/>
          <w:sz w:val="22"/>
          <w:szCs w:val="22"/>
          <w:lang w:val="fr-FR"/>
        </w:rPr>
        <w:t>Le Comité permanent</w:t>
      </w:r>
      <w:r w:rsidRPr="00A10B49">
        <w:rPr>
          <w:rFonts w:ascii="Arial" w:hAnsi="Arial" w:cs="Arial"/>
          <w:sz w:val="22"/>
          <w:szCs w:val="22"/>
          <w:lang w:val="fr-FR"/>
        </w:rPr>
        <w:t xml:space="preserve">: </w:t>
      </w:r>
    </w:p>
    <w:p w:rsidR="00D956D5" w:rsidRPr="00A10B49" w:rsidRDefault="00D956D5" w:rsidP="00D956D5">
      <w:pPr>
        <w:jc w:val="both"/>
        <w:rPr>
          <w:rFonts w:ascii="Arial" w:hAnsi="Arial" w:cs="Arial"/>
          <w:sz w:val="22"/>
          <w:szCs w:val="22"/>
          <w:lang w:val="fr-FR"/>
        </w:rPr>
      </w:pPr>
    </w:p>
    <w:p w:rsidR="00D956D5" w:rsidRPr="00A10B49" w:rsidRDefault="00F81BDF" w:rsidP="00F81BDF">
      <w:pPr>
        <w:numPr>
          <w:ilvl w:val="0"/>
          <w:numId w:val="47"/>
        </w:numPr>
        <w:jc w:val="both"/>
        <w:rPr>
          <w:rFonts w:ascii="Arial" w:hAnsi="Arial" w:cs="Arial"/>
          <w:sz w:val="22"/>
          <w:szCs w:val="22"/>
          <w:lang w:val="fr-FR"/>
        </w:rPr>
      </w:pPr>
      <w:r>
        <w:rPr>
          <w:rFonts w:ascii="Arial" w:hAnsi="Arial" w:cs="Arial"/>
          <w:sz w:val="22"/>
          <w:szCs w:val="22"/>
          <w:lang w:val="fr-FR"/>
        </w:rPr>
        <w:t>Examine</w:t>
      </w:r>
      <w:r w:rsidR="00D956D5" w:rsidRPr="00A10B49">
        <w:rPr>
          <w:rFonts w:ascii="Arial" w:hAnsi="Arial" w:cs="Arial"/>
          <w:sz w:val="22"/>
          <w:szCs w:val="22"/>
          <w:lang w:val="fr-FR"/>
        </w:rPr>
        <w:t xml:space="preserve"> </w:t>
      </w:r>
      <w:r w:rsidRPr="00A10B49">
        <w:rPr>
          <w:rFonts w:ascii="Arial" w:hAnsi="Arial" w:cs="Arial"/>
          <w:sz w:val="22"/>
          <w:szCs w:val="22"/>
          <w:lang w:val="fr-FR"/>
        </w:rPr>
        <w:t>à ses 48</w:t>
      </w:r>
      <w:r w:rsidRPr="00A10B49">
        <w:rPr>
          <w:rFonts w:ascii="Arial" w:hAnsi="Arial" w:cs="Arial"/>
          <w:sz w:val="22"/>
          <w:szCs w:val="22"/>
          <w:vertAlign w:val="superscript"/>
          <w:lang w:val="fr-FR"/>
        </w:rPr>
        <w:t>e</w:t>
      </w:r>
      <w:r w:rsidRPr="00A10B49">
        <w:rPr>
          <w:rFonts w:ascii="Arial" w:hAnsi="Arial" w:cs="Arial"/>
          <w:sz w:val="22"/>
          <w:szCs w:val="22"/>
          <w:lang w:val="fr-FR"/>
        </w:rPr>
        <w:t xml:space="preserve"> et 49</w:t>
      </w:r>
      <w:r w:rsidRPr="00A10B49">
        <w:rPr>
          <w:rFonts w:ascii="Arial" w:hAnsi="Arial" w:cs="Arial"/>
          <w:sz w:val="22"/>
          <w:szCs w:val="22"/>
          <w:vertAlign w:val="superscript"/>
          <w:lang w:val="fr-FR"/>
        </w:rPr>
        <w:t>e</w:t>
      </w:r>
      <w:r w:rsidRPr="00A10B49">
        <w:rPr>
          <w:rFonts w:ascii="Arial" w:hAnsi="Arial" w:cs="Arial"/>
          <w:sz w:val="22"/>
          <w:szCs w:val="22"/>
          <w:lang w:val="fr-FR"/>
        </w:rPr>
        <w:t xml:space="preserve"> réunions</w:t>
      </w:r>
      <w:r w:rsidRPr="00A10B49">
        <w:rPr>
          <w:rFonts w:ascii="Arial" w:hAnsi="Arial" w:cs="Arial"/>
          <w:sz w:val="22"/>
          <w:szCs w:val="22"/>
          <w:lang w:val="fr-FR"/>
        </w:rPr>
        <w:t xml:space="preserve"> </w:t>
      </w:r>
      <w:r w:rsidR="00D956D5" w:rsidRPr="00A10B49">
        <w:rPr>
          <w:rFonts w:ascii="Arial" w:hAnsi="Arial" w:cs="Arial"/>
          <w:sz w:val="22"/>
          <w:szCs w:val="22"/>
          <w:lang w:val="fr-FR"/>
        </w:rPr>
        <w:t>le rapport soumis par le Secrétariat</w:t>
      </w:r>
      <w:r>
        <w:rPr>
          <w:rFonts w:ascii="Arial" w:hAnsi="Arial" w:cs="Arial"/>
          <w:sz w:val="22"/>
          <w:szCs w:val="22"/>
          <w:lang w:val="fr-FR"/>
        </w:rPr>
        <w:t xml:space="preserve"> et toute r</w:t>
      </w:r>
      <w:r w:rsidRPr="00F81BDF">
        <w:rPr>
          <w:rFonts w:ascii="Arial" w:hAnsi="Arial" w:cs="Arial"/>
          <w:sz w:val="22"/>
          <w:szCs w:val="22"/>
          <w:lang w:val="fr-FR"/>
        </w:rPr>
        <w:t>ecommandation d</w:t>
      </w:r>
      <w:r>
        <w:rPr>
          <w:rFonts w:ascii="Arial" w:hAnsi="Arial" w:cs="Arial"/>
          <w:sz w:val="22"/>
          <w:szCs w:val="22"/>
          <w:lang w:val="fr-FR"/>
        </w:rPr>
        <w:t>u Conseil scientifique, et fait</w:t>
      </w:r>
      <w:r w:rsidRPr="00F81BDF">
        <w:rPr>
          <w:rFonts w:ascii="Arial" w:hAnsi="Arial" w:cs="Arial"/>
          <w:sz w:val="22"/>
          <w:szCs w:val="22"/>
          <w:lang w:val="fr-FR"/>
        </w:rPr>
        <w:t xml:space="preserve"> des recommandations appropriées à la 13</w:t>
      </w:r>
      <w:r w:rsidRPr="00F81BDF">
        <w:rPr>
          <w:rFonts w:ascii="Arial" w:hAnsi="Arial" w:cs="Arial"/>
          <w:sz w:val="22"/>
          <w:szCs w:val="22"/>
          <w:vertAlign w:val="superscript"/>
          <w:lang w:val="fr-FR"/>
        </w:rPr>
        <w:t>e</w:t>
      </w:r>
      <w:r w:rsidRPr="00F81BDF">
        <w:rPr>
          <w:rFonts w:ascii="Arial" w:hAnsi="Arial" w:cs="Arial"/>
          <w:sz w:val="22"/>
          <w:szCs w:val="22"/>
          <w:lang w:val="fr-FR"/>
        </w:rPr>
        <w:t xml:space="preserve"> session de la Conférence des Parties</w:t>
      </w:r>
      <w:r>
        <w:rPr>
          <w:rFonts w:ascii="Arial" w:hAnsi="Arial" w:cs="Arial"/>
          <w:sz w:val="22"/>
          <w:szCs w:val="22"/>
          <w:lang w:val="fr-FR"/>
        </w:rPr>
        <w:t> ;</w:t>
      </w:r>
    </w:p>
    <w:p w:rsidR="00D956D5" w:rsidRPr="00A10B49" w:rsidRDefault="00D956D5" w:rsidP="00D956D5">
      <w:pPr>
        <w:ind w:left="720"/>
        <w:jc w:val="both"/>
        <w:rPr>
          <w:rFonts w:ascii="Arial" w:hAnsi="Arial" w:cs="Arial"/>
          <w:sz w:val="22"/>
          <w:szCs w:val="22"/>
          <w:lang w:val="fr-FR"/>
        </w:rPr>
      </w:pPr>
    </w:p>
    <w:p w:rsidR="00D956D5" w:rsidRPr="00A10B49" w:rsidRDefault="00D956D5" w:rsidP="00D956D5">
      <w:pPr>
        <w:ind w:left="720"/>
        <w:jc w:val="both"/>
        <w:rPr>
          <w:rFonts w:ascii="Arial" w:hAnsi="Arial" w:cs="Arial"/>
          <w:sz w:val="22"/>
          <w:szCs w:val="22"/>
          <w:lang w:val="fr-FR"/>
        </w:rPr>
      </w:pPr>
    </w:p>
    <w:p w:rsidR="00D956D5" w:rsidRPr="00A10B49" w:rsidRDefault="00D956D5" w:rsidP="00D956D5">
      <w:pPr>
        <w:jc w:val="both"/>
        <w:rPr>
          <w:rFonts w:ascii="Arial" w:hAnsi="Arial" w:cs="Arial"/>
          <w:b/>
          <w:i/>
          <w:sz w:val="22"/>
          <w:szCs w:val="22"/>
          <w:lang w:val="fr-FR"/>
        </w:rPr>
      </w:pPr>
      <w:r w:rsidRPr="00A10B49">
        <w:rPr>
          <w:rFonts w:ascii="Arial" w:hAnsi="Arial" w:cs="Arial"/>
          <w:b/>
          <w:i/>
          <w:sz w:val="22"/>
          <w:szCs w:val="22"/>
          <w:lang w:val="fr-FR"/>
        </w:rPr>
        <w:t xml:space="preserve">À l’adresse des Parties, des organisations intergouvernementales et non gouvernementales </w:t>
      </w:r>
    </w:p>
    <w:p w:rsidR="00D956D5" w:rsidRPr="00A10B49" w:rsidRDefault="00D956D5" w:rsidP="00D956D5">
      <w:pPr>
        <w:jc w:val="both"/>
        <w:rPr>
          <w:rFonts w:ascii="Arial" w:hAnsi="Arial" w:cs="Arial"/>
          <w:sz w:val="22"/>
          <w:szCs w:val="22"/>
          <w:lang w:val="fr-FR"/>
        </w:rPr>
      </w:pPr>
    </w:p>
    <w:p w:rsidR="00D956D5" w:rsidRPr="00A10B49" w:rsidRDefault="00D956D5" w:rsidP="00D956D5">
      <w:pPr>
        <w:ind w:left="720" w:hanging="720"/>
        <w:jc w:val="both"/>
        <w:rPr>
          <w:rFonts w:ascii="Arial" w:hAnsi="Arial" w:cs="Arial"/>
          <w:sz w:val="22"/>
          <w:szCs w:val="22"/>
          <w:lang w:val="fr-FR"/>
        </w:rPr>
      </w:pPr>
      <w:r w:rsidRPr="00A10B49">
        <w:rPr>
          <w:rFonts w:ascii="Arial" w:hAnsi="Arial" w:cs="Arial"/>
          <w:sz w:val="22"/>
          <w:szCs w:val="22"/>
          <w:lang w:val="fr-FR"/>
        </w:rPr>
        <w:t>12.EE</w:t>
      </w:r>
      <w:r w:rsidRPr="00A10B49">
        <w:rPr>
          <w:rFonts w:ascii="Arial" w:hAnsi="Arial" w:cs="Arial"/>
          <w:sz w:val="22"/>
          <w:szCs w:val="22"/>
          <w:lang w:val="fr-FR"/>
        </w:rPr>
        <w:tab/>
        <w:t xml:space="preserve">Les Parties, les organisations intergouvernementales et non gouvernementales sont instamment invitées à apporter un soutien </w:t>
      </w:r>
      <w:r w:rsidR="00F81BDF">
        <w:rPr>
          <w:rFonts w:ascii="Arial" w:hAnsi="Arial" w:cs="Arial"/>
          <w:sz w:val="22"/>
          <w:szCs w:val="22"/>
          <w:lang w:val="fr-FR"/>
        </w:rPr>
        <w:t>volontaire</w:t>
      </w:r>
      <w:r w:rsidR="00F81BDF" w:rsidRPr="00A10B49">
        <w:rPr>
          <w:rFonts w:ascii="Arial" w:hAnsi="Arial" w:cs="Arial"/>
          <w:sz w:val="22"/>
          <w:szCs w:val="22"/>
          <w:lang w:val="fr-FR"/>
        </w:rPr>
        <w:t xml:space="preserve"> </w:t>
      </w:r>
      <w:r w:rsidRPr="00A10B49">
        <w:rPr>
          <w:rFonts w:ascii="Arial" w:hAnsi="Arial" w:cs="Arial"/>
          <w:sz w:val="22"/>
          <w:szCs w:val="22"/>
          <w:lang w:val="fr-FR"/>
        </w:rPr>
        <w:t>financier</w:t>
      </w:r>
      <w:r w:rsidR="00F81BDF">
        <w:rPr>
          <w:rFonts w:ascii="Arial" w:hAnsi="Arial" w:cs="Arial"/>
          <w:sz w:val="22"/>
          <w:szCs w:val="22"/>
          <w:lang w:val="fr-FR"/>
        </w:rPr>
        <w:t xml:space="preserve"> </w:t>
      </w:r>
      <w:r w:rsidRPr="00A10B49">
        <w:rPr>
          <w:rFonts w:ascii="Arial" w:hAnsi="Arial" w:cs="Arial"/>
          <w:sz w:val="22"/>
          <w:szCs w:val="22"/>
          <w:lang w:val="fr-FR"/>
        </w:rPr>
        <w:t>et technique pour l’application des décisions ci-dessus.</w:t>
      </w:r>
    </w:p>
    <w:p w:rsidR="00D956D5" w:rsidRPr="00A10B49" w:rsidRDefault="00D956D5" w:rsidP="00D956D5">
      <w:pPr>
        <w:tabs>
          <w:tab w:val="left" w:pos="1020"/>
        </w:tabs>
        <w:rPr>
          <w:rFonts w:ascii="Arial" w:hAnsi="Arial" w:cs="Arial"/>
          <w:sz w:val="22"/>
          <w:szCs w:val="22"/>
          <w:lang w:val="fr-FR"/>
        </w:rPr>
      </w:pPr>
    </w:p>
    <w:p w:rsidR="003F6700" w:rsidRPr="003F6700" w:rsidRDefault="003F6700" w:rsidP="00D956D5">
      <w:pPr>
        <w:jc w:val="center"/>
        <w:rPr>
          <w:rFonts w:ascii="Arial" w:hAnsi="Arial" w:cs="Arial"/>
          <w:sz w:val="22"/>
          <w:szCs w:val="22"/>
          <w:lang w:val="fr-FR"/>
        </w:rPr>
      </w:pPr>
    </w:p>
    <w:sectPr w:rsidR="003F6700" w:rsidRPr="003F6700"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D956D5">
      <w:rPr>
        <w:rFonts w:asciiTheme="minorBidi" w:hAnsiTheme="minorBidi" w:cstheme="minorBidi"/>
        <w:noProof/>
        <w:sz w:val="18"/>
        <w:szCs w:val="18"/>
      </w:rPr>
      <w:t>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D835EFD"/>
    <w:multiLevelType w:val="hybridMultilevel"/>
    <w:tmpl w:val="B8BA4536"/>
    <w:lvl w:ilvl="0" w:tplc="1F6E2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5" w15:restartNumberingAfterBreak="0">
    <w:nsid w:val="547C66B8"/>
    <w:multiLevelType w:val="hybridMultilevel"/>
    <w:tmpl w:val="BDEA2D96"/>
    <w:lvl w:ilvl="0" w:tplc="08090017">
      <w:start w:val="1"/>
      <w:numFmt w:val="lowerLetter"/>
      <w:lvlText w:val="%1)"/>
      <w:lvlJc w:val="left"/>
      <w:pPr>
        <w:ind w:left="720" w:hanging="360"/>
      </w:pPr>
    </w:lvl>
    <w:lvl w:ilvl="1" w:tplc="15909506">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4"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7"/>
  </w:num>
  <w:num w:numId="3">
    <w:abstractNumId w:val="11"/>
  </w:num>
  <w:num w:numId="4">
    <w:abstractNumId w:val="23"/>
  </w:num>
  <w:num w:numId="5">
    <w:abstractNumId w:val="12"/>
  </w:num>
  <w:num w:numId="6">
    <w:abstractNumId w:val="38"/>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7"/>
  </w:num>
  <w:num w:numId="9">
    <w:abstractNumId w:val="7"/>
  </w:num>
  <w:num w:numId="10">
    <w:abstractNumId w:val="22"/>
  </w:num>
  <w:num w:numId="11">
    <w:abstractNumId w:val="43"/>
  </w:num>
  <w:num w:numId="12">
    <w:abstractNumId w:val="3"/>
  </w:num>
  <w:num w:numId="13">
    <w:abstractNumId w:val="19"/>
  </w:num>
  <w:num w:numId="14">
    <w:abstractNumId w:val="40"/>
  </w:num>
  <w:num w:numId="15">
    <w:abstractNumId w:val="2"/>
  </w:num>
  <w:num w:numId="16">
    <w:abstractNumId w:val="10"/>
  </w:num>
  <w:num w:numId="17">
    <w:abstractNumId w:val="44"/>
  </w:num>
  <w:num w:numId="18">
    <w:abstractNumId w:val="21"/>
  </w:num>
  <w:num w:numId="19">
    <w:abstractNumId w:val="41"/>
  </w:num>
  <w:num w:numId="20">
    <w:abstractNumId w:val="48"/>
  </w:num>
  <w:num w:numId="21">
    <w:abstractNumId w:val="4"/>
  </w:num>
  <w:num w:numId="22">
    <w:abstractNumId w:val="17"/>
  </w:num>
  <w:num w:numId="23">
    <w:abstractNumId w:val="27"/>
  </w:num>
  <w:num w:numId="24">
    <w:abstractNumId w:val="16"/>
  </w:num>
  <w:num w:numId="25">
    <w:abstractNumId w:val="33"/>
  </w:num>
  <w:num w:numId="26">
    <w:abstractNumId w:val="0"/>
  </w:num>
  <w:num w:numId="27">
    <w:abstractNumId w:val="45"/>
  </w:num>
  <w:num w:numId="28">
    <w:abstractNumId w:val="6"/>
  </w:num>
  <w:num w:numId="29">
    <w:abstractNumId w:val="20"/>
  </w:num>
  <w:num w:numId="30">
    <w:abstractNumId w:val="13"/>
  </w:num>
  <w:num w:numId="31">
    <w:abstractNumId w:val="30"/>
  </w:num>
  <w:num w:numId="32">
    <w:abstractNumId w:val="29"/>
  </w:num>
  <w:num w:numId="33">
    <w:abstractNumId w:val="5"/>
  </w:num>
  <w:num w:numId="34">
    <w:abstractNumId w:val="18"/>
  </w:num>
  <w:num w:numId="35">
    <w:abstractNumId w:val="15"/>
  </w:num>
  <w:num w:numId="36">
    <w:abstractNumId w:val="34"/>
  </w:num>
  <w:num w:numId="37">
    <w:abstractNumId w:val="39"/>
  </w:num>
  <w:num w:numId="38">
    <w:abstractNumId w:val="9"/>
  </w:num>
  <w:num w:numId="39">
    <w:abstractNumId w:val="32"/>
  </w:num>
  <w:num w:numId="40">
    <w:abstractNumId w:val="46"/>
  </w:num>
  <w:num w:numId="41">
    <w:abstractNumId w:val="25"/>
  </w:num>
  <w:num w:numId="42">
    <w:abstractNumId w:val="26"/>
  </w:num>
  <w:num w:numId="43">
    <w:abstractNumId w:val="36"/>
  </w:num>
  <w:num w:numId="44">
    <w:abstractNumId w:val="8"/>
  </w:num>
  <w:num w:numId="45">
    <w:abstractNumId w:val="28"/>
  </w:num>
  <w:num w:numId="46">
    <w:abstractNumId w:val="14"/>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D0E2D"/>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33B6"/>
    <w:rsid w:val="001C6038"/>
    <w:rsid w:val="001F1DA4"/>
    <w:rsid w:val="001F60A1"/>
    <w:rsid w:val="00200A67"/>
    <w:rsid w:val="00201F88"/>
    <w:rsid w:val="00202332"/>
    <w:rsid w:val="002210F4"/>
    <w:rsid w:val="00234857"/>
    <w:rsid w:val="00254721"/>
    <w:rsid w:val="00260772"/>
    <w:rsid w:val="00263159"/>
    <w:rsid w:val="002667F0"/>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E21B3"/>
    <w:rsid w:val="003F6700"/>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2486D"/>
    <w:rsid w:val="00644060"/>
    <w:rsid w:val="00651341"/>
    <w:rsid w:val="00667726"/>
    <w:rsid w:val="006815B2"/>
    <w:rsid w:val="00682B31"/>
    <w:rsid w:val="006864E1"/>
    <w:rsid w:val="006968D8"/>
    <w:rsid w:val="006B1037"/>
    <w:rsid w:val="006E56AD"/>
    <w:rsid w:val="006E5763"/>
    <w:rsid w:val="006F6A33"/>
    <w:rsid w:val="007101BB"/>
    <w:rsid w:val="00713308"/>
    <w:rsid w:val="00727E01"/>
    <w:rsid w:val="00757614"/>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A99"/>
    <w:rsid w:val="008641D1"/>
    <w:rsid w:val="00872F67"/>
    <w:rsid w:val="00893346"/>
    <w:rsid w:val="00894A29"/>
    <w:rsid w:val="008A0D8D"/>
    <w:rsid w:val="008B1A69"/>
    <w:rsid w:val="008C1A39"/>
    <w:rsid w:val="008E7DFB"/>
    <w:rsid w:val="008F7327"/>
    <w:rsid w:val="009076C8"/>
    <w:rsid w:val="009132DC"/>
    <w:rsid w:val="00915BBE"/>
    <w:rsid w:val="00921D62"/>
    <w:rsid w:val="00922791"/>
    <w:rsid w:val="00927CD6"/>
    <w:rsid w:val="00933572"/>
    <w:rsid w:val="009363C7"/>
    <w:rsid w:val="00945FFB"/>
    <w:rsid w:val="00952EAE"/>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56EA"/>
    <w:rsid w:val="00A8316B"/>
    <w:rsid w:val="00A91596"/>
    <w:rsid w:val="00A93C52"/>
    <w:rsid w:val="00AA7368"/>
    <w:rsid w:val="00AA7A90"/>
    <w:rsid w:val="00AB4FF9"/>
    <w:rsid w:val="00AE7B21"/>
    <w:rsid w:val="00AF1980"/>
    <w:rsid w:val="00AF2021"/>
    <w:rsid w:val="00B471BD"/>
    <w:rsid w:val="00B50C2D"/>
    <w:rsid w:val="00B64904"/>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D14B6"/>
    <w:rsid w:val="00CE5B83"/>
    <w:rsid w:val="00CF6EDD"/>
    <w:rsid w:val="00D05922"/>
    <w:rsid w:val="00D30B30"/>
    <w:rsid w:val="00D42AE1"/>
    <w:rsid w:val="00D605A4"/>
    <w:rsid w:val="00D61B13"/>
    <w:rsid w:val="00D7746A"/>
    <w:rsid w:val="00D838FE"/>
    <w:rsid w:val="00D8406F"/>
    <w:rsid w:val="00D859C7"/>
    <w:rsid w:val="00D9021F"/>
    <w:rsid w:val="00D956D5"/>
    <w:rsid w:val="00DA1080"/>
    <w:rsid w:val="00DA12C2"/>
    <w:rsid w:val="00DB30A6"/>
    <w:rsid w:val="00DD6A9E"/>
    <w:rsid w:val="00E2336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E64C1"/>
    <w:rsid w:val="00EF3AD8"/>
    <w:rsid w:val="00F05AA0"/>
    <w:rsid w:val="00F061CB"/>
    <w:rsid w:val="00F06B5B"/>
    <w:rsid w:val="00F24050"/>
    <w:rsid w:val="00F248AA"/>
    <w:rsid w:val="00F31539"/>
    <w:rsid w:val="00F444EC"/>
    <w:rsid w:val="00F45FE3"/>
    <w:rsid w:val="00F54D03"/>
    <w:rsid w:val="00F57AA4"/>
    <w:rsid w:val="00F6347A"/>
    <w:rsid w:val="00F7503A"/>
    <w:rsid w:val="00F81BDF"/>
    <w:rsid w:val="00F81FEF"/>
    <w:rsid w:val="00F84F20"/>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3E2B309"/>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2</Pages>
  <Words>639</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2</cp:revision>
  <cp:lastPrinted>2017-03-22T10:51:00Z</cp:lastPrinted>
  <dcterms:created xsi:type="dcterms:W3CDTF">2017-10-27T12:23:00Z</dcterms:created>
  <dcterms:modified xsi:type="dcterms:W3CDTF">2017-10-27T12:23:00Z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