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E9" w:rsidRPr="00682B31" w:rsidRDefault="00E255E9" w:rsidP="00682B31">
      <w:pPr>
        <w:tabs>
          <w:tab w:val="left" w:pos="-1057"/>
          <w:tab w:val="left" w:pos="-720"/>
        </w:tabs>
        <w:ind w:left="-90"/>
        <w:rPr>
          <w:rFonts w:ascii="Arial" w:hAnsi="Arial" w:cs="Arial"/>
          <w:spacing w:val="-8"/>
          <w:sz w:val="12"/>
          <w:szCs w:val="12"/>
        </w:rPr>
      </w:pPr>
    </w:p>
    <w:p w:rsidR="00E255E9" w:rsidRPr="00420040" w:rsidRDefault="00E255E9" w:rsidP="00682B31">
      <w:pPr>
        <w:tabs>
          <w:tab w:val="left" w:pos="-1057"/>
          <w:tab w:val="left" w:pos="-720"/>
        </w:tabs>
        <w:ind w:left="-90"/>
        <w:rPr>
          <w:rFonts w:ascii="Arial" w:hAnsi="Arial" w:cs="Arial"/>
          <w:sz w:val="22"/>
          <w:szCs w:val="22"/>
        </w:rPr>
      </w:pPr>
      <w:r>
        <w:rPr>
          <w:rFonts w:ascii="Arial" w:hAnsi="Arial"/>
          <w:sz w:val="22"/>
        </w:rPr>
        <w:t>12ª REUNIÓN DE LA CONFERENCIA DE LAS PARTES</w:t>
      </w:r>
    </w:p>
    <w:p w:rsidR="00E255E9" w:rsidRPr="00420040" w:rsidRDefault="00E255E9" w:rsidP="00682B31">
      <w:pPr>
        <w:pStyle w:val="Heading2"/>
        <w:keepNext w:val="0"/>
        <w:spacing w:line="228" w:lineRule="auto"/>
        <w:ind w:left="-90"/>
        <w:rPr>
          <w:rFonts w:ascii="Arial" w:hAnsi="Arial" w:cs="Arial"/>
          <w:b w:val="0"/>
          <w:bCs w:val="0"/>
          <w:sz w:val="22"/>
          <w:szCs w:val="22"/>
        </w:rPr>
      </w:pPr>
      <w:r>
        <w:rPr>
          <w:rFonts w:ascii="Arial" w:hAnsi="Arial"/>
          <w:b w:val="0"/>
          <w:sz w:val="22"/>
        </w:rPr>
        <w:t>Manila (Filipinas), 23 - 28 de octubre de 2017</w:t>
      </w:r>
    </w:p>
    <w:p w:rsidR="00E255E9" w:rsidRPr="00420040" w:rsidRDefault="00E255E9" w:rsidP="00682B31">
      <w:pPr>
        <w:spacing w:line="228" w:lineRule="auto"/>
        <w:ind w:left="-90"/>
        <w:rPr>
          <w:rFonts w:ascii="Arial" w:hAnsi="Arial" w:cs="Arial"/>
          <w:iCs/>
          <w:sz w:val="22"/>
          <w:szCs w:val="22"/>
        </w:rPr>
      </w:pPr>
      <w:r>
        <w:rPr>
          <w:rFonts w:ascii="Arial" w:hAnsi="Arial"/>
          <w:sz w:val="22"/>
        </w:rPr>
        <w:t>Punto 17.2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E255E9"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E255E9" w:rsidRPr="00FA61AF" w:rsidRDefault="00E255E9" w:rsidP="00EB2285">
            <w:pPr>
              <w:tabs>
                <w:tab w:val="left" w:pos="-1057"/>
                <w:tab w:val="left" w:pos="-720"/>
                <w:tab w:val="left" w:pos="0"/>
                <w:tab w:val="left" w:pos="141"/>
                <w:tab w:val="left" w:pos="720"/>
                <w:tab w:val="left" w:pos="1155"/>
                <w:tab w:val="right" w:pos="9072"/>
                <w:tab w:val="right" w:pos="9432"/>
              </w:tabs>
              <w:rPr>
                <w:rFonts w:ascii="Arial" w:hAnsi="Arial" w:cs="Arial"/>
                <w:sz w:val="22"/>
              </w:rPr>
            </w:pPr>
            <w:r>
              <w:tab/>
            </w:r>
            <w:r>
              <w:tab/>
            </w:r>
            <w:r>
              <w:tab/>
            </w:r>
            <w:r>
              <w:tab/>
            </w:r>
            <w:r>
              <w:rPr>
                <w:rFonts w:ascii="Arial" w:hAnsi="Arial"/>
                <w:b/>
                <w:sz w:val="28"/>
              </w:rPr>
              <w:t>CMS</w:t>
            </w:r>
          </w:p>
          <w:p w:rsidR="00E255E9" w:rsidRPr="002F6F9B" w:rsidRDefault="00E255E9" w:rsidP="00972D36">
            <w:pPr>
              <w:tabs>
                <w:tab w:val="left" w:pos="-1057"/>
                <w:tab w:val="left" w:pos="-720"/>
                <w:tab w:val="left" w:pos="0"/>
                <w:tab w:val="left" w:pos="141"/>
                <w:tab w:val="left" w:pos="720"/>
                <w:tab w:val="right" w:pos="9072"/>
              </w:tabs>
              <w:rPr>
                <w:rFonts w:ascii="Arial" w:hAnsi="Arial" w:cs="Arial"/>
                <w:sz w:val="22"/>
              </w:rPr>
            </w:pPr>
          </w:p>
        </w:tc>
      </w:tr>
      <w:tr w:rsidR="00E255E9"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E255E9" w:rsidRPr="00682B31" w:rsidRDefault="003354AF">
            <w:pPr>
              <w:rPr>
                <w:rFonts w:ascii="Arial" w:hAnsi="Arial" w:cs="Arial"/>
                <w:sz w:val="22"/>
              </w:rPr>
            </w:pPr>
            <w:r>
              <w:rPr>
                <w:rFonts w:ascii="Arial" w:hAnsi="Arial" w:cs="Arial"/>
                <w:noProof/>
                <w:sz w:val="22"/>
                <w:lang w:val="en-US" w:eastAsia="en-US"/>
              </w:rPr>
              <w:drawing>
                <wp:inline distT="0" distB="0" distL="0" distR="0">
                  <wp:extent cx="730250" cy="770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63" t="-740" r="-2563" b="-740"/>
                          <a:stretch>
                            <a:fillRect/>
                          </a:stretch>
                        </pic:blipFill>
                        <pic:spPr bwMode="auto">
                          <a:xfrm>
                            <a:off x="0" y="0"/>
                            <a:ext cx="730250" cy="770890"/>
                          </a:xfrm>
                          <a:prstGeom prst="rect">
                            <a:avLst/>
                          </a:prstGeom>
                          <a:noFill/>
                          <a:ln>
                            <a:noFill/>
                          </a:ln>
                        </pic:spPr>
                      </pic:pic>
                    </a:graphicData>
                  </a:graphic>
                </wp:inline>
              </w:drawing>
            </w:r>
          </w:p>
          <w:p w:rsidR="00E255E9" w:rsidRPr="00682B31" w:rsidRDefault="00E255E9">
            <w:pPr>
              <w:rPr>
                <w:rFonts w:ascii="Arial" w:hAnsi="Arial"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E255E9" w:rsidRPr="00682B31" w:rsidRDefault="00E255E9"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E255E9" w:rsidRPr="00972D36" w:rsidRDefault="00E255E9"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CONVENCIÓN SOBRE</w:t>
            </w:r>
          </w:p>
          <w:p w:rsidR="00E255E9" w:rsidRPr="00972D36" w:rsidRDefault="00E255E9"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LAS ESPECIES</w:t>
            </w:r>
          </w:p>
          <w:p w:rsidR="00E255E9" w:rsidRPr="00682B31" w:rsidRDefault="00E255E9"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rPr>
            </w:pPr>
            <w:r>
              <w:rPr>
                <w:rFonts w:ascii="Arial" w:hAnsi="Arial"/>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E255E9" w:rsidRPr="00682B31" w:rsidRDefault="00E255E9" w:rsidP="000C21B1">
            <w:pPr>
              <w:tabs>
                <w:tab w:val="left" w:pos="5040"/>
                <w:tab w:val="left" w:pos="5760"/>
                <w:tab w:val="left" w:pos="6008"/>
                <w:tab w:val="left" w:pos="6480"/>
                <w:tab w:val="left" w:pos="7200"/>
                <w:tab w:val="left" w:pos="7920"/>
                <w:tab w:val="left" w:pos="8640"/>
              </w:tabs>
              <w:rPr>
                <w:rFonts w:ascii="Arial" w:hAnsi="Arial" w:cs="Arial"/>
                <w:sz w:val="12"/>
                <w:szCs w:val="12"/>
              </w:rPr>
            </w:pPr>
          </w:p>
          <w:p w:rsidR="00E255E9" w:rsidRPr="00420040" w:rsidRDefault="00E255E9"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Distribución: General</w:t>
            </w:r>
          </w:p>
          <w:p w:rsidR="00E255E9" w:rsidRPr="00420040" w:rsidRDefault="00E255E9"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E255E9" w:rsidRPr="00420040" w:rsidRDefault="00E255E9"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UNEP/CMS/COP12/Doc.17.2</w:t>
            </w:r>
          </w:p>
          <w:p w:rsidR="00E255E9" w:rsidRPr="00420040" w:rsidRDefault="007F2636"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8</w:t>
            </w:r>
            <w:bookmarkStart w:id="0" w:name="_GoBack"/>
            <w:bookmarkEnd w:id="0"/>
            <w:r w:rsidR="00E255E9">
              <w:rPr>
                <w:rFonts w:ascii="Arial" w:hAnsi="Arial"/>
                <w:sz w:val="22"/>
              </w:rPr>
              <w:t xml:space="preserve"> de agosto de 2017</w:t>
            </w:r>
          </w:p>
          <w:p w:rsidR="00E255E9" w:rsidRPr="00420040" w:rsidRDefault="00E255E9" w:rsidP="000C21B1">
            <w:pPr>
              <w:rPr>
                <w:rFonts w:ascii="Arial" w:hAnsi="Arial" w:cs="Arial"/>
                <w:sz w:val="12"/>
                <w:szCs w:val="12"/>
              </w:rPr>
            </w:pPr>
          </w:p>
          <w:p w:rsidR="00E255E9" w:rsidRPr="00870248" w:rsidRDefault="00E255E9" w:rsidP="000C21B1">
            <w:pPr>
              <w:rPr>
                <w:rFonts w:ascii="Arial" w:hAnsi="Arial"/>
                <w:sz w:val="22"/>
                <w:lang w:val="es-ES_tradnl"/>
              </w:rPr>
            </w:pPr>
            <w:r>
              <w:rPr>
                <w:rFonts w:ascii="Arial" w:hAnsi="Arial"/>
                <w:sz w:val="22"/>
                <w:lang w:val="es-ES_tradnl"/>
              </w:rPr>
              <w:t>Español</w:t>
            </w:r>
          </w:p>
          <w:p w:rsidR="00E255E9" w:rsidRPr="00420040" w:rsidRDefault="00E255E9" w:rsidP="000C21B1">
            <w:pPr>
              <w:rPr>
                <w:rFonts w:ascii="Arial" w:hAnsi="Arial" w:cs="Arial"/>
                <w:sz w:val="22"/>
              </w:rPr>
            </w:pPr>
            <w:r>
              <w:rPr>
                <w:rFonts w:ascii="Arial" w:hAnsi="Arial"/>
                <w:sz w:val="22"/>
              </w:rPr>
              <w:t>Original: Inglés</w:t>
            </w:r>
          </w:p>
          <w:p w:rsidR="00E255E9" w:rsidRPr="00682B31" w:rsidRDefault="00E255E9" w:rsidP="000C21B1">
            <w:pPr>
              <w:rPr>
                <w:rFonts w:ascii="Arial" w:hAnsi="Arial" w:cs="Arial"/>
                <w:sz w:val="12"/>
                <w:szCs w:val="12"/>
              </w:rPr>
            </w:pPr>
          </w:p>
        </w:tc>
      </w:tr>
    </w:tbl>
    <w:p w:rsidR="00E255E9" w:rsidRPr="00682B31" w:rsidRDefault="00E255E9" w:rsidP="00922791">
      <w:pPr>
        <w:tabs>
          <w:tab w:val="left" w:pos="7020"/>
        </w:tabs>
        <w:rPr>
          <w:rFonts w:ascii="Arial" w:hAnsi="Arial" w:cs="Arial"/>
          <w:sz w:val="22"/>
          <w:szCs w:val="22"/>
        </w:rPr>
      </w:pPr>
    </w:p>
    <w:p w:rsidR="00E255E9" w:rsidRPr="00682B31" w:rsidRDefault="00E255E9" w:rsidP="00354A9C">
      <w:pPr>
        <w:rPr>
          <w:rFonts w:ascii="Arial" w:hAnsi="Arial" w:cs="Arial"/>
          <w:sz w:val="22"/>
          <w:szCs w:val="22"/>
        </w:rPr>
      </w:pPr>
    </w:p>
    <w:p w:rsidR="00E255E9" w:rsidRPr="00BC3B2F" w:rsidRDefault="00E255E9" w:rsidP="00056DC1">
      <w:pPr>
        <w:pStyle w:val="Heading2"/>
        <w:keepNext w:val="0"/>
        <w:ind w:left="-90" w:right="-367"/>
        <w:jc w:val="center"/>
        <w:rPr>
          <w:rFonts w:ascii="Arial" w:hAnsi="Arial" w:cs="Arial"/>
          <w:caps/>
          <w:sz w:val="22"/>
          <w:szCs w:val="22"/>
        </w:rPr>
      </w:pPr>
      <w:r w:rsidRPr="00BC3B2F">
        <w:rPr>
          <w:rFonts w:ascii="Arial" w:hAnsi="Arial"/>
          <w:caps/>
          <w:sz w:val="22"/>
        </w:rPr>
        <w:t xml:space="preserve">NOMBRAMIENTO DE LOS MIEMBROS DEL COMITÉ DEL PERÍODO DE SESIONES </w:t>
      </w:r>
    </w:p>
    <w:p w:rsidR="00E255E9" w:rsidRPr="00BC3B2F" w:rsidRDefault="00E255E9" w:rsidP="00056DC1">
      <w:pPr>
        <w:pStyle w:val="Heading2"/>
        <w:keepNext w:val="0"/>
        <w:ind w:left="-90" w:right="-367"/>
        <w:jc w:val="center"/>
        <w:rPr>
          <w:rFonts w:ascii="Arial" w:hAnsi="Arial" w:cs="Arial"/>
          <w:caps/>
          <w:sz w:val="22"/>
          <w:szCs w:val="22"/>
        </w:rPr>
      </w:pPr>
      <w:r w:rsidRPr="00BC3B2F">
        <w:rPr>
          <w:rFonts w:ascii="Arial" w:hAnsi="Arial"/>
          <w:caps/>
          <w:sz w:val="22"/>
        </w:rPr>
        <w:t xml:space="preserve">DEL CONSEJO CIENTÍFICO </w:t>
      </w:r>
    </w:p>
    <w:p w:rsidR="00E255E9" w:rsidRPr="00BC3B2F" w:rsidRDefault="00E255E9" w:rsidP="00593736">
      <w:pPr>
        <w:rPr>
          <w:sz w:val="8"/>
          <w:szCs w:val="8"/>
        </w:rPr>
      </w:pPr>
    </w:p>
    <w:p w:rsidR="00E255E9" w:rsidRPr="00BC3B2F" w:rsidRDefault="00E255E9" w:rsidP="00B64904">
      <w:pPr>
        <w:jc w:val="center"/>
        <w:rPr>
          <w:rFonts w:ascii="Arial" w:hAnsi="Arial" w:cs="Arial"/>
          <w:i/>
          <w:sz w:val="22"/>
          <w:szCs w:val="22"/>
        </w:rPr>
      </w:pPr>
      <w:r w:rsidRPr="00BC3B2F">
        <w:rPr>
          <w:rFonts w:ascii="Arial" w:hAnsi="Arial"/>
          <w:i/>
          <w:sz w:val="22"/>
        </w:rPr>
        <w:t>(Preparado por la Secretaría)</w:t>
      </w:r>
    </w:p>
    <w:p w:rsidR="00E255E9" w:rsidRPr="00BC3B2F" w:rsidRDefault="00E255E9" w:rsidP="00870FB9">
      <w:pPr>
        <w:rPr>
          <w:sz w:val="8"/>
          <w:szCs w:val="8"/>
        </w:rPr>
      </w:pPr>
    </w:p>
    <w:p w:rsidR="00E255E9" w:rsidRPr="00BC3B2F" w:rsidRDefault="00E255E9" w:rsidP="00870FB9">
      <w:pPr>
        <w:jc w:val="center"/>
        <w:rPr>
          <w:rFonts w:ascii="Arial" w:hAnsi="Arial" w:cs="Arial"/>
          <w:i/>
          <w:sz w:val="22"/>
          <w:szCs w:val="22"/>
        </w:rPr>
      </w:pPr>
    </w:p>
    <w:p w:rsidR="00E255E9" w:rsidRPr="00BC3B2F" w:rsidRDefault="00E255E9" w:rsidP="00B64904">
      <w:pPr>
        <w:jc w:val="center"/>
        <w:rPr>
          <w:rFonts w:ascii="Arial" w:hAnsi="Arial" w:cs="Arial"/>
          <w:i/>
          <w:sz w:val="22"/>
          <w:szCs w:val="22"/>
        </w:rPr>
      </w:pPr>
    </w:p>
    <w:p w:rsidR="00E255E9" w:rsidRPr="00BC3B2F" w:rsidRDefault="00E255E9" w:rsidP="001764E6">
      <w:pPr>
        <w:jc w:val="both"/>
        <w:rPr>
          <w:rFonts w:ascii="Arial" w:hAnsi="Arial" w:cs="Arial"/>
          <w:sz w:val="21"/>
          <w:szCs w:val="21"/>
        </w:rPr>
      </w:pPr>
    </w:p>
    <w:p w:rsidR="00E255E9" w:rsidRPr="00BC3B2F" w:rsidRDefault="003354AF" w:rsidP="00D605A4">
      <w:pPr>
        <w:tabs>
          <w:tab w:val="left" w:pos="8295"/>
        </w:tabs>
        <w:jc w:val="both"/>
        <w:rPr>
          <w:rFonts w:ascii="Arial" w:hAnsi="Arial" w:cs="Arial"/>
          <w:sz w:val="21"/>
          <w:szCs w:val="21"/>
        </w:rPr>
      </w:pPr>
      <w:r w:rsidRPr="00BC3B2F">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803161</wp:posOffset>
                </wp:positionH>
                <wp:positionV relativeFrom="paragraph">
                  <wp:posOffset>112858</wp:posOffset>
                </wp:positionV>
                <wp:extent cx="4305300" cy="3268639"/>
                <wp:effectExtent l="0" t="0" r="1905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68639"/>
                        </a:xfrm>
                        <a:prstGeom prst="rect">
                          <a:avLst/>
                        </a:prstGeom>
                        <a:solidFill>
                          <a:srgbClr val="FFFFFF"/>
                        </a:solidFill>
                        <a:ln w="3175">
                          <a:solidFill>
                            <a:srgbClr val="000000"/>
                          </a:solidFill>
                          <a:miter lim="800000"/>
                          <a:headEnd/>
                          <a:tailEnd/>
                        </a:ln>
                      </wps:spPr>
                      <wps:txbx>
                        <w:txbxContent>
                          <w:p w:rsidR="00E255E9" w:rsidRPr="00D044DD" w:rsidRDefault="00E255E9" w:rsidP="00E475D4">
                            <w:pPr>
                              <w:rPr>
                                <w:rFonts w:ascii="Arial" w:hAnsi="Arial" w:cs="Arial"/>
                                <w:sz w:val="22"/>
                                <w:szCs w:val="22"/>
                              </w:rPr>
                            </w:pPr>
                            <w:r>
                              <w:rPr>
                                <w:rFonts w:ascii="Arial" w:hAnsi="Arial"/>
                                <w:sz w:val="22"/>
                              </w:rPr>
                              <w:t>Resumen:</w:t>
                            </w:r>
                          </w:p>
                          <w:p w:rsidR="00E255E9" w:rsidRPr="00D044DD" w:rsidRDefault="00E255E9" w:rsidP="00E8776E">
                            <w:pPr>
                              <w:rPr>
                                <w:rFonts w:ascii="Arial" w:hAnsi="Arial" w:cs="Arial"/>
                                <w:i/>
                                <w:sz w:val="22"/>
                                <w:szCs w:val="22"/>
                              </w:rPr>
                            </w:pPr>
                          </w:p>
                          <w:p w:rsidR="00E255E9" w:rsidRPr="00BC3B2F" w:rsidRDefault="00E255E9" w:rsidP="00BC3B2F">
                            <w:pPr>
                              <w:jc w:val="both"/>
                              <w:rPr>
                                <w:rFonts w:ascii="Arial" w:hAnsi="Arial" w:cs="Arial"/>
                                <w:sz w:val="22"/>
                                <w:szCs w:val="22"/>
                              </w:rPr>
                            </w:pPr>
                            <w:r w:rsidRPr="00BC3B2F">
                              <w:rPr>
                                <w:rFonts w:ascii="Arial" w:hAnsi="Arial"/>
                                <w:sz w:val="22"/>
                              </w:rPr>
                              <w:t xml:space="preserve">En el presente documento se resume la labor realizada por la Secretaría en consulta con el Comité Permanente para establecer un proceso consultivo con miras a elaborar recomendaciones para las reuniones de la Conferencia de las Partes sobre la composición del Comité del período de sesiones del Consejo Científico para el próximo período </w:t>
                            </w:r>
                            <w:proofErr w:type="spellStart"/>
                            <w:r w:rsidRPr="00BC3B2F">
                              <w:rPr>
                                <w:rFonts w:ascii="Arial" w:hAnsi="Arial"/>
                                <w:sz w:val="22"/>
                              </w:rPr>
                              <w:t>intersesional</w:t>
                            </w:r>
                            <w:proofErr w:type="spellEnd"/>
                            <w:r w:rsidRPr="00BC3B2F">
                              <w:rPr>
                                <w:rFonts w:ascii="Arial" w:hAnsi="Arial"/>
                                <w:sz w:val="22"/>
                              </w:rPr>
                              <w:t xml:space="preserve">, conforme se había solicitado mediante la Resolución 11.4.  </w:t>
                            </w:r>
                          </w:p>
                          <w:p w:rsidR="00E255E9" w:rsidRPr="00BC3B2F" w:rsidRDefault="00E255E9" w:rsidP="00BC3B2F">
                            <w:pPr>
                              <w:jc w:val="both"/>
                              <w:rPr>
                                <w:rFonts w:ascii="Arial" w:hAnsi="Arial" w:cs="Arial"/>
                                <w:sz w:val="22"/>
                                <w:szCs w:val="22"/>
                              </w:rPr>
                            </w:pPr>
                          </w:p>
                          <w:p w:rsidR="00E255E9" w:rsidRDefault="00E255E9" w:rsidP="00BC3B2F">
                            <w:pPr>
                              <w:jc w:val="both"/>
                              <w:rPr>
                                <w:rFonts w:ascii="Arial" w:hAnsi="Arial"/>
                                <w:sz w:val="22"/>
                              </w:rPr>
                            </w:pPr>
                            <w:r w:rsidRPr="00BC3B2F">
                              <w:rPr>
                                <w:rFonts w:ascii="Arial" w:hAnsi="Arial"/>
                                <w:sz w:val="22"/>
                              </w:rPr>
                              <w:t xml:space="preserve">Se solicita la orientación y la decisión de la Conferencia de las Partes sobre algunos elementos de dicho proceso, en particular sobre la posibilidad de nombrar suplentes de los miembros regionales y sobre la necesidad de renovar los miembros del Comité del período de sesiones del Consejo Científico designados por la COP. </w:t>
                            </w:r>
                          </w:p>
                          <w:p w:rsidR="004C0132" w:rsidRDefault="004C0132" w:rsidP="00BC3B2F">
                            <w:pPr>
                              <w:jc w:val="both"/>
                              <w:rPr>
                                <w:rFonts w:ascii="Arial" w:hAnsi="Arial"/>
                                <w:sz w:val="22"/>
                              </w:rPr>
                            </w:pPr>
                          </w:p>
                          <w:p w:rsidR="004C0132" w:rsidRDefault="004C0132" w:rsidP="00BC3B2F">
                            <w:pPr>
                              <w:jc w:val="both"/>
                              <w:rPr>
                                <w:rFonts w:ascii="Arial" w:hAnsi="Arial" w:cs="Arial"/>
                                <w:sz w:val="22"/>
                                <w:szCs w:val="22"/>
                              </w:rPr>
                            </w:pPr>
                            <w:r>
                              <w:rPr>
                                <w:rFonts w:ascii="Arial" w:hAnsi="Arial"/>
                                <w:sz w:val="22"/>
                              </w:rPr>
                              <w:t>Este documento debería leerse conjuntamente con los documentos UNEP/CMS/COP12/Doc.16.2 y UNEP/CMS/COP12/Doc.21.2.6 .</w:t>
                            </w:r>
                          </w:p>
                          <w:p w:rsidR="004C0132" w:rsidRPr="00D044DD" w:rsidRDefault="004C0132" w:rsidP="00E475D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25pt;margin-top:8.9pt;width:339pt;height:2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" strokeweight=".25pt">
                <v:textbox>
                  <w:txbxContent>
                    <w:p w:rsidR="00E255E9" w:rsidRPr="00D044DD" w:rsidRDefault="00E255E9" w:rsidP="00E475D4">
                      <w:pPr>
                        <w:rPr>
                          <w:rFonts w:ascii="Arial" w:hAnsi="Arial" w:cs="Arial"/>
                          <w:sz w:val="22"/>
                          <w:szCs w:val="22"/>
                        </w:rPr>
                      </w:pPr>
                      <w:r>
                        <w:rPr>
                          <w:rFonts w:ascii="Arial" w:hAnsi="Arial"/>
                          <w:sz w:val="22"/>
                        </w:rPr>
                        <w:t>Resumen:</w:t>
                      </w:r>
                    </w:p>
                    <w:p w:rsidR="00E255E9" w:rsidRPr="00D044DD" w:rsidRDefault="00E255E9" w:rsidP="00E8776E">
                      <w:pPr>
                        <w:rPr>
                          <w:rFonts w:ascii="Arial" w:hAnsi="Arial" w:cs="Arial"/>
                          <w:i/>
                          <w:sz w:val="22"/>
                          <w:szCs w:val="22"/>
                        </w:rPr>
                      </w:pPr>
                    </w:p>
                    <w:p w:rsidR="00E255E9" w:rsidRPr="00BC3B2F" w:rsidRDefault="00E255E9" w:rsidP="00BC3B2F">
                      <w:pPr>
                        <w:jc w:val="both"/>
                        <w:rPr>
                          <w:rFonts w:ascii="Arial" w:hAnsi="Arial" w:cs="Arial"/>
                          <w:sz w:val="22"/>
                          <w:szCs w:val="22"/>
                        </w:rPr>
                      </w:pPr>
                      <w:r w:rsidRPr="00BC3B2F">
                        <w:rPr>
                          <w:rFonts w:ascii="Arial" w:hAnsi="Arial"/>
                          <w:sz w:val="22"/>
                        </w:rPr>
                        <w:t xml:space="preserve">En el presente documento se resume la labor realizada por la Secretaría en consulta con el Comité Permanente para establecer un proceso consultivo con miras a elaborar recomendaciones para las reuniones de la Conferencia de las Partes sobre la composición del Comité del período de sesiones del Consejo Científico para el próximo período </w:t>
                      </w:r>
                      <w:proofErr w:type="spellStart"/>
                      <w:r w:rsidRPr="00BC3B2F">
                        <w:rPr>
                          <w:rFonts w:ascii="Arial" w:hAnsi="Arial"/>
                          <w:sz w:val="22"/>
                        </w:rPr>
                        <w:t>intersesional</w:t>
                      </w:r>
                      <w:proofErr w:type="spellEnd"/>
                      <w:r w:rsidRPr="00BC3B2F">
                        <w:rPr>
                          <w:rFonts w:ascii="Arial" w:hAnsi="Arial"/>
                          <w:sz w:val="22"/>
                        </w:rPr>
                        <w:t xml:space="preserve">, conforme se había solicitado mediante la Resolución 11.4.  </w:t>
                      </w:r>
                    </w:p>
                    <w:p w:rsidR="00E255E9" w:rsidRPr="00BC3B2F" w:rsidRDefault="00E255E9" w:rsidP="00BC3B2F">
                      <w:pPr>
                        <w:jc w:val="both"/>
                        <w:rPr>
                          <w:rFonts w:ascii="Arial" w:hAnsi="Arial" w:cs="Arial"/>
                          <w:sz w:val="22"/>
                          <w:szCs w:val="22"/>
                        </w:rPr>
                      </w:pPr>
                    </w:p>
                    <w:p w:rsidR="00E255E9" w:rsidRDefault="00E255E9" w:rsidP="00BC3B2F">
                      <w:pPr>
                        <w:jc w:val="both"/>
                        <w:rPr>
                          <w:rFonts w:ascii="Arial" w:hAnsi="Arial"/>
                          <w:sz w:val="22"/>
                        </w:rPr>
                      </w:pPr>
                      <w:r w:rsidRPr="00BC3B2F">
                        <w:rPr>
                          <w:rFonts w:ascii="Arial" w:hAnsi="Arial"/>
                          <w:sz w:val="22"/>
                        </w:rPr>
                        <w:t xml:space="preserve">Se solicita la orientación y la decisión de la Conferencia de las Partes sobre algunos elementos de dicho proceso, en particular sobre la posibilidad de nombrar suplentes de los miembros regionales y sobre la necesidad de renovar los miembros del Comité del período de sesiones del Consejo Científico designados por la COP. </w:t>
                      </w:r>
                    </w:p>
                    <w:p w:rsidR="004C0132" w:rsidRDefault="004C0132" w:rsidP="00BC3B2F">
                      <w:pPr>
                        <w:jc w:val="both"/>
                        <w:rPr>
                          <w:rFonts w:ascii="Arial" w:hAnsi="Arial"/>
                          <w:sz w:val="22"/>
                        </w:rPr>
                      </w:pPr>
                    </w:p>
                    <w:p w:rsidR="004C0132" w:rsidRDefault="004C0132" w:rsidP="00BC3B2F">
                      <w:pPr>
                        <w:jc w:val="both"/>
                        <w:rPr>
                          <w:rFonts w:ascii="Arial" w:hAnsi="Arial" w:cs="Arial"/>
                          <w:sz w:val="22"/>
                          <w:szCs w:val="22"/>
                        </w:rPr>
                      </w:pPr>
                      <w:r>
                        <w:rPr>
                          <w:rFonts w:ascii="Arial" w:hAnsi="Arial"/>
                          <w:sz w:val="22"/>
                        </w:rPr>
                        <w:t>Este documento debería leerse conjuntamente con los documentos UNEP/CMS/COP12/Doc.16.2 y UNEP/CMS/COP12/Doc.21.2.6 .</w:t>
                      </w:r>
                    </w:p>
                    <w:p w:rsidR="004C0132" w:rsidRPr="00D044DD" w:rsidRDefault="004C0132" w:rsidP="00E475D4">
                      <w:pPr>
                        <w:rPr>
                          <w:rFonts w:ascii="Arial" w:hAnsi="Arial" w:cs="Arial"/>
                          <w:sz w:val="22"/>
                          <w:szCs w:val="22"/>
                        </w:rPr>
                      </w:pPr>
                    </w:p>
                  </w:txbxContent>
                </v:textbox>
              </v:shape>
            </w:pict>
          </mc:Fallback>
        </mc:AlternateContent>
      </w: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1"/>
          <w:szCs w:val="21"/>
        </w:rPr>
      </w:pPr>
    </w:p>
    <w:p w:rsidR="00E255E9" w:rsidRPr="00BC3B2F" w:rsidRDefault="00E255E9" w:rsidP="00D605A4">
      <w:pPr>
        <w:rPr>
          <w:rFonts w:ascii="Arial" w:hAnsi="Arial" w:cs="Arial"/>
          <w:sz w:val="22"/>
          <w:szCs w:val="22"/>
        </w:rPr>
      </w:pPr>
    </w:p>
    <w:p w:rsidR="00E255E9" w:rsidRPr="00BC3B2F" w:rsidRDefault="00E255E9" w:rsidP="00D605A4">
      <w:pPr>
        <w:rPr>
          <w:rFonts w:ascii="Arial" w:hAnsi="Arial" w:cs="Arial"/>
          <w:sz w:val="22"/>
          <w:szCs w:val="22"/>
        </w:rPr>
      </w:pPr>
    </w:p>
    <w:p w:rsidR="00E255E9" w:rsidRPr="00BC3B2F" w:rsidRDefault="00E255E9" w:rsidP="00D605A4">
      <w:pPr>
        <w:rPr>
          <w:rFonts w:ascii="Arial" w:hAnsi="Arial" w:cs="Arial"/>
          <w:sz w:val="22"/>
          <w:szCs w:val="22"/>
        </w:rPr>
      </w:pPr>
    </w:p>
    <w:p w:rsidR="00E255E9" w:rsidRPr="00BC3B2F" w:rsidRDefault="00E255E9" w:rsidP="00D605A4">
      <w:pPr>
        <w:rPr>
          <w:rFonts w:ascii="Arial" w:hAnsi="Arial" w:cs="Arial"/>
          <w:sz w:val="22"/>
          <w:szCs w:val="22"/>
        </w:rPr>
      </w:pPr>
    </w:p>
    <w:p w:rsidR="00E255E9" w:rsidRPr="00BC3B2F" w:rsidRDefault="00E255E9" w:rsidP="00D605A4">
      <w:pPr>
        <w:rPr>
          <w:rFonts w:ascii="Arial" w:hAnsi="Arial" w:cs="Arial"/>
          <w:sz w:val="22"/>
          <w:szCs w:val="22"/>
        </w:rPr>
      </w:pPr>
    </w:p>
    <w:p w:rsidR="00E255E9" w:rsidRPr="00BC3B2F" w:rsidRDefault="00E255E9" w:rsidP="00D605A4">
      <w:pPr>
        <w:rPr>
          <w:rFonts w:ascii="Arial" w:hAnsi="Arial" w:cs="Arial"/>
          <w:sz w:val="22"/>
          <w:szCs w:val="22"/>
        </w:rPr>
      </w:pPr>
    </w:p>
    <w:p w:rsidR="00E255E9" w:rsidRPr="00BC3B2F" w:rsidRDefault="00E255E9" w:rsidP="00D605A4">
      <w:pPr>
        <w:rPr>
          <w:rFonts w:ascii="Arial" w:hAnsi="Arial" w:cs="Arial"/>
          <w:sz w:val="22"/>
          <w:szCs w:val="22"/>
        </w:rPr>
      </w:pPr>
    </w:p>
    <w:p w:rsidR="00E255E9" w:rsidRPr="00BC3B2F" w:rsidRDefault="00E255E9" w:rsidP="00D605A4">
      <w:pPr>
        <w:rPr>
          <w:rFonts w:ascii="Arial" w:hAnsi="Arial" w:cs="Arial"/>
          <w:sz w:val="22"/>
          <w:szCs w:val="22"/>
        </w:rPr>
      </w:pPr>
    </w:p>
    <w:p w:rsidR="00E255E9" w:rsidRPr="00BC3B2F" w:rsidRDefault="00E255E9" w:rsidP="00D605A4">
      <w:pPr>
        <w:rPr>
          <w:rFonts w:ascii="Arial" w:hAnsi="Arial" w:cs="Arial"/>
          <w:sz w:val="22"/>
          <w:szCs w:val="22"/>
        </w:rPr>
      </w:pPr>
    </w:p>
    <w:p w:rsidR="00E255E9" w:rsidRPr="00BC3B2F" w:rsidRDefault="00E255E9" w:rsidP="00D605A4">
      <w:pPr>
        <w:rPr>
          <w:rFonts w:ascii="Arial" w:hAnsi="Arial" w:cs="Arial"/>
          <w:sz w:val="22"/>
          <w:szCs w:val="22"/>
        </w:rPr>
      </w:pPr>
    </w:p>
    <w:p w:rsidR="00E255E9" w:rsidRPr="00BC3B2F" w:rsidRDefault="00E255E9" w:rsidP="00D605A4">
      <w:pPr>
        <w:rPr>
          <w:rFonts w:ascii="Arial" w:hAnsi="Arial" w:cs="Arial"/>
          <w:sz w:val="22"/>
          <w:szCs w:val="22"/>
        </w:rPr>
      </w:pPr>
    </w:p>
    <w:p w:rsidR="00E255E9" w:rsidRPr="00BC3B2F" w:rsidRDefault="00E255E9" w:rsidP="00D605A4">
      <w:pPr>
        <w:rPr>
          <w:rFonts w:ascii="Arial" w:hAnsi="Arial" w:cs="Arial"/>
          <w:sz w:val="22"/>
          <w:szCs w:val="22"/>
        </w:rPr>
      </w:pPr>
    </w:p>
    <w:p w:rsidR="00E255E9" w:rsidRPr="00BC3B2F" w:rsidRDefault="00E255E9" w:rsidP="00D605A4">
      <w:pPr>
        <w:rPr>
          <w:rFonts w:ascii="Arial" w:hAnsi="Arial" w:cs="Arial"/>
          <w:sz w:val="22"/>
          <w:szCs w:val="22"/>
        </w:rPr>
      </w:pPr>
    </w:p>
    <w:p w:rsidR="00E255E9" w:rsidRPr="00BC3B2F" w:rsidRDefault="00E255E9" w:rsidP="00D605A4">
      <w:pPr>
        <w:tabs>
          <w:tab w:val="left" w:pos="1020"/>
        </w:tabs>
        <w:rPr>
          <w:rFonts w:ascii="Arial" w:hAnsi="Arial" w:cs="Arial"/>
          <w:sz w:val="22"/>
          <w:szCs w:val="22"/>
        </w:rPr>
        <w:sectPr w:rsidR="00E255E9" w:rsidRPr="00BC3B2F"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rtlGutter/>
          <w:docGrid w:linePitch="272"/>
        </w:sectPr>
      </w:pPr>
    </w:p>
    <w:p w:rsidR="00E255E9" w:rsidRPr="00BC3B2F" w:rsidRDefault="00E255E9" w:rsidP="005B70F6">
      <w:pPr>
        <w:pStyle w:val="Heading2"/>
        <w:keepNext w:val="0"/>
        <w:ind w:left="-90" w:right="-367"/>
        <w:jc w:val="center"/>
        <w:rPr>
          <w:rFonts w:ascii="Arial" w:hAnsi="Arial" w:cs="Arial"/>
          <w:caps/>
          <w:sz w:val="22"/>
          <w:szCs w:val="22"/>
        </w:rPr>
      </w:pPr>
      <w:r w:rsidRPr="00BC3B2F">
        <w:rPr>
          <w:rFonts w:ascii="Arial" w:hAnsi="Arial"/>
          <w:caps/>
          <w:sz w:val="22"/>
        </w:rPr>
        <w:lastRenderedPageBreak/>
        <w:t xml:space="preserve">NOMBRAMIENTO DE LOS MIEMBROS DEL COMITÉ DEL PERÍODO DE SESIONES </w:t>
      </w:r>
    </w:p>
    <w:p w:rsidR="00E255E9" w:rsidRPr="00BC3B2F" w:rsidRDefault="00E255E9" w:rsidP="005B70F6">
      <w:pPr>
        <w:pStyle w:val="Heading2"/>
        <w:keepNext w:val="0"/>
        <w:ind w:left="-90" w:right="-367"/>
        <w:jc w:val="center"/>
        <w:rPr>
          <w:rFonts w:ascii="Arial" w:hAnsi="Arial" w:cs="Arial"/>
          <w:caps/>
          <w:sz w:val="22"/>
          <w:szCs w:val="22"/>
        </w:rPr>
      </w:pPr>
      <w:r w:rsidRPr="00BC3B2F">
        <w:rPr>
          <w:rFonts w:ascii="Arial" w:hAnsi="Arial"/>
          <w:caps/>
          <w:sz w:val="22"/>
        </w:rPr>
        <w:t xml:space="preserve">DEL CONSEJO CIENTÍFICO </w:t>
      </w:r>
    </w:p>
    <w:p w:rsidR="00E255E9" w:rsidRPr="00BC3B2F" w:rsidRDefault="00E255E9" w:rsidP="007910DD">
      <w:pPr>
        <w:jc w:val="both"/>
        <w:rPr>
          <w:rFonts w:ascii="Arial" w:hAnsi="Arial" w:cs="Arial"/>
          <w:sz w:val="22"/>
          <w:szCs w:val="22"/>
        </w:rPr>
      </w:pPr>
    </w:p>
    <w:p w:rsidR="00E255E9" w:rsidRPr="00BC3B2F" w:rsidRDefault="00E255E9" w:rsidP="007910DD">
      <w:pPr>
        <w:jc w:val="both"/>
        <w:rPr>
          <w:rFonts w:ascii="Arial" w:hAnsi="Arial" w:cs="Arial"/>
          <w:sz w:val="22"/>
          <w:szCs w:val="22"/>
        </w:rPr>
      </w:pPr>
    </w:p>
    <w:p w:rsidR="00E255E9" w:rsidRPr="00BC3B2F" w:rsidRDefault="00E255E9" w:rsidP="007910DD">
      <w:pPr>
        <w:jc w:val="both"/>
        <w:rPr>
          <w:rFonts w:ascii="Arial" w:hAnsi="Arial" w:cs="Arial"/>
          <w:sz w:val="22"/>
          <w:szCs w:val="22"/>
          <w:u w:val="single"/>
        </w:rPr>
      </w:pPr>
      <w:r w:rsidRPr="00BC3B2F">
        <w:rPr>
          <w:rFonts w:ascii="Arial" w:hAnsi="Arial"/>
          <w:sz w:val="22"/>
          <w:u w:val="single"/>
        </w:rPr>
        <w:t>Antecedentes</w:t>
      </w:r>
    </w:p>
    <w:p w:rsidR="00E255E9" w:rsidRPr="00BC3B2F" w:rsidRDefault="00E255E9" w:rsidP="00E238F5">
      <w:pPr>
        <w:ind w:left="360"/>
        <w:contextualSpacing/>
        <w:jc w:val="both"/>
        <w:rPr>
          <w:rFonts w:ascii="Arial" w:hAnsi="Arial" w:cs="Arial"/>
          <w:sz w:val="22"/>
          <w:szCs w:val="22"/>
        </w:rPr>
      </w:pPr>
    </w:p>
    <w:p w:rsidR="00E255E9" w:rsidRPr="00BC3B2F" w:rsidRDefault="00E255E9" w:rsidP="005D026E">
      <w:pPr>
        <w:numPr>
          <w:ilvl w:val="0"/>
          <w:numId w:val="2"/>
        </w:numPr>
        <w:contextualSpacing/>
        <w:jc w:val="both"/>
        <w:rPr>
          <w:rFonts w:ascii="Arial" w:hAnsi="Arial" w:cs="Arial"/>
          <w:sz w:val="22"/>
          <w:szCs w:val="22"/>
        </w:rPr>
      </w:pPr>
      <w:r w:rsidRPr="00BC3B2F">
        <w:rPr>
          <w:rFonts w:ascii="Arial" w:hAnsi="Arial"/>
          <w:sz w:val="22"/>
        </w:rPr>
        <w:t xml:space="preserve">La Secretaría ha preparado la presente nota para ayudar a las Partes en sus deliberaciones sobre el nombramiento de los miembros del Comité del período de sesiones del Consejo Científico para que presten servicio durante el período comprendido entre la clausura de la 12ª reunión y la clausura de la 13ª reunión de la Conferencia de las Partes (COP).  </w:t>
      </w:r>
    </w:p>
    <w:p w:rsidR="00E255E9" w:rsidRPr="00BC3B2F" w:rsidRDefault="00E255E9" w:rsidP="00721954">
      <w:pPr>
        <w:ind w:left="360"/>
        <w:contextualSpacing/>
        <w:jc w:val="both"/>
        <w:rPr>
          <w:rFonts w:ascii="Arial" w:hAnsi="Arial" w:cs="Arial"/>
          <w:sz w:val="22"/>
          <w:szCs w:val="22"/>
        </w:rPr>
      </w:pPr>
    </w:p>
    <w:p w:rsidR="00E255E9" w:rsidRPr="00BC3B2F" w:rsidRDefault="00E255E9" w:rsidP="00721954">
      <w:pPr>
        <w:contextualSpacing/>
        <w:jc w:val="both"/>
        <w:rPr>
          <w:rFonts w:ascii="Arial" w:hAnsi="Arial" w:cs="Arial"/>
          <w:i/>
          <w:sz w:val="22"/>
          <w:szCs w:val="22"/>
        </w:rPr>
      </w:pPr>
      <w:r w:rsidRPr="00BC3B2F">
        <w:rPr>
          <w:rFonts w:ascii="Arial" w:hAnsi="Arial"/>
          <w:i/>
          <w:sz w:val="22"/>
        </w:rPr>
        <w:t>Composición del Comité del periodo de sesiones</w:t>
      </w:r>
    </w:p>
    <w:p w:rsidR="00E255E9" w:rsidRPr="00BC3B2F" w:rsidRDefault="00E255E9" w:rsidP="00B808A8">
      <w:pPr>
        <w:ind w:left="360"/>
        <w:contextualSpacing/>
        <w:jc w:val="both"/>
        <w:rPr>
          <w:rFonts w:ascii="Arial" w:hAnsi="Arial" w:cs="Arial"/>
          <w:sz w:val="22"/>
          <w:szCs w:val="22"/>
        </w:rPr>
      </w:pPr>
    </w:p>
    <w:p w:rsidR="00E255E9" w:rsidRPr="00BC3B2F" w:rsidRDefault="00E255E9" w:rsidP="00B808A8">
      <w:pPr>
        <w:numPr>
          <w:ilvl w:val="0"/>
          <w:numId w:val="2"/>
        </w:numPr>
        <w:contextualSpacing/>
        <w:jc w:val="both"/>
        <w:rPr>
          <w:rFonts w:ascii="Arial" w:hAnsi="Arial" w:cs="Arial"/>
          <w:sz w:val="22"/>
          <w:szCs w:val="22"/>
        </w:rPr>
      </w:pPr>
      <w:r w:rsidRPr="00BC3B2F">
        <w:rPr>
          <w:rFonts w:ascii="Arial" w:hAnsi="Arial"/>
          <w:color w:val="000000"/>
          <w:sz w:val="22"/>
        </w:rPr>
        <w:t>De conformidad con la Resolución 11.4, el Comité del período de sesiones del Consejo Científico es una selección representativa de los miembros del Consejo Científico designados para cada período comprendido entre dos reuniones ordinarias consecutivas de la Conferencia de las Partes.</w:t>
      </w:r>
    </w:p>
    <w:p w:rsidR="00E255E9" w:rsidRPr="00BC3B2F" w:rsidRDefault="00E255E9" w:rsidP="00B808A8">
      <w:pPr>
        <w:pStyle w:val="ListParagraph"/>
        <w:rPr>
          <w:rFonts w:ascii="Arial" w:hAnsi="Arial" w:cs="Arial"/>
          <w:sz w:val="22"/>
          <w:szCs w:val="22"/>
        </w:rPr>
      </w:pPr>
    </w:p>
    <w:p w:rsidR="00E255E9" w:rsidRPr="00BC3B2F" w:rsidRDefault="00E255E9" w:rsidP="00B808A8">
      <w:pPr>
        <w:numPr>
          <w:ilvl w:val="0"/>
          <w:numId w:val="2"/>
        </w:numPr>
        <w:contextualSpacing/>
        <w:jc w:val="both"/>
        <w:rPr>
          <w:rFonts w:ascii="Arial" w:hAnsi="Arial" w:cs="Arial"/>
          <w:sz w:val="22"/>
          <w:szCs w:val="22"/>
        </w:rPr>
      </w:pPr>
      <w:r w:rsidRPr="00BC3B2F">
        <w:rPr>
          <w:rFonts w:ascii="Arial" w:hAnsi="Arial"/>
          <w:color w:val="000000"/>
          <w:sz w:val="22"/>
        </w:rPr>
        <w:t>Salvo que la Conferencia de las Partes decida otra cosa, el Comité  del período de sesiones del Consejo Científico estará integrado por:</w:t>
      </w:r>
    </w:p>
    <w:p w:rsidR="00E255E9" w:rsidRPr="00BC3B2F" w:rsidRDefault="00E255E9" w:rsidP="00870248">
      <w:pPr>
        <w:pStyle w:val="ListParagraph"/>
        <w:widowControl/>
        <w:numPr>
          <w:ilvl w:val="0"/>
          <w:numId w:val="5"/>
        </w:numPr>
        <w:autoSpaceDE/>
        <w:autoSpaceDN/>
        <w:adjustRightInd/>
        <w:spacing w:after="160"/>
        <w:jc w:val="both"/>
        <w:rPr>
          <w:rFonts w:ascii="Arial" w:hAnsi="Arial" w:cs="Arial"/>
          <w:sz w:val="22"/>
          <w:szCs w:val="22"/>
        </w:rPr>
      </w:pPr>
      <w:r w:rsidRPr="00BC3B2F">
        <w:rPr>
          <w:rFonts w:ascii="Arial" w:hAnsi="Arial"/>
          <w:sz w:val="22"/>
        </w:rPr>
        <w:t xml:space="preserve">nueve Consejeros designados por la COP con conocimientos especializados en cuestiones taxonómicas y temáticas; y </w:t>
      </w:r>
    </w:p>
    <w:p w:rsidR="00E255E9" w:rsidRPr="00BC3B2F" w:rsidRDefault="00E255E9" w:rsidP="00870248">
      <w:pPr>
        <w:pStyle w:val="ListParagraph"/>
        <w:widowControl/>
        <w:numPr>
          <w:ilvl w:val="0"/>
          <w:numId w:val="5"/>
        </w:numPr>
        <w:autoSpaceDE/>
        <w:autoSpaceDN/>
        <w:adjustRightInd/>
        <w:spacing w:after="160"/>
        <w:jc w:val="both"/>
        <w:rPr>
          <w:rFonts w:ascii="Arial" w:hAnsi="Arial" w:cs="Arial"/>
          <w:sz w:val="22"/>
          <w:szCs w:val="22"/>
        </w:rPr>
      </w:pPr>
      <w:r w:rsidRPr="00BC3B2F">
        <w:rPr>
          <w:rFonts w:ascii="Arial" w:hAnsi="Arial"/>
          <w:sz w:val="22"/>
        </w:rPr>
        <w:t>quince Consejeros designados por las Partes, seleccionados en el ámbito de las regiones geográficas del Comité Permanente, como sigue: tres de África; tres de Asia; tres de Europa; tres de Oceanía; tres de América del Sur y Central y el Caribe.</w:t>
      </w:r>
    </w:p>
    <w:p w:rsidR="00E255E9" w:rsidRPr="00BC3B2F" w:rsidRDefault="00E255E9" w:rsidP="00721954">
      <w:pPr>
        <w:pStyle w:val="ListParagraph"/>
        <w:widowControl/>
        <w:autoSpaceDE/>
        <w:autoSpaceDN/>
        <w:adjustRightInd/>
        <w:ind w:left="0"/>
        <w:contextualSpacing w:val="0"/>
        <w:jc w:val="both"/>
        <w:rPr>
          <w:rFonts w:ascii="Arial" w:hAnsi="Arial" w:cs="Arial"/>
          <w:sz w:val="22"/>
          <w:szCs w:val="22"/>
        </w:rPr>
      </w:pPr>
    </w:p>
    <w:p w:rsidR="00E255E9" w:rsidRPr="00BC3B2F" w:rsidRDefault="00E255E9" w:rsidP="00721954">
      <w:pPr>
        <w:spacing w:after="60"/>
        <w:jc w:val="both"/>
        <w:rPr>
          <w:rFonts w:ascii="Arial" w:hAnsi="Arial" w:cs="Arial"/>
          <w:i/>
          <w:sz w:val="22"/>
          <w:szCs w:val="22"/>
        </w:rPr>
      </w:pPr>
      <w:r w:rsidRPr="00BC3B2F">
        <w:rPr>
          <w:rFonts w:ascii="Arial" w:hAnsi="Arial"/>
          <w:i/>
          <w:sz w:val="22"/>
        </w:rPr>
        <w:t>Mandato</w:t>
      </w:r>
    </w:p>
    <w:p w:rsidR="00E255E9" w:rsidRPr="00BC3B2F" w:rsidRDefault="00E255E9" w:rsidP="00D966A0">
      <w:pPr>
        <w:contextualSpacing/>
        <w:jc w:val="both"/>
        <w:rPr>
          <w:rFonts w:ascii="Arial" w:hAnsi="Arial" w:cs="Arial"/>
          <w:sz w:val="22"/>
          <w:szCs w:val="22"/>
        </w:rPr>
      </w:pPr>
    </w:p>
    <w:p w:rsidR="00E255E9" w:rsidRPr="00BC3B2F" w:rsidRDefault="00E255E9" w:rsidP="009F12D2">
      <w:pPr>
        <w:numPr>
          <w:ilvl w:val="0"/>
          <w:numId w:val="2"/>
        </w:numPr>
        <w:contextualSpacing/>
        <w:jc w:val="both"/>
        <w:rPr>
          <w:rFonts w:ascii="Arial" w:hAnsi="Arial" w:cs="Arial"/>
          <w:sz w:val="22"/>
          <w:szCs w:val="22"/>
        </w:rPr>
      </w:pPr>
      <w:r w:rsidRPr="00BC3B2F">
        <w:rPr>
          <w:rFonts w:ascii="Arial" w:hAnsi="Arial"/>
          <w:color w:val="000000"/>
          <w:sz w:val="22"/>
        </w:rPr>
        <w:t xml:space="preserve">Los Consejeros designados por la COP son nombrados por cada reunión de la Conferencia de las Partes para el trienio siguiente. Su nombramiento puede ser renovado. Sin embargo, la renovación del nombramiento no es automática y debe ser confirmada por cada reunión de la Conferencia de las Partes. </w:t>
      </w:r>
    </w:p>
    <w:p w:rsidR="00E255E9" w:rsidRPr="00BC3B2F" w:rsidRDefault="00E255E9" w:rsidP="009F12D2">
      <w:pPr>
        <w:ind w:left="360"/>
        <w:contextualSpacing/>
        <w:jc w:val="both"/>
        <w:rPr>
          <w:rFonts w:ascii="Arial" w:hAnsi="Arial" w:cs="Arial"/>
          <w:sz w:val="22"/>
          <w:szCs w:val="22"/>
        </w:rPr>
      </w:pPr>
    </w:p>
    <w:p w:rsidR="00E255E9" w:rsidRPr="00BC3B2F" w:rsidRDefault="00E255E9" w:rsidP="009F12D2">
      <w:pPr>
        <w:numPr>
          <w:ilvl w:val="0"/>
          <w:numId w:val="2"/>
        </w:numPr>
        <w:contextualSpacing/>
        <w:jc w:val="both"/>
        <w:rPr>
          <w:rFonts w:ascii="Arial" w:hAnsi="Arial" w:cs="Arial"/>
          <w:sz w:val="22"/>
          <w:szCs w:val="22"/>
        </w:rPr>
      </w:pPr>
      <w:r w:rsidRPr="00BC3B2F">
        <w:rPr>
          <w:rFonts w:ascii="Arial" w:hAnsi="Arial"/>
          <w:color w:val="000000"/>
          <w:sz w:val="22"/>
        </w:rPr>
        <w:t>Los Consejeros designados por las Partes son designados por las distintas Partes. Cada Parte tiene derecho a designar un miembro del Consejo Científico (párr.2 del Art.</w:t>
      </w:r>
      <w:r w:rsidR="00AC296B">
        <w:rPr>
          <w:rFonts w:ascii="Arial" w:hAnsi="Arial"/>
          <w:color w:val="000000"/>
          <w:sz w:val="22"/>
        </w:rPr>
        <w:t xml:space="preserve"> </w:t>
      </w:r>
      <w:r w:rsidRPr="00BC3B2F">
        <w:rPr>
          <w:rFonts w:ascii="Arial" w:hAnsi="Arial"/>
          <w:color w:val="000000"/>
          <w:sz w:val="22"/>
        </w:rPr>
        <w:t>VIII de la Convención). Los Consejeros designados por las Partes no tienen establecido un plazo para la duración de su nombramiento; siguen siendo miembros hasta que ellos mismos renuncian al cargo o son sustituidos por las Partes que los hayan nombrado.</w:t>
      </w:r>
    </w:p>
    <w:p w:rsidR="00E255E9" w:rsidRPr="00BC3B2F" w:rsidRDefault="00E255E9" w:rsidP="009F12D2">
      <w:pPr>
        <w:pStyle w:val="ListParagraph"/>
        <w:rPr>
          <w:rFonts w:ascii="Arial" w:hAnsi="Arial" w:cs="Arial"/>
          <w:sz w:val="22"/>
          <w:szCs w:val="22"/>
        </w:rPr>
      </w:pPr>
    </w:p>
    <w:p w:rsidR="00E255E9" w:rsidRPr="00BC3B2F" w:rsidRDefault="00E255E9" w:rsidP="00CE0545">
      <w:pPr>
        <w:numPr>
          <w:ilvl w:val="0"/>
          <w:numId w:val="2"/>
        </w:numPr>
        <w:contextualSpacing/>
        <w:jc w:val="both"/>
        <w:rPr>
          <w:rFonts w:ascii="Arial" w:hAnsi="Arial" w:cs="Arial"/>
          <w:sz w:val="22"/>
          <w:szCs w:val="22"/>
        </w:rPr>
      </w:pPr>
      <w:r w:rsidRPr="00BC3B2F">
        <w:rPr>
          <w:rFonts w:ascii="Arial" w:hAnsi="Arial"/>
          <w:color w:val="000000"/>
          <w:sz w:val="22"/>
        </w:rPr>
        <w:t>Los miembros del Comité del período de sesiones serán nombrados normalmente para un período mínimo de dos trienios. Cada reunión ordinaria</w:t>
      </w:r>
      <w:r w:rsidR="004C0132" w:rsidRPr="00BC3B2F">
        <w:rPr>
          <w:rFonts w:ascii="Arial" w:hAnsi="Arial"/>
          <w:color w:val="000000"/>
          <w:sz w:val="22"/>
        </w:rPr>
        <w:t xml:space="preserve"> </w:t>
      </w:r>
      <w:r w:rsidRPr="00BC3B2F">
        <w:rPr>
          <w:rFonts w:ascii="Arial" w:hAnsi="Arial"/>
          <w:color w:val="000000"/>
          <w:sz w:val="22"/>
        </w:rPr>
        <w:t>de la Conferencia de las Partes, a partir de la 12ª reunión (COP12), deberá decidir sobre la renovación de la mitad de los miembros del Comité del período de sesiones.</w:t>
      </w:r>
      <w:r w:rsidRPr="00BC3B2F">
        <w:rPr>
          <w:rFonts w:ascii="Arial" w:hAnsi="Arial"/>
          <w:sz w:val="22"/>
        </w:rPr>
        <w:t xml:space="preserve"> </w:t>
      </w:r>
      <w:r w:rsidRPr="00BC3B2F">
        <w:rPr>
          <w:rFonts w:ascii="Arial" w:hAnsi="Arial"/>
          <w:color w:val="000000"/>
          <w:sz w:val="22"/>
        </w:rPr>
        <w:t xml:space="preserve">Como medida transitoria, </w:t>
      </w:r>
      <w:r w:rsidRPr="00BC3B2F">
        <w:rPr>
          <w:rFonts w:ascii="Arial" w:hAnsi="Arial"/>
          <w:sz w:val="22"/>
        </w:rPr>
        <w:t>la mitad de los primeros miembros designados serán nombrados para un solo trienio.</w:t>
      </w:r>
    </w:p>
    <w:p w:rsidR="00E255E9" w:rsidRPr="00BC3B2F" w:rsidRDefault="00E255E9" w:rsidP="00CE0545">
      <w:pPr>
        <w:pStyle w:val="ListParagraph"/>
        <w:ind w:left="0"/>
        <w:rPr>
          <w:rFonts w:ascii="Arial" w:hAnsi="Arial" w:cs="Arial"/>
          <w:sz w:val="22"/>
          <w:szCs w:val="22"/>
        </w:rPr>
      </w:pPr>
    </w:p>
    <w:p w:rsidR="00E255E9" w:rsidRPr="00BC3B2F" w:rsidRDefault="00E255E9" w:rsidP="00CE0545">
      <w:pPr>
        <w:pStyle w:val="ListParagraph"/>
        <w:ind w:left="0"/>
        <w:jc w:val="both"/>
        <w:rPr>
          <w:rFonts w:ascii="Arial" w:hAnsi="Arial" w:cs="Arial"/>
          <w:sz w:val="22"/>
          <w:szCs w:val="22"/>
          <w:u w:val="single"/>
        </w:rPr>
      </w:pPr>
      <w:r w:rsidRPr="00BC3B2F">
        <w:rPr>
          <w:rFonts w:ascii="Arial" w:hAnsi="Arial"/>
          <w:sz w:val="22"/>
          <w:u w:val="single"/>
        </w:rPr>
        <w:t>Determinación de un proceso para la selección de los miembros del Comité del período de sesiones del Consejo Científico</w:t>
      </w:r>
    </w:p>
    <w:p w:rsidR="00E255E9" w:rsidRPr="00BC3B2F" w:rsidRDefault="00E255E9" w:rsidP="00CE0545">
      <w:pPr>
        <w:pStyle w:val="ListParagraph"/>
        <w:ind w:left="0"/>
        <w:rPr>
          <w:rFonts w:ascii="Arial" w:hAnsi="Arial" w:cs="Arial"/>
          <w:sz w:val="22"/>
          <w:szCs w:val="22"/>
        </w:rPr>
      </w:pPr>
    </w:p>
    <w:p w:rsidR="00E255E9" w:rsidRPr="00BC3B2F" w:rsidRDefault="00E255E9" w:rsidP="00B70C37">
      <w:pPr>
        <w:numPr>
          <w:ilvl w:val="0"/>
          <w:numId w:val="2"/>
        </w:numPr>
        <w:contextualSpacing/>
        <w:jc w:val="both"/>
        <w:rPr>
          <w:rFonts w:ascii="Arial" w:hAnsi="Arial" w:cs="Arial"/>
          <w:sz w:val="22"/>
          <w:szCs w:val="22"/>
        </w:rPr>
      </w:pPr>
      <w:r w:rsidRPr="00BC3B2F">
        <w:rPr>
          <w:rFonts w:ascii="Arial" w:hAnsi="Arial"/>
          <w:sz w:val="22"/>
        </w:rPr>
        <w:t>En la Resolución 11.4 se solicita a la Secretaría que proporcione un proceso de consulta a fin de elaborar, en consulta con el Comité Permanente, recomendaciones a la Conferencia de las Partes sobre la composición del Comité del período de sesiones.</w:t>
      </w:r>
    </w:p>
    <w:p w:rsidR="00E255E9" w:rsidRPr="00BC3B2F" w:rsidRDefault="00E255E9" w:rsidP="00A62BBE">
      <w:pPr>
        <w:ind w:left="360"/>
        <w:contextualSpacing/>
        <w:jc w:val="both"/>
        <w:rPr>
          <w:rFonts w:ascii="Arial" w:hAnsi="Arial" w:cs="Arial"/>
          <w:sz w:val="22"/>
          <w:szCs w:val="22"/>
        </w:rPr>
      </w:pPr>
    </w:p>
    <w:p w:rsidR="00E255E9" w:rsidRPr="00BC3B2F" w:rsidRDefault="00E255E9" w:rsidP="00A62BBE">
      <w:pPr>
        <w:widowControl/>
        <w:numPr>
          <w:ilvl w:val="0"/>
          <w:numId w:val="2"/>
        </w:numPr>
        <w:autoSpaceDE/>
        <w:autoSpaceDN/>
        <w:adjustRightInd/>
        <w:contextualSpacing/>
        <w:jc w:val="both"/>
        <w:rPr>
          <w:rFonts w:ascii="Arial" w:hAnsi="Arial" w:cs="Arial"/>
          <w:sz w:val="22"/>
          <w:szCs w:val="22"/>
        </w:rPr>
      </w:pPr>
      <w:r w:rsidRPr="00BC3B2F">
        <w:rPr>
          <w:rFonts w:ascii="Arial" w:hAnsi="Arial"/>
          <w:sz w:val="22"/>
        </w:rPr>
        <w:t xml:space="preserve">Al examinar un posible proceso de consulta que diera lugar a recomendaciones a la 12ª reunión de la Conferencia de las Partes (COP12) sobre la composición del Comité del período de sesiones para el siguiente período entre reuniones, la Secretaría identificó varias opciones, sobre todo para la designación y selección de miembros designados por </w:t>
      </w:r>
      <w:r w:rsidRPr="00BC3B2F">
        <w:rPr>
          <w:rFonts w:ascii="Arial" w:hAnsi="Arial"/>
          <w:sz w:val="22"/>
        </w:rPr>
        <w:lastRenderedPageBreak/>
        <w:t>las Partes, seleccionados a nivel regional, con diferentes consecuencias, y solicitó el asesoramiento y la orientación del Comité Permanente en su 44ª reunión (documento</w:t>
      </w:r>
      <w:r w:rsidRPr="00BC3B2F">
        <w:t xml:space="preserve"> </w:t>
      </w:r>
      <w:hyperlink r:id="rId14">
        <w:r w:rsidRPr="00BC3B2F">
          <w:rPr>
            <w:rStyle w:val="Hyperlink"/>
            <w:rFonts w:ascii="Arial" w:hAnsi="Arial"/>
            <w:sz w:val="22"/>
          </w:rPr>
          <w:t>UNEP/CMS/StC44/14</w:t>
        </w:r>
      </w:hyperlink>
      <w:r w:rsidRPr="00BC3B2F">
        <w:t>).</w:t>
      </w:r>
    </w:p>
    <w:p w:rsidR="00E255E9" w:rsidRPr="00BC3B2F" w:rsidRDefault="00E255E9" w:rsidP="00A62BBE">
      <w:pPr>
        <w:contextualSpacing/>
        <w:jc w:val="both"/>
        <w:rPr>
          <w:rFonts w:ascii="Arial" w:hAnsi="Arial" w:cs="Arial"/>
          <w:sz w:val="22"/>
          <w:szCs w:val="22"/>
        </w:rPr>
      </w:pPr>
    </w:p>
    <w:p w:rsidR="00E255E9" w:rsidRPr="00BC3B2F" w:rsidRDefault="00FE141F" w:rsidP="00A62BBE">
      <w:pPr>
        <w:widowControl/>
        <w:numPr>
          <w:ilvl w:val="0"/>
          <w:numId w:val="2"/>
        </w:numPr>
        <w:autoSpaceDE/>
        <w:autoSpaceDN/>
        <w:adjustRightInd/>
        <w:contextualSpacing/>
        <w:jc w:val="both"/>
        <w:rPr>
          <w:rFonts w:ascii="Arial" w:hAnsi="Arial" w:cs="Arial"/>
          <w:sz w:val="22"/>
          <w:szCs w:val="22"/>
        </w:rPr>
      </w:pPr>
      <w:r w:rsidRPr="00BC3B2F">
        <w:rPr>
          <w:rFonts w:ascii="Arial" w:hAnsi="Arial"/>
          <w:sz w:val="22"/>
        </w:rPr>
        <w:t>De los debates</w:t>
      </w:r>
      <w:r w:rsidR="00E255E9" w:rsidRPr="00BC3B2F">
        <w:rPr>
          <w:rFonts w:ascii="Arial" w:hAnsi="Arial"/>
          <w:sz w:val="22"/>
        </w:rPr>
        <w:t xml:space="preserve"> en la </w:t>
      </w:r>
      <w:r w:rsidR="00AC296B">
        <w:rPr>
          <w:rFonts w:ascii="Arial" w:hAnsi="Arial"/>
          <w:sz w:val="22"/>
        </w:rPr>
        <w:t xml:space="preserve">reunión del </w:t>
      </w:r>
      <w:r w:rsidR="00E255E9" w:rsidRPr="00BC3B2F">
        <w:rPr>
          <w:rFonts w:ascii="Arial" w:hAnsi="Arial"/>
          <w:sz w:val="22"/>
        </w:rPr>
        <w:t xml:space="preserve">StC44 </w:t>
      </w:r>
      <w:r w:rsidRPr="00BC3B2F">
        <w:rPr>
          <w:rFonts w:ascii="Arial" w:hAnsi="Arial"/>
          <w:sz w:val="22"/>
        </w:rPr>
        <w:t>surgió</w:t>
      </w:r>
      <w:r w:rsidR="00E255E9" w:rsidRPr="00BC3B2F">
        <w:rPr>
          <w:rFonts w:ascii="Arial" w:hAnsi="Arial"/>
          <w:sz w:val="22"/>
        </w:rPr>
        <w:t xml:space="preserve"> un amplio consenso </w:t>
      </w:r>
      <w:r w:rsidR="002467F7" w:rsidRPr="00BC3B2F">
        <w:rPr>
          <w:rFonts w:ascii="Arial" w:hAnsi="Arial"/>
          <w:sz w:val="22"/>
        </w:rPr>
        <w:t>sobre</w:t>
      </w:r>
      <w:r w:rsidR="00E255E9" w:rsidRPr="00BC3B2F">
        <w:rPr>
          <w:rFonts w:ascii="Arial" w:hAnsi="Arial"/>
          <w:sz w:val="22"/>
        </w:rPr>
        <w:t xml:space="preserve"> una opción que prevé la identificación de candidatos para miembros designados por las Partes en las regiones a través de un proceso de consulta entre las Partes de las regiones, coordinado por los miembros pertinentes del Comité Permanente, y la presentación de recomendaciones concretas a la COP sobre los candidatos que habrán de ser nombrados, formuladas en consulta entre la Secretaría y el Comité Permanente. Podrá encontrarse información más detallada en los párrafos 112-122 del </w:t>
      </w:r>
      <w:hyperlink r:id="rId15">
        <w:r w:rsidR="00E255E9" w:rsidRPr="00BC3B2F">
          <w:rPr>
            <w:rStyle w:val="Hyperlink"/>
            <w:rFonts w:ascii="Arial" w:hAnsi="Arial"/>
            <w:sz w:val="22"/>
          </w:rPr>
          <w:t>informe de la StC44</w:t>
        </w:r>
      </w:hyperlink>
      <w:r w:rsidR="00E255E9" w:rsidRPr="00BC3B2F">
        <w:t>.</w:t>
      </w:r>
    </w:p>
    <w:p w:rsidR="00E255E9" w:rsidRPr="00BC3B2F" w:rsidRDefault="00E255E9" w:rsidP="00A62BBE">
      <w:pPr>
        <w:pStyle w:val="ListParagraph"/>
        <w:rPr>
          <w:rFonts w:ascii="Arial" w:hAnsi="Arial" w:cs="Arial"/>
          <w:sz w:val="22"/>
          <w:szCs w:val="22"/>
        </w:rPr>
      </w:pPr>
    </w:p>
    <w:p w:rsidR="00E255E9" w:rsidRPr="00BC3B2F" w:rsidRDefault="00E255E9" w:rsidP="00A62BBE">
      <w:pPr>
        <w:widowControl/>
        <w:numPr>
          <w:ilvl w:val="0"/>
          <w:numId w:val="2"/>
        </w:numPr>
        <w:autoSpaceDE/>
        <w:autoSpaceDN/>
        <w:adjustRightInd/>
        <w:contextualSpacing/>
        <w:jc w:val="both"/>
        <w:rPr>
          <w:rFonts w:ascii="Arial" w:hAnsi="Arial" w:cs="Arial"/>
          <w:sz w:val="22"/>
          <w:szCs w:val="22"/>
        </w:rPr>
      </w:pPr>
      <w:r w:rsidRPr="00BC3B2F">
        <w:rPr>
          <w:rFonts w:ascii="Arial" w:hAnsi="Arial"/>
          <w:sz w:val="22"/>
        </w:rPr>
        <w:t>Los resultados de las deliberaciones de la StC44 se remitieron a la 1ª reunión del Comité del período de sesiones (S</w:t>
      </w:r>
      <w:r w:rsidR="002467F7" w:rsidRPr="00BC3B2F">
        <w:rPr>
          <w:rFonts w:ascii="Arial" w:hAnsi="Arial"/>
          <w:sz w:val="22"/>
        </w:rPr>
        <w:t>c</w:t>
      </w:r>
      <w:r w:rsidRPr="00BC3B2F">
        <w:rPr>
          <w:rFonts w:ascii="Arial" w:hAnsi="Arial"/>
          <w:sz w:val="22"/>
        </w:rPr>
        <w:t xml:space="preserve">C-SC1, Bonn, 18-21 de abril de 2016).  En el debate correspondiente que tuvo lugar en la reunión se plantearon cuestiones acerca de la prevista renovación de la mitad de los miembros del Comité del período de sesiones por la COP 12, en particular si la renovación prevista debería referirse únicamente a los miembros designados por las Partes o también a los miembros designados por la COP.  Se señalaron también posibles dificultades en la renovación de miembros, ya que hay un número impar de representantes regionales (15) con tres miembros de cada una de las cinco regiones. Se examinó asimismo la utilidad de identificar miembros suplentes para sustituir a los candidatos titulares en el caso de que tuvieran que dimitir o no pudieran asistir a una determinada reunión. </w:t>
      </w:r>
    </w:p>
    <w:p w:rsidR="00E255E9" w:rsidRPr="00BC3B2F" w:rsidRDefault="00E255E9" w:rsidP="00A62BBE">
      <w:pPr>
        <w:pStyle w:val="ListParagraph"/>
        <w:rPr>
          <w:rFonts w:ascii="Arial" w:hAnsi="Arial" w:cs="Arial"/>
          <w:sz w:val="22"/>
          <w:szCs w:val="22"/>
        </w:rPr>
      </w:pPr>
    </w:p>
    <w:p w:rsidR="00E255E9" w:rsidRPr="00BC3B2F" w:rsidRDefault="00E255E9" w:rsidP="00A62BBE">
      <w:pPr>
        <w:widowControl/>
        <w:numPr>
          <w:ilvl w:val="0"/>
          <w:numId w:val="2"/>
        </w:numPr>
        <w:autoSpaceDE/>
        <w:autoSpaceDN/>
        <w:adjustRightInd/>
        <w:contextualSpacing/>
        <w:jc w:val="both"/>
        <w:rPr>
          <w:rFonts w:ascii="Arial" w:hAnsi="Arial" w:cs="Arial"/>
          <w:sz w:val="22"/>
          <w:szCs w:val="22"/>
        </w:rPr>
      </w:pPr>
      <w:r w:rsidRPr="00BC3B2F">
        <w:rPr>
          <w:rFonts w:ascii="Arial" w:hAnsi="Arial"/>
          <w:sz w:val="22"/>
        </w:rPr>
        <w:t xml:space="preserve">Sobre la base de los debates sostenidos en la ScC-SC1, la Secretaría solicitó el asesoramiento del Comité Permanente en su 45ª reunión, en relación con las cuestiones mencionadas anteriormente (documento </w:t>
      </w:r>
      <w:hyperlink r:id="rId16">
        <w:r w:rsidRPr="00BC3B2F">
          <w:rPr>
            <w:rStyle w:val="Hyperlink"/>
            <w:rFonts w:ascii="Arial" w:hAnsi="Arial"/>
            <w:sz w:val="22"/>
          </w:rPr>
          <w:t>UNEP/CMS/StC45/Doc.13.1</w:t>
        </w:r>
      </w:hyperlink>
      <w:r w:rsidRPr="00BC3B2F">
        <w:t>).</w:t>
      </w:r>
      <w:r w:rsidRPr="00BC3B2F">
        <w:rPr>
          <w:rFonts w:ascii="Arial" w:hAnsi="Arial"/>
          <w:sz w:val="22"/>
        </w:rPr>
        <w:t xml:space="preserve"> </w:t>
      </w:r>
    </w:p>
    <w:p w:rsidR="00E255E9" w:rsidRPr="00BC3B2F" w:rsidRDefault="00E255E9" w:rsidP="00A62BBE">
      <w:pPr>
        <w:contextualSpacing/>
        <w:jc w:val="both"/>
      </w:pPr>
    </w:p>
    <w:p w:rsidR="00E255E9" w:rsidRPr="00BC3B2F" w:rsidRDefault="00E255E9" w:rsidP="00A62BBE">
      <w:pPr>
        <w:widowControl/>
        <w:numPr>
          <w:ilvl w:val="0"/>
          <w:numId w:val="2"/>
        </w:numPr>
        <w:autoSpaceDE/>
        <w:autoSpaceDN/>
        <w:adjustRightInd/>
        <w:contextualSpacing/>
        <w:jc w:val="both"/>
        <w:rPr>
          <w:rFonts w:ascii="Arial" w:hAnsi="Arial" w:cs="Arial"/>
          <w:sz w:val="22"/>
          <w:szCs w:val="22"/>
        </w:rPr>
      </w:pPr>
      <w:r w:rsidRPr="00BC3B2F">
        <w:rPr>
          <w:rFonts w:ascii="Arial" w:hAnsi="Arial"/>
          <w:sz w:val="22"/>
        </w:rPr>
        <w:t xml:space="preserve">Invitado a expresar una posición sobre si la renovación del 50% de los miembros del Comité del período de sesiones debería aplicarse también a los miembros designados por la COP, el Comité Permanente, tras examinar la cuestión, acordó que los Consejeros designados por la COP estaban exentos de la disposición de rotación, al menos para el nombramiento del Comité del período de sesiones para el trienio 2018-2020. Se solicita a la COP12 que confirme si esta interpretación seguirá siendo aplicable también para los ciclos subsiguientes. Todos los Consejeros designados por la COP para el actual período </w:t>
      </w:r>
      <w:proofErr w:type="spellStart"/>
      <w:r w:rsidRPr="00BC3B2F">
        <w:rPr>
          <w:rFonts w:ascii="Arial" w:hAnsi="Arial"/>
          <w:sz w:val="22"/>
        </w:rPr>
        <w:t>intersesional</w:t>
      </w:r>
      <w:proofErr w:type="spellEnd"/>
      <w:r w:rsidRPr="00BC3B2F">
        <w:rPr>
          <w:rFonts w:ascii="Arial" w:hAnsi="Arial"/>
          <w:sz w:val="22"/>
        </w:rPr>
        <w:t xml:space="preserve"> han confirmado su disponibilidad para prestar servicio en el próximo período, si la Conferencia de las Partes así lo deseara.</w:t>
      </w:r>
    </w:p>
    <w:p w:rsidR="00E255E9" w:rsidRPr="00BC3B2F" w:rsidRDefault="00E255E9" w:rsidP="00A62BBE">
      <w:pPr>
        <w:pStyle w:val="ListParagraph"/>
        <w:rPr>
          <w:rFonts w:ascii="Arial" w:hAnsi="Arial" w:cs="Arial"/>
          <w:sz w:val="22"/>
          <w:szCs w:val="22"/>
        </w:rPr>
      </w:pPr>
    </w:p>
    <w:p w:rsidR="00E255E9" w:rsidRPr="00BC3B2F" w:rsidRDefault="00E255E9" w:rsidP="00A62BBE">
      <w:pPr>
        <w:widowControl/>
        <w:numPr>
          <w:ilvl w:val="0"/>
          <w:numId w:val="2"/>
        </w:numPr>
        <w:autoSpaceDE/>
        <w:autoSpaceDN/>
        <w:adjustRightInd/>
        <w:contextualSpacing/>
        <w:jc w:val="both"/>
        <w:rPr>
          <w:rFonts w:ascii="Arial" w:hAnsi="Arial" w:cs="Arial"/>
          <w:sz w:val="22"/>
          <w:szCs w:val="22"/>
        </w:rPr>
      </w:pPr>
      <w:r w:rsidRPr="00BC3B2F">
        <w:rPr>
          <w:rFonts w:ascii="Arial" w:hAnsi="Arial"/>
          <w:sz w:val="22"/>
        </w:rPr>
        <w:t xml:space="preserve">Sobre la cuestión de la renovación de los miembros del Comité del período de sesiones designados por las Partes la Secretaría solicitó al Comité Permanente que adoptara una decisión sobre el número de miembros de cada región que han de ser sustituidos, antes de proceder a las consultas regionales. </w:t>
      </w:r>
      <w:r w:rsidRPr="00BC3B2F">
        <w:rPr>
          <w:rFonts w:ascii="Arial" w:hAnsi="Arial"/>
          <w:sz w:val="21"/>
        </w:rPr>
        <w:t xml:space="preserve">Sobre la base de una consulta con los actuales miembros para verificar quién deseaba y estaba dispuesto a seguir prestando servicio, y sobre </w:t>
      </w:r>
      <w:r w:rsidR="002467F7" w:rsidRPr="00BC3B2F">
        <w:rPr>
          <w:rFonts w:ascii="Arial" w:hAnsi="Arial"/>
          <w:sz w:val="21"/>
        </w:rPr>
        <w:t xml:space="preserve">la base de </w:t>
      </w:r>
      <w:r w:rsidRPr="00BC3B2F">
        <w:rPr>
          <w:rFonts w:ascii="Arial" w:hAnsi="Arial"/>
          <w:sz w:val="21"/>
        </w:rPr>
        <w:t xml:space="preserve">los puestos vacantes, el Comité Permanente convino en que fueran dos las regiones (Asia y América Central y del Sur y el Caribe), a las que debía pedirse que eligieran dos miembros cada una para la rotación en la COP12, mientras que las restantes regiones (Europa, África y Oceanía) deberían sustituir sólo un miembro cada una. </w:t>
      </w:r>
      <w:r w:rsidRPr="00BC3B2F">
        <w:rPr>
          <w:rFonts w:ascii="Arial" w:hAnsi="Arial"/>
          <w:sz w:val="22"/>
        </w:rPr>
        <w:t xml:space="preserve">  </w:t>
      </w:r>
    </w:p>
    <w:p w:rsidR="00E255E9" w:rsidRPr="00BC3B2F" w:rsidRDefault="00E255E9" w:rsidP="00AD2D20">
      <w:pPr>
        <w:pStyle w:val="ListParagraph"/>
        <w:rPr>
          <w:rFonts w:ascii="Arial" w:hAnsi="Arial" w:cs="Arial"/>
          <w:sz w:val="22"/>
          <w:szCs w:val="22"/>
        </w:rPr>
      </w:pPr>
    </w:p>
    <w:p w:rsidR="00E255E9" w:rsidRPr="00BC3B2F" w:rsidRDefault="00E255E9" w:rsidP="00435652">
      <w:pPr>
        <w:widowControl/>
        <w:numPr>
          <w:ilvl w:val="0"/>
          <w:numId w:val="2"/>
        </w:numPr>
        <w:autoSpaceDE/>
        <w:autoSpaceDN/>
        <w:adjustRightInd/>
        <w:contextualSpacing/>
        <w:jc w:val="both"/>
        <w:rPr>
          <w:rFonts w:ascii="Arial" w:hAnsi="Arial" w:cs="Arial"/>
          <w:sz w:val="22"/>
          <w:szCs w:val="22"/>
        </w:rPr>
      </w:pPr>
      <w:r w:rsidRPr="00BC3B2F">
        <w:rPr>
          <w:rFonts w:ascii="Arial" w:hAnsi="Arial"/>
          <w:sz w:val="22"/>
        </w:rPr>
        <w:t>Sobre la cuestión de la designación de miembros suplentes, el Comité Permanente apoyó en general la posibilidad de determinar miembros suplentes para las regiones, pero en el entendimiento de que la disposición no fuera obligatoria. Se invita a la COP12 a que examine esta posibilidad y confirme su conformidad al respecto.</w:t>
      </w:r>
      <w:r w:rsidRPr="00BC3B2F">
        <w:t xml:space="preserve">  </w:t>
      </w:r>
      <w:r w:rsidRPr="00BC3B2F">
        <w:rPr>
          <w:rFonts w:ascii="Arial" w:hAnsi="Arial"/>
          <w:sz w:val="22"/>
        </w:rPr>
        <w:t xml:space="preserve">En caso de aceptación, el nombramiento de miembros suplentes podría reflejarse en </w:t>
      </w:r>
      <w:r w:rsidR="002467F7" w:rsidRPr="00BC3B2F">
        <w:rPr>
          <w:rFonts w:ascii="Arial" w:hAnsi="Arial"/>
          <w:sz w:val="22"/>
        </w:rPr>
        <w:t>los</w:t>
      </w:r>
      <w:r w:rsidR="002467F7" w:rsidRPr="00BC3B2F">
        <w:rPr>
          <w:rFonts w:ascii="Arial" w:hAnsi="Arial"/>
          <w:sz w:val="22"/>
          <w:u w:val="single"/>
        </w:rPr>
        <w:t xml:space="preserve"> Términos de Referencia</w:t>
      </w:r>
      <w:r w:rsidRPr="00BC3B2F">
        <w:rPr>
          <w:rFonts w:ascii="Arial" w:hAnsi="Arial"/>
          <w:sz w:val="22"/>
        </w:rPr>
        <w:t xml:space="preserve"> y/o </w:t>
      </w:r>
      <w:r w:rsidR="002467F7" w:rsidRPr="00BC3B2F">
        <w:rPr>
          <w:rFonts w:ascii="Arial" w:hAnsi="Arial"/>
          <w:sz w:val="22"/>
          <w:u w:val="single"/>
        </w:rPr>
        <w:t>las Reglas de Procedimiento</w:t>
      </w:r>
      <w:r w:rsidRPr="00BC3B2F">
        <w:rPr>
          <w:rFonts w:ascii="Arial" w:hAnsi="Arial"/>
          <w:sz w:val="22"/>
        </w:rPr>
        <w:t xml:space="preserve"> del Consejo Científico, según proceda (véase también el documento UNEP/CMS/COP12/Doc.16.2).</w:t>
      </w:r>
    </w:p>
    <w:p w:rsidR="00E255E9" w:rsidRPr="00BC3B2F" w:rsidRDefault="00E255E9" w:rsidP="00AD2D20">
      <w:pPr>
        <w:widowControl/>
        <w:autoSpaceDE/>
        <w:autoSpaceDN/>
        <w:adjustRightInd/>
        <w:contextualSpacing/>
        <w:jc w:val="both"/>
        <w:rPr>
          <w:rFonts w:ascii="Arial" w:hAnsi="Arial" w:cs="Arial"/>
          <w:sz w:val="22"/>
          <w:szCs w:val="22"/>
        </w:rPr>
      </w:pPr>
    </w:p>
    <w:p w:rsidR="00E255E9" w:rsidRPr="00BC3B2F" w:rsidRDefault="00E255E9" w:rsidP="00AD2D20">
      <w:pPr>
        <w:widowControl/>
        <w:numPr>
          <w:ilvl w:val="0"/>
          <w:numId w:val="2"/>
        </w:numPr>
        <w:autoSpaceDE/>
        <w:autoSpaceDN/>
        <w:adjustRightInd/>
        <w:contextualSpacing/>
        <w:jc w:val="both"/>
        <w:rPr>
          <w:rFonts w:ascii="Arial" w:hAnsi="Arial" w:cs="Arial"/>
          <w:sz w:val="22"/>
          <w:szCs w:val="22"/>
        </w:rPr>
      </w:pPr>
      <w:r w:rsidRPr="00BC3B2F">
        <w:rPr>
          <w:rFonts w:ascii="Arial" w:hAnsi="Arial"/>
          <w:sz w:val="22"/>
        </w:rPr>
        <w:t>La posibilidad de disponer de un</w:t>
      </w:r>
      <w:r w:rsidR="00926A33" w:rsidRPr="00BC3B2F">
        <w:rPr>
          <w:rFonts w:ascii="Arial" w:hAnsi="Arial"/>
          <w:sz w:val="22"/>
        </w:rPr>
        <w:t xml:space="preserve"> miembro de respaldo</w:t>
      </w:r>
      <w:r w:rsidRPr="00BC3B2F">
        <w:rPr>
          <w:rFonts w:ascii="Arial" w:hAnsi="Arial"/>
          <w:sz w:val="22"/>
        </w:rPr>
        <w:t xml:space="preserve"> de los miembros regionales parece ser particularmente útil en el caso de un miembro regional que dimite del Comité del </w:t>
      </w:r>
      <w:r w:rsidRPr="00BC3B2F">
        <w:rPr>
          <w:rFonts w:ascii="Arial" w:hAnsi="Arial"/>
          <w:sz w:val="22"/>
        </w:rPr>
        <w:lastRenderedPageBreak/>
        <w:t xml:space="preserve">período de sesiones en el transcurso de su </w:t>
      </w:r>
      <w:r w:rsidR="00926A33" w:rsidRPr="00BC3B2F">
        <w:rPr>
          <w:rFonts w:ascii="Arial" w:hAnsi="Arial"/>
          <w:sz w:val="22"/>
        </w:rPr>
        <w:t>m</w:t>
      </w:r>
      <w:r w:rsidRPr="00BC3B2F">
        <w:rPr>
          <w:rFonts w:ascii="Arial" w:hAnsi="Arial"/>
          <w:sz w:val="22"/>
        </w:rPr>
        <w:t>andato, debido a que</w:t>
      </w:r>
      <w:r w:rsidR="00926A33" w:rsidRPr="00BC3B2F">
        <w:t xml:space="preserve">, </w:t>
      </w:r>
      <w:r w:rsidR="00926A33" w:rsidRPr="00BC3B2F">
        <w:rPr>
          <w:rFonts w:ascii="Arial" w:hAnsi="Arial" w:cs="Arial"/>
          <w:sz w:val="22"/>
          <w:szCs w:val="22"/>
        </w:rPr>
        <w:t>considerando la modalidad de designación y nombramiento de los miembros, resulta impracticable el nombramiento de miembros entre reuniones</w:t>
      </w:r>
      <w:r w:rsidRPr="00BC3B2F">
        <w:rPr>
          <w:rFonts w:ascii="Arial" w:hAnsi="Arial"/>
          <w:sz w:val="22"/>
        </w:rPr>
        <w:t>. Además, los miembros suplentes, aunque no tengan que sustituir a los miembros ordinarios permanentemente, podrían obtener una cierta exposición a la labor del Comité del período de sesiones, lo que constituiría una calificación para su posible consideración como candidatos para la función de miembros ordinarios en el momento de la renovación de la composición del Comité.  Podrían identificarse miembros suplentes en el número de uno o dos por cada región, al mismo tiempo que el nombramiento de los miembros ordinarios.</w:t>
      </w:r>
    </w:p>
    <w:p w:rsidR="00E255E9" w:rsidRPr="00BC3B2F" w:rsidRDefault="00E255E9" w:rsidP="00500FBE">
      <w:pPr>
        <w:ind w:left="360"/>
        <w:contextualSpacing/>
        <w:jc w:val="both"/>
        <w:rPr>
          <w:rFonts w:ascii="Arial" w:hAnsi="Arial" w:cs="Arial"/>
          <w:sz w:val="22"/>
          <w:szCs w:val="22"/>
        </w:rPr>
      </w:pPr>
    </w:p>
    <w:p w:rsidR="00E255E9" w:rsidRPr="00BC3B2F" w:rsidRDefault="00E255E9" w:rsidP="00051417">
      <w:pPr>
        <w:contextualSpacing/>
        <w:jc w:val="both"/>
        <w:rPr>
          <w:rFonts w:ascii="Arial" w:hAnsi="Arial" w:cs="Arial"/>
          <w:sz w:val="22"/>
          <w:szCs w:val="22"/>
          <w:u w:val="single"/>
        </w:rPr>
      </w:pPr>
      <w:r w:rsidRPr="00BC3B2F">
        <w:rPr>
          <w:rFonts w:ascii="Arial" w:hAnsi="Arial"/>
          <w:sz w:val="22"/>
          <w:u w:val="single"/>
        </w:rPr>
        <w:t>Nombramiento del Comité del período de sesiones del Consejo Científico para el periodo comprendido entre la COP12 y la COP13</w:t>
      </w:r>
    </w:p>
    <w:p w:rsidR="00E255E9" w:rsidRPr="00BC3B2F" w:rsidRDefault="00E255E9" w:rsidP="00051417">
      <w:pPr>
        <w:contextualSpacing/>
        <w:jc w:val="both"/>
        <w:rPr>
          <w:rFonts w:ascii="Arial" w:hAnsi="Arial" w:cs="Arial"/>
          <w:sz w:val="22"/>
          <w:szCs w:val="22"/>
          <w:u w:val="single"/>
        </w:rPr>
      </w:pPr>
    </w:p>
    <w:p w:rsidR="00E255E9" w:rsidRPr="00BC3B2F" w:rsidRDefault="00E255E9" w:rsidP="005D026E">
      <w:pPr>
        <w:numPr>
          <w:ilvl w:val="0"/>
          <w:numId w:val="2"/>
        </w:numPr>
        <w:contextualSpacing/>
        <w:jc w:val="both"/>
        <w:rPr>
          <w:rFonts w:ascii="Arial" w:hAnsi="Arial" w:cs="Arial"/>
          <w:sz w:val="22"/>
          <w:szCs w:val="22"/>
        </w:rPr>
      </w:pPr>
      <w:r w:rsidRPr="00BC3B2F">
        <w:rPr>
          <w:rFonts w:ascii="Arial" w:hAnsi="Arial"/>
          <w:sz w:val="22"/>
        </w:rPr>
        <w:t xml:space="preserve">En el momento de redactar este documento, se recuerda a los miembros regionales del Comité Permanente que realice las consultas necesarias en el ámbito de sus propias regiones para determinar i) cuáles de los actuales miembros del Comité del período de sesiones que representan a su región debían ser sustituidos; ii) los Consejeros designados por las Partes de su región propuestos para sustituirlos; iii) los posibles miembros suplentes para la región, en el caso de que la COP12 confirmara su conformidad con esta disposición. Se espera que las Recomendaciones a la COP sobre la composición del Comité del período de sesiones del Consejo Científico para el periodo </w:t>
      </w:r>
      <w:proofErr w:type="spellStart"/>
      <w:r w:rsidRPr="00BC3B2F">
        <w:rPr>
          <w:rFonts w:ascii="Arial" w:hAnsi="Arial"/>
          <w:sz w:val="22"/>
        </w:rPr>
        <w:t>intersesional</w:t>
      </w:r>
      <w:proofErr w:type="spellEnd"/>
      <w:r w:rsidRPr="00BC3B2F">
        <w:rPr>
          <w:rFonts w:ascii="Arial" w:hAnsi="Arial"/>
          <w:sz w:val="22"/>
        </w:rPr>
        <w:t xml:space="preserve"> comprendido entre la COP12 y la COP13 se concluyan en la 46ª reunión del Comité Permanente (Manila, 22 de octubre de 2017).</w:t>
      </w:r>
    </w:p>
    <w:p w:rsidR="00E255E9" w:rsidRPr="00BC3B2F" w:rsidRDefault="00E255E9" w:rsidP="00051417">
      <w:pPr>
        <w:contextualSpacing/>
        <w:jc w:val="both"/>
        <w:rPr>
          <w:rFonts w:ascii="Arial" w:hAnsi="Arial" w:cs="Arial"/>
          <w:sz w:val="22"/>
          <w:szCs w:val="22"/>
        </w:rPr>
      </w:pPr>
    </w:p>
    <w:p w:rsidR="00E255E9" w:rsidRPr="00BC3B2F" w:rsidRDefault="00E255E9" w:rsidP="007910DD">
      <w:pPr>
        <w:jc w:val="both"/>
        <w:rPr>
          <w:rFonts w:ascii="Arial" w:hAnsi="Arial" w:cs="Arial"/>
          <w:sz w:val="22"/>
          <w:szCs w:val="22"/>
        </w:rPr>
      </w:pPr>
    </w:p>
    <w:p w:rsidR="00E255E9" w:rsidRPr="00BC3B2F" w:rsidRDefault="009E20DA" w:rsidP="007910DD">
      <w:pPr>
        <w:rPr>
          <w:rFonts w:ascii="Arial" w:hAnsi="Arial" w:cs="Arial"/>
          <w:sz w:val="22"/>
          <w:szCs w:val="22"/>
        </w:rPr>
      </w:pPr>
      <w:r w:rsidRPr="00BC3B2F">
        <w:rPr>
          <w:rFonts w:ascii="Arial" w:hAnsi="Arial"/>
          <w:sz w:val="22"/>
          <w:u w:val="single"/>
        </w:rPr>
        <w:t>Acciones recomendadas</w:t>
      </w:r>
    </w:p>
    <w:p w:rsidR="00E255E9" w:rsidRPr="00BC3B2F" w:rsidRDefault="00E255E9" w:rsidP="007910DD">
      <w:pPr>
        <w:rPr>
          <w:rFonts w:ascii="Arial" w:hAnsi="Arial" w:cs="Arial"/>
          <w:sz w:val="22"/>
          <w:szCs w:val="22"/>
        </w:rPr>
      </w:pPr>
    </w:p>
    <w:p w:rsidR="00E255E9" w:rsidRPr="00BC3B2F" w:rsidRDefault="00E255E9" w:rsidP="005D026E">
      <w:pPr>
        <w:numPr>
          <w:ilvl w:val="0"/>
          <w:numId w:val="2"/>
        </w:numPr>
        <w:jc w:val="both"/>
        <w:rPr>
          <w:rFonts w:ascii="Arial" w:hAnsi="Arial" w:cs="Arial"/>
          <w:sz w:val="22"/>
          <w:szCs w:val="22"/>
        </w:rPr>
      </w:pPr>
      <w:r w:rsidRPr="00BC3B2F">
        <w:rPr>
          <w:rFonts w:ascii="Arial" w:hAnsi="Arial"/>
          <w:sz w:val="22"/>
        </w:rPr>
        <w:t>Se recomienda a la Conferencia de las Partes que:</w:t>
      </w:r>
    </w:p>
    <w:p w:rsidR="00E255E9" w:rsidRPr="00BC3B2F" w:rsidRDefault="00E255E9" w:rsidP="007910DD">
      <w:pPr>
        <w:jc w:val="both"/>
        <w:rPr>
          <w:rFonts w:ascii="Arial" w:hAnsi="Arial" w:cs="Arial"/>
          <w:sz w:val="22"/>
          <w:szCs w:val="22"/>
        </w:rPr>
      </w:pPr>
    </w:p>
    <w:p w:rsidR="00E255E9" w:rsidRPr="00BC3B2F" w:rsidRDefault="00E255E9" w:rsidP="005D026E">
      <w:pPr>
        <w:widowControl/>
        <w:numPr>
          <w:ilvl w:val="0"/>
          <w:numId w:val="3"/>
        </w:numPr>
        <w:autoSpaceDE/>
        <w:adjustRightInd/>
        <w:contextualSpacing/>
        <w:jc w:val="both"/>
        <w:rPr>
          <w:rFonts w:ascii="Arial" w:hAnsi="Arial" w:cs="Arial"/>
          <w:sz w:val="22"/>
          <w:szCs w:val="22"/>
        </w:rPr>
      </w:pPr>
      <w:r w:rsidRPr="00BC3B2F">
        <w:rPr>
          <w:rFonts w:ascii="Arial" w:hAnsi="Arial"/>
          <w:sz w:val="22"/>
        </w:rPr>
        <w:t>examine la opción para la designación de miembros suplentes para la composición de miembros regionales del Comité del período de sesiones del Consejo Científico;</w:t>
      </w:r>
    </w:p>
    <w:p w:rsidR="00E255E9" w:rsidRPr="00BC3B2F" w:rsidRDefault="00E255E9" w:rsidP="009F65F0">
      <w:pPr>
        <w:widowControl/>
        <w:autoSpaceDE/>
        <w:adjustRightInd/>
        <w:ind w:left="1440"/>
        <w:contextualSpacing/>
        <w:jc w:val="both"/>
        <w:rPr>
          <w:rFonts w:ascii="Arial" w:hAnsi="Arial" w:cs="Arial"/>
          <w:sz w:val="22"/>
          <w:szCs w:val="22"/>
        </w:rPr>
      </w:pPr>
    </w:p>
    <w:p w:rsidR="00E255E9" w:rsidRPr="00BC3B2F" w:rsidRDefault="00E255E9" w:rsidP="005D026E">
      <w:pPr>
        <w:widowControl/>
        <w:numPr>
          <w:ilvl w:val="0"/>
          <w:numId w:val="3"/>
        </w:numPr>
        <w:autoSpaceDE/>
        <w:adjustRightInd/>
        <w:contextualSpacing/>
        <w:jc w:val="both"/>
        <w:rPr>
          <w:rFonts w:ascii="Arial" w:hAnsi="Arial" w:cs="Arial"/>
          <w:sz w:val="22"/>
          <w:szCs w:val="22"/>
        </w:rPr>
      </w:pPr>
      <w:r w:rsidRPr="00BC3B2F">
        <w:rPr>
          <w:rFonts w:ascii="Arial" w:hAnsi="Arial"/>
          <w:sz w:val="22"/>
        </w:rPr>
        <w:t xml:space="preserve">nombre el Comité del período de sesiones del Consejo Científico para el periodo </w:t>
      </w:r>
      <w:proofErr w:type="spellStart"/>
      <w:r w:rsidRPr="00BC3B2F">
        <w:rPr>
          <w:rFonts w:ascii="Arial" w:hAnsi="Arial"/>
          <w:sz w:val="22"/>
        </w:rPr>
        <w:t>intersesional</w:t>
      </w:r>
      <w:proofErr w:type="spellEnd"/>
      <w:r w:rsidRPr="00BC3B2F">
        <w:rPr>
          <w:rFonts w:ascii="Arial" w:hAnsi="Arial"/>
          <w:sz w:val="22"/>
        </w:rPr>
        <w:t xml:space="preserve"> comprendido entre la COP12 y la COP13, teniendo en cuenta las recomendaciones del Comité Permanente y de la Secretaría</w:t>
      </w:r>
      <w:r w:rsidR="009E20DA" w:rsidRPr="00BC3B2F">
        <w:rPr>
          <w:rFonts w:ascii="Arial" w:hAnsi="Arial"/>
          <w:sz w:val="22"/>
        </w:rPr>
        <w:t>;</w:t>
      </w:r>
    </w:p>
    <w:p w:rsidR="00E255E9" w:rsidRPr="00BC3B2F" w:rsidRDefault="00E255E9" w:rsidP="007910DD">
      <w:pPr>
        <w:widowControl/>
        <w:autoSpaceDE/>
        <w:adjustRightInd/>
        <w:ind w:left="1440"/>
        <w:contextualSpacing/>
        <w:jc w:val="both"/>
        <w:rPr>
          <w:rFonts w:ascii="Arial" w:hAnsi="Arial" w:cs="Arial"/>
          <w:sz w:val="22"/>
          <w:szCs w:val="22"/>
        </w:rPr>
      </w:pPr>
    </w:p>
    <w:p w:rsidR="00E255E9" w:rsidRPr="00BC3B2F" w:rsidRDefault="00E255E9" w:rsidP="00051417">
      <w:pPr>
        <w:widowControl/>
        <w:numPr>
          <w:ilvl w:val="0"/>
          <w:numId w:val="3"/>
        </w:numPr>
        <w:autoSpaceDE/>
        <w:adjustRightInd/>
        <w:contextualSpacing/>
        <w:jc w:val="both"/>
        <w:rPr>
          <w:rFonts w:ascii="Arial" w:hAnsi="Arial" w:cs="Arial"/>
          <w:sz w:val="22"/>
          <w:szCs w:val="22"/>
        </w:rPr>
      </w:pPr>
      <w:r w:rsidRPr="00BC3B2F">
        <w:rPr>
          <w:rFonts w:ascii="Arial" w:hAnsi="Arial"/>
          <w:sz w:val="22"/>
        </w:rPr>
        <w:t xml:space="preserve">proporcione aclaraciones y orientación en relación con la necesidad de renovación de los miembros designados por la COP del Comité del período de sesiones del Consejo Científico. </w:t>
      </w:r>
    </w:p>
    <w:sectPr w:rsidR="00E255E9" w:rsidRPr="00BC3B2F" w:rsidSect="0052082F">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096" w:rsidRDefault="002C4096">
      <w:r>
        <w:separator/>
      </w:r>
    </w:p>
  </w:endnote>
  <w:endnote w:type="continuationSeparator" w:id="0">
    <w:p w:rsidR="002C4096" w:rsidRDefault="002C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E9" w:rsidRPr="00922791" w:rsidRDefault="00E255E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D94CFB">
      <w:rPr>
        <w:rFonts w:ascii="Arial" w:hAnsi="Arial" w:cs="Arial"/>
        <w:noProof/>
        <w:sz w:val="18"/>
        <w:szCs w:val="18"/>
      </w:rPr>
      <w:t>4</w:t>
    </w:r>
    <w:r w:rsidRPr="0092279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E9" w:rsidRPr="00922791" w:rsidRDefault="00E255E9"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D94CFB">
      <w:rPr>
        <w:rFonts w:ascii="Arial" w:hAnsi="Arial" w:cs="Arial"/>
        <w:noProof/>
        <w:sz w:val="18"/>
        <w:szCs w:val="18"/>
      </w:rPr>
      <w:t>3</w:t>
    </w:r>
    <w:r w:rsidRPr="0092279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E9" w:rsidRPr="00CD7355" w:rsidRDefault="00E255E9"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E9" w:rsidRPr="00D605A4" w:rsidRDefault="00E255E9" w:rsidP="00015E07">
    <w:pPr>
      <w:pStyle w:val="Footer"/>
      <w:tabs>
        <w:tab w:val="clear" w:pos="8640"/>
        <w:tab w:val="right" w:pos="9083"/>
      </w:tabs>
      <w:jc w:val="center"/>
      <w:rPr>
        <w:rFonts w:ascii="Arial" w:hAnsi="Arial" w:cs="Arial"/>
        <w:sz w:val="18"/>
        <w:szCs w:val="18"/>
      </w:rPr>
    </w:pPr>
    <w:r>
      <w:tab/>
    </w: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D94CFB">
      <w:rPr>
        <w:rFonts w:ascii="Arial" w:hAnsi="Arial" w:cs="Arial"/>
        <w:noProof/>
        <w:sz w:val="18"/>
        <w:szCs w:val="18"/>
      </w:rPr>
      <w:t>2</w:t>
    </w:r>
    <w:r w:rsidRPr="00D605A4">
      <w:rPr>
        <w:rFonts w:ascii="Arial" w:hAnsi="Arial" w:cs="Arial"/>
        <w:sz w:val="18"/>
        <w:szCs w:val="18"/>
      </w:rPr>
      <w:fldChar w:fldCharType="end"/>
    </w:r>
    <w:r>
      <w:tab/>
    </w:r>
  </w:p>
  <w:p w:rsidR="00E255E9" w:rsidRPr="00D605A4" w:rsidRDefault="00E255E9"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096" w:rsidRDefault="002C4096">
      <w:r>
        <w:separator/>
      </w:r>
    </w:p>
  </w:footnote>
  <w:footnote w:type="continuationSeparator" w:id="0">
    <w:p w:rsidR="002C4096" w:rsidRDefault="002C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E9" w:rsidRPr="00922791" w:rsidRDefault="00E255E9" w:rsidP="00922791">
    <w:pPr>
      <w:pStyle w:val="Heading1"/>
      <w:keepNext w:val="0"/>
      <w:pBdr>
        <w:bottom w:val="single" w:sz="4" w:space="1" w:color="auto"/>
      </w:pBdr>
      <w:tabs>
        <w:tab w:val="clear" w:pos="-720"/>
      </w:tabs>
      <w:ind w:left="261" w:right="-277" w:hanging="261"/>
      <w:rPr>
        <w:rFonts w:ascii="Arial" w:hAnsi="Arial" w:cs="Arial"/>
        <w:b w:val="0"/>
        <w:i/>
        <w:sz w:val="18"/>
        <w:szCs w:val="18"/>
      </w:rPr>
    </w:pPr>
    <w:r>
      <w:rPr>
        <w:rFonts w:ascii="Arial" w:hAnsi="Arial"/>
        <w:b w:val="0"/>
        <w:i/>
        <w:sz w:val="18"/>
      </w:rPr>
      <w:t>UNEP/CMS/COP12/Doc.17.2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E9" w:rsidRPr="00922791" w:rsidRDefault="00E255E9" w:rsidP="00B237D1">
    <w:pPr>
      <w:pStyle w:val="Heading1"/>
      <w:keepNext w:val="0"/>
      <w:pBdr>
        <w:bottom w:val="single" w:sz="4" w:space="1" w:color="auto"/>
      </w:pBdr>
      <w:tabs>
        <w:tab w:val="clear" w:pos="-720"/>
      </w:tabs>
      <w:ind w:left="261" w:right="11" w:hanging="261"/>
      <w:jc w:val="right"/>
      <w:rPr>
        <w:rFonts w:ascii="Arial" w:hAnsi="Arial" w:cs="Arial"/>
        <w:b w:val="0"/>
        <w:i/>
        <w:sz w:val="18"/>
        <w:szCs w:val="18"/>
      </w:rPr>
    </w:pPr>
    <w:r>
      <w:rPr>
        <w:rFonts w:ascii="Arial" w:hAnsi="Arial"/>
        <w:b w:val="0"/>
        <w:i/>
        <w:sz w:val="18"/>
      </w:rPr>
      <w:t>UNEP/CMS/COP12/Doc.17.2</w:t>
    </w:r>
  </w:p>
  <w:p w:rsidR="00E255E9" w:rsidRPr="00354A9C" w:rsidRDefault="00E255E9"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E9" w:rsidRDefault="003354AF" w:rsidP="00894D19">
    <w:pPr>
      <w:pStyle w:val="Header"/>
    </w:pPr>
    <w:r>
      <w:rPr>
        <w:noProof/>
        <w:lang w:val="en-US" w:eastAsia="en-US"/>
      </w:rPr>
      <w:drawing>
        <wp:anchor distT="0" distB="0" distL="114300" distR="114300" simplePos="0" relativeHeight="251659264"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E255E9" w:rsidRDefault="003354AF">
    <w:pPr>
      <w:pStyle w:val="Header"/>
    </w:pPr>
    <w:r>
      <w:rPr>
        <w:noProof/>
        <w:lang w:val="en-US" w:eastAsia="en-US"/>
      </w:rPr>
      <w:drawing>
        <wp:anchor distT="0" distB="0" distL="114300" distR="114300" simplePos="0" relativeHeight="251660288" behindDoc="1" locked="0" layoutInCell="1" allowOverlap="1">
          <wp:simplePos x="0" y="0"/>
          <wp:positionH relativeFrom="column">
            <wp:posOffset>-175260</wp:posOffset>
          </wp:positionH>
          <wp:positionV relativeFrom="paragraph">
            <wp:posOffset>-210820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2" name="Picture 3"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nvironment_Logo_Span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E9" w:rsidRPr="00D605A4" w:rsidRDefault="00E255E9" w:rsidP="00D605A4">
    <w:pPr>
      <w:pStyle w:val="Header"/>
      <w:pBdr>
        <w:bottom w:val="single" w:sz="4" w:space="1" w:color="auto"/>
      </w:pBdr>
      <w:rPr>
        <w:rFonts w:ascii="Arial" w:hAnsi="Arial" w:cs="Arial"/>
        <w:i/>
        <w:sz w:val="18"/>
        <w:szCs w:val="18"/>
      </w:rPr>
    </w:pPr>
    <w:r>
      <w:rPr>
        <w:rFonts w:ascii="Arial" w:hAnsi="Arial"/>
        <w:i/>
        <w:sz w:val="18"/>
      </w:rPr>
      <w:t>UNEP/CMS/COP12/Doc.17.2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27B1C33"/>
    <w:multiLevelType w:val="hybridMultilevel"/>
    <w:tmpl w:val="EAAE938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143652F"/>
    <w:multiLevelType w:val="hybridMultilevel"/>
    <w:tmpl w:val="F3FE06C2"/>
    <w:lvl w:ilvl="0" w:tplc="4C88504A">
      <w:start w:val="1"/>
      <w:numFmt w:val="lowerRoman"/>
      <w:lvlText w:val="(%1)"/>
      <w:lvlJc w:val="left"/>
      <w:pPr>
        <w:ind w:left="1080" w:hanging="720"/>
      </w:pPr>
      <w:rPr>
        <w:rFonts w:cs="Times New Roman" w:hint="default"/>
      </w:rPr>
    </w:lvl>
    <w:lvl w:ilvl="1" w:tplc="4F106F44">
      <w:start w:val="1"/>
      <w:numFmt w:val="lowerLetter"/>
      <w:lvlText w:val="(%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6C6E770C"/>
    <w:multiLevelType w:val="hybridMultilevel"/>
    <w:tmpl w:val="8E9A0DA4"/>
    <w:lvl w:ilvl="0" w:tplc="2B8AAB78">
      <w:start w:val="1"/>
      <w:numFmt w:val="lowerRoman"/>
      <w:lvlText w:val="%1.)"/>
      <w:lvlJc w:val="righ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0CB6165"/>
    <w:multiLevelType w:val="hybridMultilevel"/>
    <w:tmpl w:val="91F00E60"/>
    <w:lvl w:ilvl="0" w:tplc="E1C01172">
      <w:start w:val="1"/>
      <w:numFmt w:val="lowerLetter"/>
      <w:lvlText w:val="%1)"/>
      <w:lvlJc w:val="left"/>
      <w:pPr>
        <w:tabs>
          <w:tab w:val="num" w:pos="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14F2795"/>
    <w:multiLevelType w:val="multilevel"/>
    <w:tmpl w:val="F2F2BFD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 w15:restartNumberingAfterBreak="0">
    <w:nsid w:val="7D201878"/>
    <w:multiLevelType w:val="hybridMultilevel"/>
    <w:tmpl w:val="EDA6A38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8"/>
  </w:num>
  <w:num w:numId="8">
    <w:abstractNumId w:val="4"/>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65C"/>
    <w:rsid w:val="00003D87"/>
    <w:rsid w:val="00007296"/>
    <w:rsid w:val="00015E07"/>
    <w:rsid w:val="000254DF"/>
    <w:rsid w:val="00031A88"/>
    <w:rsid w:val="0003449E"/>
    <w:rsid w:val="00036C53"/>
    <w:rsid w:val="0004366E"/>
    <w:rsid w:val="00046F1C"/>
    <w:rsid w:val="00051417"/>
    <w:rsid w:val="000518C2"/>
    <w:rsid w:val="00056DC1"/>
    <w:rsid w:val="00060156"/>
    <w:rsid w:val="000607FC"/>
    <w:rsid w:val="00070BBC"/>
    <w:rsid w:val="00073C92"/>
    <w:rsid w:val="00080F03"/>
    <w:rsid w:val="000900E1"/>
    <w:rsid w:val="0009076A"/>
    <w:rsid w:val="000B059D"/>
    <w:rsid w:val="000B6220"/>
    <w:rsid w:val="000C21B1"/>
    <w:rsid w:val="000C3C87"/>
    <w:rsid w:val="000C7460"/>
    <w:rsid w:val="000E01C1"/>
    <w:rsid w:val="000E5343"/>
    <w:rsid w:val="000F0B93"/>
    <w:rsid w:val="000F1156"/>
    <w:rsid w:val="000F52BA"/>
    <w:rsid w:val="000F6DE7"/>
    <w:rsid w:val="001111A9"/>
    <w:rsid w:val="001151A3"/>
    <w:rsid w:val="001245DF"/>
    <w:rsid w:val="00130BFD"/>
    <w:rsid w:val="00131208"/>
    <w:rsid w:val="001419C7"/>
    <w:rsid w:val="00147A97"/>
    <w:rsid w:val="00150AC4"/>
    <w:rsid w:val="00162D88"/>
    <w:rsid w:val="00166ABA"/>
    <w:rsid w:val="001743FD"/>
    <w:rsid w:val="001764E6"/>
    <w:rsid w:val="001808F1"/>
    <w:rsid w:val="001812C3"/>
    <w:rsid w:val="00190C1F"/>
    <w:rsid w:val="001933EA"/>
    <w:rsid w:val="001A33B6"/>
    <w:rsid w:val="001B0DD5"/>
    <w:rsid w:val="001B2AC0"/>
    <w:rsid w:val="001C6038"/>
    <w:rsid w:val="001E644E"/>
    <w:rsid w:val="001E78CD"/>
    <w:rsid w:val="001F60A1"/>
    <w:rsid w:val="00200A67"/>
    <w:rsid w:val="00201F88"/>
    <w:rsid w:val="00202332"/>
    <w:rsid w:val="002210F4"/>
    <w:rsid w:val="002375F6"/>
    <w:rsid w:val="002467F7"/>
    <w:rsid w:val="00254721"/>
    <w:rsid w:val="00257709"/>
    <w:rsid w:val="00263159"/>
    <w:rsid w:val="00263FB0"/>
    <w:rsid w:val="002711DD"/>
    <w:rsid w:val="002779F7"/>
    <w:rsid w:val="002828F6"/>
    <w:rsid w:val="00287939"/>
    <w:rsid w:val="00294F92"/>
    <w:rsid w:val="002A380C"/>
    <w:rsid w:val="002C187A"/>
    <w:rsid w:val="002C20F1"/>
    <w:rsid w:val="002C3FD0"/>
    <w:rsid w:val="002C4096"/>
    <w:rsid w:val="002D2863"/>
    <w:rsid w:val="002D5EC0"/>
    <w:rsid w:val="002E3DEA"/>
    <w:rsid w:val="002E43CA"/>
    <w:rsid w:val="002E7CC2"/>
    <w:rsid w:val="002F6F9B"/>
    <w:rsid w:val="002F78E3"/>
    <w:rsid w:val="003331C6"/>
    <w:rsid w:val="003354AF"/>
    <w:rsid w:val="00345044"/>
    <w:rsid w:val="00351095"/>
    <w:rsid w:val="00354A9C"/>
    <w:rsid w:val="00364973"/>
    <w:rsid w:val="00364C8C"/>
    <w:rsid w:val="00372347"/>
    <w:rsid w:val="003779D4"/>
    <w:rsid w:val="00382398"/>
    <w:rsid w:val="0038294F"/>
    <w:rsid w:val="00384329"/>
    <w:rsid w:val="00387C4C"/>
    <w:rsid w:val="003909E4"/>
    <w:rsid w:val="0039696C"/>
    <w:rsid w:val="00397F94"/>
    <w:rsid w:val="003A3E30"/>
    <w:rsid w:val="003A70FE"/>
    <w:rsid w:val="003B0B71"/>
    <w:rsid w:val="003B0C35"/>
    <w:rsid w:val="003B219E"/>
    <w:rsid w:val="003D3028"/>
    <w:rsid w:val="003D72EC"/>
    <w:rsid w:val="003E21B3"/>
    <w:rsid w:val="003F3EFA"/>
    <w:rsid w:val="003F4942"/>
    <w:rsid w:val="00411E65"/>
    <w:rsid w:val="004169D2"/>
    <w:rsid w:val="00420040"/>
    <w:rsid w:val="00423388"/>
    <w:rsid w:val="00426D73"/>
    <w:rsid w:val="00435652"/>
    <w:rsid w:val="0045025E"/>
    <w:rsid w:val="004541DC"/>
    <w:rsid w:val="00454913"/>
    <w:rsid w:val="00456434"/>
    <w:rsid w:val="00457441"/>
    <w:rsid w:val="004579F6"/>
    <w:rsid w:val="004656D0"/>
    <w:rsid w:val="00465B53"/>
    <w:rsid w:val="004727AC"/>
    <w:rsid w:val="00473ABD"/>
    <w:rsid w:val="00476FC2"/>
    <w:rsid w:val="00482DCA"/>
    <w:rsid w:val="00495A4F"/>
    <w:rsid w:val="004B6CFD"/>
    <w:rsid w:val="004C0132"/>
    <w:rsid w:val="004C204D"/>
    <w:rsid w:val="004D0436"/>
    <w:rsid w:val="004D0936"/>
    <w:rsid w:val="004D7283"/>
    <w:rsid w:val="004E7ED7"/>
    <w:rsid w:val="004F243D"/>
    <w:rsid w:val="004F3D8D"/>
    <w:rsid w:val="00500FBE"/>
    <w:rsid w:val="005076F1"/>
    <w:rsid w:val="00512B91"/>
    <w:rsid w:val="005158EB"/>
    <w:rsid w:val="0052082F"/>
    <w:rsid w:val="00542FCC"/>
    <w:rsid w:val="00543B2C"/>
    <w:rsid w:val="0055762E"/>
    <w:rsid w:val="00560771"/>
    <w:rsid w:val="00565445"/>
    <w:rsid w:val="00567986"/>
    <w:rsid w:val="00575334"/>
    <w:rsid w:val="00593736"/>
    <w:rsid w:val="005A3181"/>
    <w:rsid w:val="005A4342"/>
    <w:rsid w:val="005B0F06"/>
    <w:rsid w:val="005B6141"/>
    <w:rsid w:val="005B70F6"/>
    <w:rsid w:val="005C3F15"/>
    <w:rsid w:val="005D026E"/>
    <w:rsid w:val="005F3989"/>
    <w:rsid w:val="005F4303"/>
    <w:rsid w:val="00600BEB"/>
    <w:rsid w:val="00601B52"/>
    <w:rsid w:val="0060280B"/>
    <w:rsid w:val="00604422"/>
    <w:rsid w:val="00616D92"/>
    <w:rsid w:val="00651341"/>
    <w:rsid w:val="0065686D"/>
    <w:rsid w:val="00666F8B"/>
    <w:rsid w:val="006815B2"/>
    <w:rsid w:val="00682B31"/>
    <w:rsid w:val="006864E1"/>
    <w:rsid w:val="00691001"/>
    <w:rsid w:val="006A5E29"/>
    <w:rsid w:val="006A7759"/>
    <w:rsid w:val="006B1037"/>
    <w:rsid w:val="006E56AD"/>
    <w:rsid w:val="006E5763"/>
    <w:rsid w:val="007101BB"/>
    <w:rsid w:val="00713308"/>
    <w:rsid w:val="00721954"/>
    <w:rsid w:val="00727E01"/>
    <w:rsid w:val="00752E19"/>
    <w:rsid w:val="00757614"/>
    <w:rsid w:val="007728B4"/>
    <w:rsid w:val="0077622E"/>
    <w:rsid w:val="00777FE4"/>
    <w:rsid w:val="0079075D"/>
    <w:rsid w:val="007910DD"/>
    <w:rsid w:val="007C1468"/>
    <w:rsid w:val="007C41D7"/>
    <w:rsid w:val="007F16FB"/>
    <w:rsid w:val="007F1BBA"/>
    <w:rsid w:val="007F2636"/>
    <w:rsid w:val="0081600F"/>
    <w:rsid w:val="00826078"/>
    <w:rsid w:val="0082722D"/>
    <w:rsid w:val="008274F7"/>
    <w:rsid w:val="008357CE"/>
    <w:rsid w:val="008441F9"/>
    <w:rsid w:val="00846A99"/>
    <w:rsid w:val="00847590"/>
    <w:rsid w:val="008641D1"/>
    <w:rsid w:val="00870248"/>
    <w:rsid w:val="00870FB9"/>
    <w:rsid w:val="00872F67"/>
    <w:rsid w:val="00886191"/>
    <w:rsid w:val="008879E9"/>
    <w:rsid w:val="00893346"/>
    <w:rsid w:val="00894D19"/>
    <w:rsid w:val="008A0D8D"/>
    <w:rsid w:val="008B0046"/>
    <w:rsid w:val="008B1A69"/>
    <w:rsid w:val="008C1A39"/>
    <w:rsid w:val="008D1B43"/>
    <w:rsid w:val="008E7DFB"/>
    <w:rsid w:val="008F7327"/>
    <w:rsid w:val="0090059C"/>
    <w:rsid w:val="009076C8"/>
    <w:rsid w:val="009135B0"/>
    <w:rsid w:val="00915BBE"/>
    <w:rsid w:val="00915F41"/>
    <w:rsid w:val="00921D62"/>
    <w:rsid w:val="00922791"/>
    <w:rsid w:val="00926A33"/>
    <w:rsid w:val="00927275"/>
    <w:rsid w:val="00927CD6"/>
    <w:rsid w:val="00933572"/>
    <w:rsid w:val="009363C7"/>
    <w:rsid w:val="00960CDE"/>
    <w:rsid w:val="00972D36"/>
    <w:rsid w:val="00980406"/>
    <w:rsid w:val="00994621"/>
    <w:rsid w:val="009A2C8F"/>
    <w:rsid w:val="009A7B65"/>
    <w:rsid w:val="009D2AD6"/>
    <w:rsid w:val="009D3A07"/>
    <w:rsid w:val="009D4711"/>
    <w:rsid w:val="009D5DA6"/>
    <w:rsid w:val="009E20DA"/>
    <w:rsid w:val="009E3A84"/>
    <w:rsid w:val="009E7ACC"/>
    <w:rsid w:val="009F12D2"/>
    <w:rsid w:val="009F450E"/>
    <w:rsid w:val="009F54DA"/>
    <w:rsid w:val="009F65F0"/>
    <w:rsid w:val="00A06984"/>
    <w:rsid w:val="00A1324E"/>
    <w:rsid w:val="00A220C2"/>
    <w:rsid w:val="00A27BE3"/>
    <w:rsid w:val="00A339B9"/>
    <w:rsid w:val="00A40EDF"/>
    <w:rsid w:val="00A568DF"/>
    <w:rsid w:val="00A62BBE"/>
    <w:rsid w:val="00A73A79"/>
    <w:rsid w:val="00A93C52"/>
    <w:rsid w:val="00AA7368"/>
    <w:rsid w:val="00AB4FF9"/>
    <w:rsid w:val="00AC296B"/>
    <w:rsid w:val="00AD2D20"/>
    <w:rsid w:val="00AE7B21"/>
    <w:rsid w:val="00AF1980"/>
    <w:rsid w:val="00AF2021"/>
    <w:rsid w:val="00B025B7"/>
    <w:rsid w:val="00B139C2"/>
    <w:rsid w:val="00B237D1"/>
    <w:rsid w:val="00B43C29"/>
    <w:rsid w:val="00B471BD"/>
    <w:rsid w:val="00B50C2D"/>
    <w:rsid w:val="00B64904"/>
    <w:rsid w:val="00B70C37"/>
    <w:rsid w:val="00B75777"/>
    <w:rsid w:val="00B808A8"/>
    <w:rsid w:val="00B84E62"/>
    <w:rsid w:val="00B93918"/>
    <w:rsid w:val="00BA2206"/>
    <w:rsid w:val="00BA60CE"/>
    <w:rsid w:val="00BB7AB8"/>
    <w:rsid w:val="00BC3B2F"/>
    <w:rsid w:val="00BC5607"/>
    <w:rsid w:val="00BE0D1D"/>
    <w:rsid w:val="00BE2448"/>
    <w:rsid w:val="00BE24D4"/>
    <w:rsid w:val="00BF2BE7"/>
    <w:rsid w:val="00BF2CC6"/>
    <w:rsid w:val="00BF4B26"/>
    <w:rsid w:val="00C05102"/>
    <w:rsid w:val="00C061FF"/>
    <w:rsid w:val="00C10A66"/>
    <w:rsid w:val="00C13FA6"/>
    <w:rsid w:val="00C169ED"/>
    <w:rsid w:val="00C340D2"/>
    <w:rsid w:val="00C44645"/>
    <w:rsid w:val="00C5484D"/>
    <w:rsid w:val="00C618F2"/>
    <w:rsid w:val="00C73207"/>
    <w:rsid w:val="00C7602A"/>
    <w:rsid w:val="00C82160"/>
    <w:rsid w:val="00C82ED9"/>
    <w:rsid w:val="00C87D68"/>
    <w:rsid w:val="00C9281B"/>
    <w:rsid w:val="00CA367A"/>
    <w:rsid w:val="00CB09C3"/>
    <w:rsid w:val="00CB1D26"/>
    <w:rsid w:val="00CC4C21"/>
    <w:rsid w:val="00CC55BA"/>
    <w:rsid w:val="00CC57AD"/>
    <w:rsid w:val="00CC5AE7"/>
    <w:rsid w:val="00CD0FE9"/>
    <w:rsid w:val="00CD1EA5"/>
    <w:rsid w:val="00CD7355"/>
    <w:rsid w:val="00CE0545"/>
    <w:rsid w:val="00CE5B83"/>
    <w:rsid w:val="00CE66CF"/>
    <w:rsid w:val="00CF6EDD"/>
    <w:rsid w:val="00D044DD"/>
    <w:rsid w:val="00D05922"/>
    <w:rsid w:val="00D21383"/>
    <w:rsid w:val="00D33A74"/>
    <w:rsid w:val="00D348A6"/>
    <w:rsid w:val="00D42AE1"/>
    <w:rsid w:val="00D47080"/>
    <w:rsid w:val="00D605A4"/>
    <w:rsid w:val="00D61B13"/>
    <w:rsid w:val="00D7746A"/>
    <w:rsid w:val="00D82DEE"/>
    <w:rsid w:val="00D838FE"/>
    <w:rsid w:val="00D8406F"/>
    <w:rsid w:val="00D859C7"/>
    <w:rsid w:val="00D9021F"/>
    <w:rsid w:val="00D94CFB"/>
    <w:rsid w:val="00D966A0"/>
    <w:rsid w:val="00DA1080"/>
    <w:rsid w:val="00DA12C2"/>
    <w:rsid w:val="00DB30A6"/>
    <w:rsid w:val="00DC225F"/>
    <w:rsid w:val="00DD6A9E"/>
    <w:rsid w:val="00DF150D"/>
    <w:rsid w:val="00E23367"/>
    <w:rsid w:val="00E238F5"/>
    <w:rsid w:val="00E255E9"/>
    <w:rsid w:val="00E31B92"/>
    <w:rsid w:val="00E36140"/>
    <w:rsid w:val="00E475D4"/>
    <w:rsid w:val="00E513E0"/>
    <w:rsid w:val="00E65055"/>
    <w:rsid w:val="00E74D1C"/>
    <w:rsid w:val="00E8776E"/>
    <w:rsid w:val="00E9237A"/>
    <w:rsid w:val="00EA0B88"/>
    <w:rsid w:val="00EB2285"/>
    <w:rsid w:val="00EC1B48"/>
    <w:rsid w:val="00EC4294"/>
    <w:rsid w:val="00EC542E"/>
    <w:rsid w:val="00EC681E"/>
    <w:rsid w:val="00ED02D3"/>
    <w:rsid w:val="00ED5E31"/>
    <w:rsid w:val="00EE4815"/>
    <w:rsid w:val="00EE64C1"/>
    <w:rsid w:val="00F05AA0"/>
    <w:rsid w:val="00F061CB"/>
    <w:rsid w:val="00F11793"/>
    <w:rsid w:val="00F14316"/>
    <w:rsid w:val="00F24050"/>
    <w:rsid w:val="00F248AA"/>
    <w:rsid w:val="00F25B51"/>
    <w:rsid w:val="00F31539"/>
    <w:rsid w:val="00F444EC"/>
    <w:rsid w:val="00F45FE3"/>
    <w:rsid w:val="00F52D22"/>
    <w:rsid w:val="00F54D03"/>
    <w:rsid w:val="00F6347A"/>
    <w:rsid w:val="00F7503A"/>
    <w:rsid w:val="00F81FEF"/>
    <w:rsid w:val="00F978B9"/>
    <w:rsid w:val="00FA61AF"/>
    <w:rsid w:val="00FB2C17"/>
    <w:rsid w:val="00FB50C0"/>
    <w:rsid w:val="00FC5A90"/>
    <w:rsid w:val="00FC7A7B"/>
    <w:rsid w:val="00FD3A06"/>
    <w:rsid w:val="00FD6E3C"/>
    <w:rsid w:val="00FD7D14"/>
    <w:rsid w:val="00FE141F"/>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1C1AC8"/>
  <w14:defaultImageDpi w14:val="0"/>
  <w15:docId w15:val="{F6ED59D4-26A0-49F7-9DA4-2A22CBEE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20"/>
      <w:szCs w:val="24"/>
      <w:lang w:val="es-ES" w:eastAsia="es-ES"/>
    </w:rPr>
  </w:style>
  <w:style w:type="paragraph" w:styleId="Heading1">
    <w:name w:val="heading 1"/>
    <w:basedOn w:val="Normal"/>
    <w:next w:val="Normal"/>
    <w:link w:val="Heading1Char1"/>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1"/>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1"/>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1"/>
    <w:uiPriority w:val="99"/>
    <w:qFormat/>
    <w:rsid w:val="002779F7"/>
    <w:pPr>
      <w:keepNext/>
      <w:outlineLvl w:val="3"/>
    </w:pPr>
    <w:rPr>
      <w:b/>
      <w:bCs/>
      <w:szCs w:val="20"/>
    </w:rPr>
  </w:style>
  <w:style w:type="paragraph" w:styleId="Heading5">
    <w:name w:val="heading 5"/>
    <w:basedOn w:val="Normal"/>
    <w:next w:val="Normal"/>
    <w:link w:val="Heading5Char1"/>
    <w:uiPriority w:val="99"/>
    <w:qFormat/>
    <w:rsid w:val="002779F7"/>
    <w:pPr>
      <w:keepNext/>
      <w:jc w:val="both"/>
      <w:outlineLvl w:val="4"/>
    </w:pPr>
    <w:rPr>
      <w:b/>
      <w:i/>
      <w:iCs/>
      <w:sz w:val="22"/>
      <w:u w:val="single"/>
    </w:rPr>
  </w:style>
  <w:style w:type="paragraph" w:styleId="Heading6">
    <w:name w:val="heading 6"/>
    <w:basedOn w:val="Normal"/>
    <w:next w:val="Normal"/>
    <w:link w:val="Heading6Char1"/>
    <w:uiPriority w:val="99"/>
    <w:qFormat/>
    <w:rsid w:val="002779F7"/>
    <w:pPr>
      <w:keepNext/>
      <w:outlineLvl w:val="5"/>
    </w:pPr>
    <w:rPr>
      <w:i/>
      <w:iCs/>
      <w:sz w:val="23"/>
      <w:szCs w:val="23"/>
    </w:rPr>
  </w:style>
  <w:style w:type="paragraph" w:styleId="Heading7">
    <w:name w:val="heading 7"/>
    <w:basedOn w:val="Normal"/>
    <w:next w:val="Normal"/>
    <w:link w:val="Heading7Char1"/>
    <w:uiPriority w:val="99"/>
    <w:qFormat/>
    <w:rsid w:val="002779F7"/>
    <w:pPr>
      <w:keepNext/>
      <w:jc w:val="center"/>
      <w:outlineLvl w:val="6"/>
    </w:pPr>
    <w:rPr>
      <w:b/>
      <w:bCs/>
      <w:sz w:val="26"/>
      <w:szCs w:val="26"/>
    </w:rPr>
  </w:style>
  <w:style w:type="paragraph" w:styleId="Heading8">
    <w:name w:val="heading 8"/>
    <w:basedOn w:val="Normal"/>
    <w:next w:val="Normal"/>
    <w:link w:val="Heading8Char1"/>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1"/>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Pr>
      <w:rFonts w:ascii="Cambria" w:hAnsi="Cambria"/>
      <w:b/>
      <w:kern w:val="32"/>
      <w:sz w:val="32"/>
      <w:lang w:val="es-ES" w:eastAsia="es-ES"/>
    </w:rPr>
  </w:style>
  <w:style w:type="character" w:customStyle="1" w:styleId="Heading2Char">
    <w:name w:val="Heading 2 Char"/>
    <w:basedOn w:val="DefaultParagraphFont"/>
    <w:uiPriority w:val="99"/>
    <w:semiHidden/>
    <w:rPr>
      <w:rFonts w:ascii="Cambria" w:hAnsi="Cambria"/>
      <w:b/>
      <w:i/>
      <w:sz w:val="28"/>
      <w:lang w:val="es-ES" w:eastAsia="es-ES"/>
    </w:rPr>
  </w:style>
  <w:style w:type="character" w:customStyle="1" w:styleId="Heading3Char">
    <w:name w:val="Heading 3 Char"/>
    <w:basedOn w:val="DefaultParagraphFont"/>
    <w:uiPriority w:val="99"/>
    <w:semiHidden/>
    <w:rPr>
      <w:rFonts w:ascii="Cambria" w:hAnsi="Cambria"/>
      <w:b/>
      <w:sz w:val="26"/>
      <w:lang w:val="es-ES" w:eastAsia="es-ES"/>
    </w:rPr>
  </w:style>
  <w:style w:type="character" w:customStyle="1" w:styleId="Heading4Char">
    <w:name w:val="Heading 4 Char"/>
    <w:basedOn w:val="DefaultParagraphFont"/>
    <w:uiPriority w:val="99"/>
    <w:semiHidden/>
    <w:rPr>
      <w:rFonts w:ascii="Calibri" w:hAnsi="Calibri"/>
      <w:b/>
      <w:sz w:val="28"/>
      <w:lang w:val="es-ES" w:eastAsia="es-ES"/>
    </w:rPr>
  </w:style>
  <w:style w:type="character" w:customStyle="1" w:styleId="Heading5Char">
    <w:name w:val="Heading 5 Char"/>
    <w:basedOn w:val="DefaultParagraphFont"/>
    <w:uiPriority w:val="99"/>
    <w:semiHidden/>
    <w:rPr>
      <w:rFonts w:ascii="Calibri" w:hAnsi="Calibri"/>
      <w:b/>
      <w:i/>
      <w:sz w:val="26"/>
      <w:lang w:val="es-ES" w:eastAsia="es-ES"/>
    </w:rPr>
  </w:style>
  <w:style w:type="character" w:customStyle="1" w:styleId="Heading6Char">
    <w:name w:val="Heading 6 Char"/>
    <w:basedOn w:val="DefaultParagraphFont"/>
    <w:uiPriority w:val="99"/>
    <w:semiHidden/>
    <w:rPr>
      <w:rFonts w:ascii="Calibri" w:hAnsi="Calibri"/>
      <w:b/>
      <w:lang w:val="es-ES" w:eastAsia="es-ES"/>
    </w:rPr>
  </w:style>
  <w:style w:type="character" w:customStyle="1" w:styleId="Heading7Char">
    <w:name w:val="Heading 7 Char"/>
    <w:basedOn w:val="DefaultParagraphFont"/>
    <w:uiPriority w:val="99"/>
    <w:semiHidden/>
    <w:rPr>
      <w:rFonts w:ascii="Calibri" w:hAnsi="Calibri"/>
      <w:sz w:val="24"/>
      <w:lang w:val="es-ES" w:eastAsia="es-ES"/>
    </w:rPr>
  </w:style>
  <w:style w:type="character" w:customStyle="1" w:styleId="Heading8Char">
    <w:name w:val="Heading 8 Char"/>
    <w:basedOn w:val="DefaultParagraphFont"/>
    <w:uiPriority w:val="99"/>
    <w:semiHidden/>
    <w:rPr>
      <w:rFonts w:ascii="Calibri" w:hAnsi="Calibri"/>
      <w:i/>
      <w:sz w:val="24"/>
      <w:lang w:val="es-ES" w:eastAsia="es-ES"/>
    </w:rPr>
  </w:style>
  <w:style w:type="character" w:customStyle="1" w:styleId="Heading9Char">
    <w:name w:val="Heading 9 Char"/>
    <w:basedOn w:val="DefaultParagraphFont"/>
    <w:uiPriority w:val="99"/>
    <w:semiHidden/>
    <w:rPr>
      <w:rFonts w:ascii="Cambria" w:hAnsi="Cambria"/>
      <w:lang w:val="es-ES" w:eastAsia="es-ES"/>
    </w:rPr>
  </w:style>
  <w:style w:type="character" w:customStyle="1" w:styleId="Heading1Char1">
    <w:name w:val="Heading 1 Char1"/>
    <w:link w:val="Heading1"/>
    <w:uiPriority w:val="99"/>
    <w:locked/>
    <w:rPr>
      <w:rFonts w:ascii="Cambria" w:hAnsi="Cambria"/>
      <w:b/>
      <w:kern w:val="32"/>
      <w:sz w:val="32"/>
      <w:lang w:val="es-ES" w:eastAsia="es-ES"/>
    </w:rPr>
  </w:style>
  <w:style w:type="character" w:customStyle="1" w:styleId="Heading2Char1">
    <w:name w:val="Heading 2 Char1"/>
    <w:link w:val="Heading2"/>
    <w:uiPriority w:val="99"/>
    <w:semiHidden/>
    <w:locked/>
    <w:rPr>
      <w:rFonts w:ascii="Cambria" w:hAnsi="Cambria"/>
      <w:b/>
      <w:i/>
      <w:sz w:val="28"/>
      <w:lang w:val="es-ES" w:eastAsia="es-ES"/>
    </w:rPr>
  </w:style>
  <w:style w:type="character" w:customStyle="1" w:styleId="Heading3Char1">
    <w:name w:val="Heading 3 Char1"/>
    <w:link w:val="Heading3"/>
    <w:uiPriority w:val="99"/>
    <w:semiHidden/>
    <w:locked/>
    <w:rPr>
      <w:rFonts w:ascii="Cambria" w:hAnsi="Cambria"/>
      <w:b/>
      <w:sz w:val="26"/>
      <w:lang w:val="es-ES" w:eastAsia="es-ES"/>
    </w:rPr>
  </w:style>
  <w:style w:type="character" w:customStyle="1" w:styleId="Heading4Char1">
    <w:name w:val="Heading 4 Char1"/>
    <w:link w:val="Heading4"/>
    <w:uiPriority w:val="99"/>
    <w:semiHidden/>
    <w:locked/>
    <w:rPr>
      <w:rFonts w:ascii="Calibri" w:hAnsi="Calibri"/>
      <w:b/>
      <w:sz w:val="28"/>
      <w:lang w:val="es-ES" w:eastAsia="es-ES"/>
    </w:rPr>
  </w:style>
  <w:style w:type="character" w:customStyle="1" w:styleId="Heading5Char1">
    <w:name w:val="Heading 5 Char1"/>
    <w:link w:val="Heading5"/>
    <w:uiPriority w:val="99"/>
    <w:semiHidden/>
    <w:locked/>
    <w:rPr>
      <w:rFonts w:ascii="Calibri" w:hAnsi="Calibri"/>
      <w:b/>
      <w:i/>
      <w:sz w:val="26"/>
      <w:lang w:val="es-ES" w:eastAsia="es-ES"/>
    </w:rPr>
  </w:style>
  <w:style w:type="character" w:customStyle="1" w:styleId="Heading6Char1">
    <w:name w:val="Heading 6 Char1"/>
    <w:link w:val="Heading6"/>
    <w:uiPriority w:val="99"/>
    <w:semiHidden/>
    <w:locked/>
    <w:rPr>
      <w:rFonts w:ascii="Calibri" w:hAnsi="Calibri"/>
      <w:b/>
      <w:lang w:val="es-ES" w:eastAsia="es-ES"/>
    </w:rPr>
  </w:style>
  <w:style w:type="character" w:customStyle="1" w:styleId="Heading7Char1">
    <w:name w:val="Heading 7 Char1"/>
    <w:link w:val="Heading7"/>
    <w:uiPriority w:val="99"/>
    <w:semiHidden/>
    <w:locked/>
    <w:rPr>
      <w:rFonts w:ascii="Calibri" w:hAnsi="Calibri"/>
      <w:sz w:val="24"/>
      <w:lang w:val="es-ES" w:eastAsia="es-ES"/>
    </w:rPr>
  </w:style>
  <w:style w:type="character" w:customStyle="1" w:styleId="Heading8Char1">
    <w:name w:val="Heading 8 Char1"/>
    <w:link w:val="Heading8"/>
    <w:uiPriority w:val="99"/>
    <w:semiHidden/>
    <w:locked/>
    <w:rPr>
      <w:rFonts w:ascii="Calibri" w:hAnsi="Calibri"/>
      <w:i/>
      <w:sz w:val="24"/>
      <w:lang w:val="es-ES" w:eastAsia="es-ES"/>
    </w:rPr>
  </w:style>
  <w:style w:type="character" w:customStyle="1" w:styleId="Heading9Char1">
    <w:name w:val="Heading 9 Char1"/>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rsid w:val="002779F7"/>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1"/>
    <w:uiPriority w:val="99"/>
    <w:rsid w:val="002779F7"/>
    <w:pPr>
      <w:tabs>
        <w:tab w:val="center" w:pos="4153"/>
        <w:tab w:val="right" w:pos="8306"/>
      </w:tabs>
    </w:pPr>
    <w:rPr>
      <w:szCs w:val="20"/>
    </w:rPr>
  </w:style>
  <w:style w:type="character" w:customStyle="1" w:styleId="HeaderChar">
    <w:name w:val="Header Char"/>
    <w:basedOn w:val="DefaultParagraphFont"/>
    <w:uiPriority w:val="99"/>
    <w:semiHidden/>
    <w:rPr>
      <w:sz w:val="24"/>
      <w:lang w:val="es-ES" w:eastAsia="es-ES"/>
    </w:rPr>
  </w:style>
  <w:style w:type="character" w:customStyle="1" w:styleId="HeaderChar1">
    <w:name w:val="Header Char1"/>
    <w:link w:val="Header"/>
    <w:uiPriority w:val="99"/>
    <w:locked/>
    <w:rsid w:val="003B0C35"/>
    <w:rPr>
      <w:lang w:val="es-ES" w:eastAsia="es-ES"/>
    </w:rPr>
  </w:style>
  <w:style w:type="paragraph" w:styleId="Footer">
    <w:name w:val="footer"/>
    <w:basedOn w:val="Normal"/>
    <w:link w:val="FooterChar1"/>
    <w:uiPriority w:val="99"/>
    <w:rsid w:val="002779F7"/>
    <w:pPr>
      <w:tabs>
        <w:tab w:val="center" w:pos="4320"/>
        <w:tab w:val="right" w:pos="8640"/>
      </w:tabs>
    </w:pPr>
  </w:style>
  <w:style w:type="character" w:customStyle="1" w:styleId="FooterChar">
    <w:name w:val="Footer Char"/>
    <w:basedOn w:val="DefaultParagraphFont"/>
    <w:uiPriority w:val="99"/>
    <w:semiHidden/>
    <w:rPr>
      <w:sz w:val="24"/>
      <w:lang w:val="es-ES" w:eastAsia="es-ES"/>
    </w:rPr>
  </w:style>
  <w:style w:type="character" w:customStyle="1" w:styleId="FooterChar1">
    <w:name w:val="Footer Char1"/>
    <w:link w:val="Footer"/>
    <w:uiPriority w:val="99"/>
    <w:locked/>
    <w:rPr>
      <w:sz w:val="24"/>
      <w:lang w:val="es-ES" w:eastAsia="es-ES"/>
    </w:rPr>
  </w:style>
  <w:style w:type="paragraph" w:styleId="BodyTextIndent">
    <w:name w:val="Body Text Indent"/>
    <w:basedOn w:val="Normal"/>
    <w:link w:val="BodyTextIndentChar1"/>
    <w:uiPriority w:val="99"/>
    <w:rsid w:val="002779F7"/>
    <w:pPr>
      <w:ind w:left="720" w:hanging="720"/>
      <w:jc w:val="both"/>
    </w:pPr>
    <w:rPr>
      <w:sz w:val="22"/>
    </w:rPr>
  </w:style>
  <w:style w:type="character" w:customStyle="1" w:styleId="BodyTextIndentChar">
    <w:name w:val="Body Text Indent Char"/>
    <w:basedOn w:val="DefaultParagraphFont"/>
    <w:uiPriority w:val="99"/>
    <w:semiHidden/>
    <w:rPr>
      <w:sz w:val="24"/>
      <w:lang w:val="es-ES" w:eastAsia="es-ES"/>
    </w:rPr>
  </w:style>
  <w:style w:type="character" w:customStyle="1" w:styleId="BodyTextIndentChar1">
    <w:name w:val="Body Text Indent Char1"/>
    <w:link w:val="BodyTextIndent"/>
    <w:uiPriority w:val="99"/>
    <w:semiHidden/>
    <w:locked/>
    <w:rPr>
      <w:sz w:val="24"/>
      <w:lang w:val="es-ES" w:eastAsia="es-ES"/>
    </w:rPr>
  </w:style>
  <w:style w:type="paragraph" w:styleId="BodyText">
    <w:name w:val="Body Text"/>
    <w:basedOn w:val="Normal"/>
    <w:link w:val="BodyTextChar1"/>
    <w:uiPriority w:val="99"/>
    <w:rsid w:val="002779F7"/>
    <w:pPr>
      <w:jc w:val="both"/>
    </w:pPr>
    <w:rPr>
      <w:sz w:val="22"/>
    </w:rPr>
  </w:style>
  <w:style w:type="character" w:customStyle="1" w:styleId="BodyTextChar">
    <w:name w:val="Body Text Char"/>
    <w:basedOn w:val="DefaultParagraphFont"/>
    <w:uiPriority w:val="99"/>
    <w:semiHidden/>
    <w:rPr>
      <w:sz w:val="24"/>
      <w:lang w:val="es-ES" w:eastAsia="es-ES"/>
    </w:rPr>
  </w:style>
  <w:style w:type="character" w:customStyle="1" w:styleId="BodyTextChar1">
    <w:name w:val="Body Text Char1"/>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1"/>
    <w:uiPriority w:val="99"/>
    <w:semiHidden/>
    <w:rsid w:val="002779F7"/>
    <w:rPr>
      <w:szCs w:val="20"/>
    </w:rPr>
  </w:style>
  <w:style w:type="character" w:customStyle="1" w:styleId="FootnoteTextChar">
    <w:name w:val="Footnote Text Char"/>
    <w:basedOn w:val="DefaultParagraphFont"/>
    <w:uiPriority w:val="99"/>
    <w:semiHidden/>
    <w:rPr>
      <w:sz w:val="20"/>
      <w:lang w:val="es-ES" w:eastAsia="es-ES"/>
    </w:rPr>
  </w:style>
  <w:style w:type="character" w:customStyle="1" w:styleId="FootnoteTextChar1">
    <w:name w:val="Footnote Text Char1"/>
    <w:link w:val="FootnoteText"/>
    <w:uiPriority w:val="99"/>
    <w:semiHidden/>
    <w:locked/>
    <w:rPr>
      <w:sz w:val="20"/>
      <w:lang w:val="es-ES" w:eastAsia="es-ES"/>
    </w:rPr>
  </w:style>
  <w:style w:type="paragraph" w:styleId="BodyText2">
    <w:name w:val="Body Text 2"/>
    <w:basedOn w:val="Normal"/>
    <w:link w:val="BodyText2Char1"/>
    <w:uiPriority w:val="99"/>
    <w:rsid w:val="002779F7"/>
    <w:rPr>
      <w:sz w:val="22"/>
    </w:rPr>
  </w:style>
  <w:style w:type="character" w:customStyle="1" w:styleId="BodyText2Char">
    <w:name w:val="Body Text 2 Char"/>
    <w:basedOn w:val="DefaultParagraphFont"/>
    <w:uiPriority w:val="99"/>
    <w:semiHidden/>
    <w:rPr>
      <w:sz w:val="24"/>
      <w:lang w:val="es-ES" w:eastAsia="es-ES"/>
    </w:rPr>
  </w:style>
  <w:style w:type="character" w:customStyle="1" w:styleId="BodyText2Char1">
    <w:name w:val="Body Text 2 Char1"/>
    <w:link w:val="BodyText2"/>
    <w:uiPriority w:val="99"/>
    <w:semiHidden/>
    <w:locked/>
    <w:rPr>
      <w:sz w:val="24"/>
      <w:lang w:val="es-ES" w:eastAsia="es-ES"/>
    </w:rPr>
  </w:style>
  <w:style w:type="paragraph" w:styleId="BalloonText">
    <w:name w:val="Balloon Text"/>
    <w:basedOn w:val="Normal"/>
    <w:link w:val="BalloonTextChar1"/>
    <w:uiPriority w:val="99"/>
    <w:semiHidden/>
    <w:rsid w:val="002779F7"/>
    <w:rPr>
      <w:rFonts w:ascii="Tahoma" w:hAnsi="Tahoma" w:cs="Tahoma"/>
      <w:sz w:val="16"/>
      <w:szCs w:val="16"/>
    </w:rPr>
  </w:style>
  <w:style w:type="character" w:customStyle="1" w:styleId="BalloonTextChar">
    <w:name w:val="Balloon Text Char"/>
    <w:basedOn w:val="DefaultParagraphFont"/>
    <w:uiPriority w:val="99"/>
    <w:semiHidden/>
    <w:rPr>
      <w:sz w:val="2"/>
      <w:lang w:val="es-ES" w:eastAsia="es-ES"/>
    </w:rPr>
  </w:style>
  <w:style w:type="character" w:customStyle="1" w:styleId="BalloonTextChar1">
    <w:name w:val="Balloon Text Char1"/>
    <w:link w:val="BalloonText"/>
    <w:uiPriority w:val="99"/>
    <w:semiHidden/>
    <w:locked/>
    <w:rPr>
      <w:sz w:val="2"/>
      <w:lang w:val="es-ES" w:eastAsia="es-ES"/>
    </w:rPr>
  </w:style>
  <w:style w:type="paragraph" w:styleId="BodyText3">
    <w:name w:val="Body Text 3"/>
    <w:basedOn w:val="Normal"/>
    <w:link w:val="BodyText3Char1"/>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uiPriority w:val="99"/>
    <w:semiHidden/>
    <w:rPr>
      <w:sz w:val="16"/>
      <w:lang w:val="es-ES" w:eastAsia="es-ES"/>
    </w:rPr>
  </w:style>
  <w:style w:type="character" w:customStyle="1" w:styleId="BodyText3Char1">
    <w:name w:val="Body Text 3 Char1"/>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1"/>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basedOn w:val="DefaultParagraphFont"/>
    <w:uiPriority w:val="99"/>
    <w:rPr>
      <w:rFonts w:ascii="Cambria" w:hAnsi="Cambria"/>
      <w:b/>
      <w:kern w:val="28"/>
      <w:sz w:val="32"/>
      <w:lang w:val="es-ES" w:eastAsia="es-ES"/>
    </w:rPr>
  </w:style>
  <w:style w:type="character" w:customStyle="1" w:styleId="TitleChar1">
    <w:name w:val="Title Char1"/>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1"/>
    <w:uiPriority w:val="99"/>
    <w:semiHidden/>
    <w:rsid w:val="00DA1080"/>
    <w:rPr>
      <w:sz w:val="24"/>
    </w:rPr>
  </w:style>
  <w:style w:type="character" w:customStyle="1" w:styleId="CommentTextChar">
    <w:name w:val="Comment Text Char"/>
    <w:basedOn w:val="DefaultParagraphFont"/>
    <w:uiPriority w:val="99"/>
    <w:semiHidden/>
    <w:rPr>
      <w:sz w:val="20"/>
      <w:lang w:val="es-ES" w:eastAsia="es-ES"/>
    </w:rPr>
  </w:style>
  <w:style w:type="character" w:customStyle="1" w:styleId="CommentTextChar1">
    <w:name w:val="Comment Text Char1"/>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1"/>
    <w:uiPriority w:val="99"/>
    <w:semiHidden/>
    <w:rsid w:val="00DA1080"/>
    <w:rPr>
      <w:b/>
      <w:bCs/>
    </w:rPr>
  </w:style>
  <w:style w:type="character" w:customStyle="1" w:styleId="CommentSubjectChar">
    <w:name w:val="Comment Subject Char"/>
    <w:basedOn w:val="CommentTextChar1"/>
    <w:uiPriority w:val="99"/>
    <w:semiHidden/>
    <w:rPr>
      <w:b/>
      <w:sz w:val="20"/>
      <w:lang w:val="es-ES" w:eastAsia="es-ES"/>
    </w:rPr>
  </w:style>
  <w:style w:type="character" w:customStyle="1" w:styleId="CommentSubjectChar1">
    <w:name w:val="Comment Subject Char1"/>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table" w:styleId="TableGrid">
    <w:name w:val="Table Grid"/>
    <w:basedOn w:val="TableNormal"/>
    <w:uiPriority w:val="99"/>
    <w:locked/>
    <w:rsid w:val="004D7283"/>
    <w:rPr>
      <w:rFonts w:ascii="Calibri" w:hAnsi="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8837">
      <w:marLeft w:val="0"/>
      <w:marRight w:val="0"/>
      <w:marTop w:val="0"/>
      <w:marBottom w:val="0"/>
      <w:divBdr>
        <w:top w:val="none" w:sz="0" w:space="0" w:color="auto"/>
        <w:left w:val="none" w:sz="0" w:space="0" w:color="auto"/>
        <w:bottom w:val="none" w:sz="0" w:space="0" w:color="auto"/>
        <w:right w:val="none" w:sz="0" w:space="0" w:color="auto"/>
      </w:divBdr>
    </w:div>
    <w:div w:id="7467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cms.int/sites/default/files/document/cms_stc45_doc-13-1_cambios-organizativos-scc.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ms.int/sites/default/files/document/cms_stc45_doc-4-1_proyecto-de-informe-stc44_s.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sites/default/files/document/Doc_14_ScC_Cambio_organizacional_s.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4</Pages>
  <Words>1584</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Linette Eitz Lamare</dc:creator>
  <cp:keywords/>
  <dc:description/>
  <cp:lastModifiedBy>Ximena Cancino</cp:lastModifiedBy>
  <cp:revision>2</cp:revision>
  <cp:lastPrinted>2017-08-21T12:14:00Z</cp:lastPrinted>
  <dcterms:created xsi:type="dcterms:W3CDTF">2017-08-21T12:16:00Z</dcterms:created>
  <dcterms:modified xsi:type="dcterms:W3CDTF">2017-08-21T12:16:00Z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