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F1" w:rsidRPr="00240A9F" w:rsidRDefault="004E48F1" w:rsidP="004E48F1">
      <w:pPr>
        <w:tabs>
          <w:tab w:val="left" w:pos="-720"/>
        </w:tabs>
        <w:jc w:val="center"/>
        <w:rPr>
          <w:b/>
          <w:bCs/>
          <w:sz w:val="32"/>
        </w:rPr>
      </w:pPr>
      <w:r>
        <w:rPr>
          <w:b/>
          <w:bCs/>
          <w:sz w:val="32"/>
        </w:rPr>
        <w:t>44</w:t>
      </w:r>
      <w:r>
        <w:rPr>
          <w:b/>
          <w:bCs/>
          <w:sz w:val="32"/>
          <w:vertAlign w:val="superscript"/>
        </w:rPr>
        <w:t>th</w:t>
      </w:r>
      <w:r w:rsidRPr="00240A9F">
        <w:rPr>
          <w:b/>
          <w:bCs/>
          <w:sz w:val="32"/>
        </w:rPr>
        <w:t xml:space="preserve"> Meeting of the Standing Committee</w:t>
      </w:r>
    </w:p>
    <w:p w:rsidR="004E48F1" w:rsidRPr="00240A9F" w:rsidRDefault="004E48F1" w:rsidP="004E48F1">
      <w:pPr>
        <w:pStyle w:val="Heading1"/>
        <w:tabs>
          <w:tab w:val="clear" w:pos="-720"/>
          <w:tab w:val="clear" w:pos="310"/>
          <w:tab w:val="clear" w:pos="1080"/>
        </w:tabs>
        <w:spacing w:line="240" w:lineRule="auto"/>
        <w:ind w:right="98"/>
      </w:pPr>
      <w:r>
        <w:t>Bonn, Germany, 14</w:t>
      </w:r>
      <w:r w:rsidRPr="00240A9F">
        <w:t>-</w:t>
      </w:r>
      <w:r>
        <w:t>15 October 2015</w:t>
      </w:r>
    </w:p>
    <w:p w:rsidR="004E48F1" w:rsidRPr="00240A9F" w:rsidRDefault="004E48F1" w:rsidP="004E48F1">
      <w:pPr>
        <w:rPr>
          <w:sz w:val="8"/>
        </w:rPr>
      </w:pPr>
    </w:p>
    <w:p w:rsidR="004E48F1" w:rsidRPr="00240A9F" w:rsidRDefault="004E48F1" w:rsidP="004E48F1">
      <w:pPr>
        <w:pBdr>
          <w:top w:val="single" w:sz="4" w:space="1" w:color="auto"/>
        </w:pBdr>
        <w:rPr>
          <w:sz w:val="8"/>
        </w:rPr>
      </w:pPr>
    </w:p>
    <w:p w:rsidR="004E48F1" w:rsidRDefault="004E48F1" w:rsidP="004E48F1">
      <w:pPr>
        <w:pStyle w:val="Heading1"/>
        <w:tabs>
          <w:tab w:val="clear" w:pos="-720"/>
          <w:tab w:val="clear" w:pos="310"/>
          <w:tab w:val="clear" w:pos="1080"/>
        </w:tabs>
        <w:spacing w:line="240" w:lineRule="auto"/>
        <w:ind w:right="98"/>
        <w:jc w:val="left"/>
        <w:rPr>
          <w:sz w:val="8"/>
        </w:rPr>
      </w:pPr>
    </w:p>
    <w:p w:rsidR="004E48F1" w:rsidRPr="00F003EB" w:rsidRDefault="004E48F1" w:rsidP="004E48F1">
      <w:pPr>
        <w:jc w:val="right"/>
        <w:rPr>
          <w:szCs w:val="23"/>
        </w:rPr>
      </w:pPr>
      <w:r w:rsidRPr="00F003EB">
        <w:rPr>
          <w:szCs w:val="23"/>
        </w:rPr>
        <w:t>UNEP/CMS/StC44/16.1</w:t>
      </w:r>
      <w:r>
        <w:rPr>
          <w:szCs w:val="23"/>
        </w:rPr>
        <w:t>/Rev</w:t>
      </w:r>
      <w:r w:rsidR="00812C31">
        <w:rPr>
          <w:szCs w:val="23"/>
        </w:rPr>
        <w:t>.1</w:t>
      </w:r>
    </w:p>
    <w:p w:rsidR="004E48F1" w:rsidRDefault="004E48F1" w:rsidP="00BC2CFD">
      <w:pPr>
        <w:jc w:val="center"/>
        <w:rPr>
          <w:b/>
        </w:rPr>
      </w:pPr>
    </w:p>
    <w:p w:rsidR="00BC2CFD" w:rsidRPr="00F003EB" w:rsidRDefault="00BC2CFD" w:rsidP="00BC2CFD">
      <w:pPr>
        <w:jc w:val="center"/>
        <w:rPr>
          <w:b/>
        </w:rPr>
      </w:pPr>
      <w:r w:rsidRPr="00F003EB">
        <w:rPr>
          <w:b/>
        </w:rPr>
        <w:t xml:space="preserve">TERMS OF REFERENCE: </w:t>
      </w:r>
    </w:p>
    <w:p w:rsidR="00BC2CFD" w:rsidRPr="00F003EB" w:rsidRDefault="00BC2CFD" w:rsidP="00BC2CFD">
      <w:pPr>
        <w:jc w:val="center"/>
        <w:rPr>
          <w:b/>
        </w:rPr>
      </w:pPr>
      <w:r w:rsidRPr="00F003EB">
        <w:rPr>
          <w:b/>
        </w:rPr>
        <w:t>WORKING GROUP ON THE DEVELOPMENT OF A REVIEW PROCESS UNDER THE CONVENTION ON MIGRATORY SPECIES</w:t>
      </w:r>
    </w:p>
    <w:p w:rsidR="00BC2CFD" w:rsidRPr="00F003EB" w:rsidRDefault="00BC2CFD" w:rsidP="00BC2CFD"/>
    <w:p w:rsidR="00BC2CFD" w:rsidRPr="00F003EB" w:rsidRDefault="00BC2CFD" w:rsidP="00BC2CFD"/>
    <w:p w:rsidR="00BC2CFD" w:rsidRPr="00F003EB" w:rsidRDefault="00BC2CFD" w:rsidP="00BC2CFD">
      <w:pPr>
        <w:jc w:val="both"/>
        <w:rPr>
          <w:b/>
        </w:rPr>
      </w:pPr>
      <w:r w:rsidRPr="00F003EB">
        <w:rPr>
          <w:b/>
        </w:rPr>
        <w:t>Background</w:t>
      </w:r>
    </w:p>
    <w:p w:rsidR="00BC2CFD" w:rsidRPr="00F003EB" w:rsidRDefault="00BC2CFD" w:rsidP="00BC2CFD">
      <w:pPr>
        <w:jc w:val="both"/>
      </w:pPr>
    </w:p>
    <w:p w:rsidR="00BC2CFD" w:rsidRPr="00F003EB" w:rsidRDefault="00BC2CFD" w:rsidP="00BC2CFD">
      <w:pPr>
        <w:pStyle w:val="ListParagraph"/>
        <w:numPr>
          <w:ilvl w:val="0"/>
          <w:numId w:val="3"/>
        </w:numPr>
        <w:ind w:left="0" w:firstLine="0"/>
        <w:jc w:val="both"/>
      </w:pPr>
      <w:r w:rsidRPr="000F67B1">
        <w:rPr>
          <w:lang w:val="en-US"/>
        </w:rPr>
        <w:t xml:space="preserve">By its </w:t>
      </w:r>
      <w:r>
        <w:rPr>
          <w:lang w:val="en-US"/>
        </w:rPr>
        <w:t>Resolution 11.7</w:t>
      </w:r>
      <w:r w:rsidRPr="000F67B1">
        <w:rPr>
          <w:lang w:val="en-US"/>
        </w:rPr>
        <w:t xml:space="preserve"> (</w:t>
      </w:r>
      <w:r>
        <w:rPr>
          <w:lang w:val="en-US"/>
        </w:rPr>
        <w:t>below</w:t>
      </w:r>
      <w:r w:rsidRPr="000F67B1">
        <w:rPr>
          <w:lang w:val="en-US"/>
        </w:rPr>
        <w:t>), the Conference of Parties to the Convention on Migratory Species (CMS) decided to launch “an intersessional process to explore possibilities for strengthening implementation of the Convention through the development of a review process” (paragraph 1). Furthermore</w:t>
      </w:r>
      <w:r w:rsidRPr="00F003EB">
        <w:t>, it instructed the Secretariat “to propose terms of reference for a working group to be considered for adoption by the Standing Committee at its 44</w:t>
      </w:r>
      <w:r w:rsidRPr="000F67B1">
        <w:rPr>
          <w:vertAlign w:val="superscript"/>
        </w:rPr>
        <w:t>th</w:t>
      </w:r>
      <w:r w:rsidRPr="00F003EB">
        <w:t xml:space="preserve"> Meeting” (paragraph 2). </w:t>
      </w:r>
    </w:p>
    <w:p w:rsidR="00BC2CFD" w:rsidRPr="00F003EB" w:rsidRDefault="00BC2CFD" w:rsidP="00BC2CFD"/>
    <w:p w:rsidR="00BC2CFD" w:rsidRPr="00F003EB" w:rsidRDefault="00BC2CFD" w:rsidP="00BC2CFD">
      <w:pPr>
        <w:jc w:val="both"/>
        <w:rPr>
          <w:b/>
        </w:rPr>
      </w:pPr>
      <w:r w:rsidRPr="00F003EB">
        <w:rPr>
          <w:b/>
        </w:rPr>
        <w:t>Objective</w:t>
      </w:r>
    </w:p>
    <w:p w:rsidR="00BC2CFD" w:rsidRPr="00F003EB" w:rsidRDefault="00BC2CFD" w:rsidP="00BC2CFD">
      <w:pPr>
        <w:jc w:val="both"/>
      </w:pPr>
    </w:p>
    <w:p w:rsidR="00BC2CFD" w:rsidRPr="00F003EB" w:rsidRDefault="00BC2CFD" w:rsidP="00BC2CFD">
      <w:pPr>
        <w:numPr>
          <w:ilvl w:val="0"/>
          <w:numId w:val="3"/>
        </w:numPr>
        <w:ind w:left="0" w:firstLine="0"/>
        <w:contextualSpacing/>
        <w:jc w:val="both"/>
      </w:pPr>
      <w:r w:rsidRPr="00F003EB">
        <w:t>To compare existing review mechanisms that strengthen implementation of other Multilateral Environmental Agreements (MEAs), including the agreements established under Article IV(3) of CMS; define the most appropriate, cost-efficient and effective options of a review process for CMS; and prepare a report with recommendations for consideration to the 12</w:t>
      </w:r>
      <w:r w:rsidRPr="00F003EB">
        <w:rPr>
          <w:vertAlign w:val="superscript"/>
        </w:rPr>
        <w:t>th</w:t>
      </w:r>
      <w:r w:rsidRPr="00F003EB">
        <w:t xml:space="preserve"> Meeting of the Conference of Parties to CMS. </w:t>
      </w:r>
    </w:p>
    <w:p w:rsidR="00BC2CFD" w:rsidRPr="00F003EB" w:rsidRDefault="00BC2CFD" w:rsidP="00BC2CFD"/>
    <w:p w:rsidR="00BC2CFD" w:rsidRPr="00F003EB" w:rsidRDefault="00BC2CFD" w:rsidP="00BC2CFD">
      <w:pPr>
        <w:jc w:val="both"/>
        <w:rPr>
          <w:b/>
        </w:rPr>
      </w:pPr>
      <w:r w:rsidRPr="00F003EB">
        <w:rPr>
          <w:b/>
        </w:rPr>
        <w:t>Members of Working Group</w:t>
      </w:r>
    </w:p>
    <w:p w:rsidR="00BC2CFD" w:rsidRPr="00F003EB" w:rsidRDefault="00BC2CFD" w:rsidP="00BC2CFD">
      <w:pPr>
        <w:jc w:val="both"/>
      </w:pPr>
    </w:p>
    <w:p w:rsidR="00BC2CFD" w:rsidRPr="00F003EB" w:rsidRDefault="00BC2CFD" w:rsidP="00BC2CFD">
      <w:pPr>
        <w:numPr>
          <w:ilvl w:val="0"/>
          <w:numId w:val="3"/>
        </w:numPr>
        <w:ind w:left="0" w:firstLine="0"/>
        <w:contextualSpacing/>
        <w:jc w:val="both"/>
      </w:pPr>
      <w:r w:rsidRPr="00F003EB">
        <w:t>The Working Group will consist of one member of the Standing Committee from each region (or one alternate), in order to ensure a cost-effective process, while remaining open to participation by other interested Governments. It will elect a Chair and Vice-Chair, one from a developing and the other from a developed country, at its first meeting. The Executive Secretary of CMS will participate as an advisor to the Group.</w:t>
      </w:r>
    </w:p>
    <w:p w:rsidR="00BC2CFD" w:rsidRPr="00F003EB" w:rsidRDefault="00BC2CFD" w:rsidP="00BC2CFD"/>
    <w:p w:rsidR="00BC2CFD" w:rsidRPr="00F003EB" w:rsidRDefault="00BC2CFD" w:rsidP="00BC2CFD">
      <w:pPr>
        <w:jc w:val="both"/>
        <w:rPr>
          <w:b/>
        </w:rPr>
      </w:pPr>
      <w:r w:rsidRPr="00F003EB">
        <w:rPr>
          <w:b/>
        </w:rPr>
        <w:t>Terms of Reference for the Working Group</w:t>
      </w:r>
    </w:p>
    <w:p w:rsidR="00BC2CFD" w:rsidRPr="00F003EB" w:rsidRDefault="00BC2CFD" w:rsidP="00BC2CFD">
      <w:pPr>
        <w:contextualSpacing/>
        <w:jc w:val="both"/>
      </w:pPr>
    </w:p>
    <w:p w:rsidR="00BC2CFD" w:rsidRPr="00F003EB" w:rsidRDefault="00BC2CFD" w:rsidP="00BC2CFD">
      <w:pPr>
        <w:numPr>
          <w:ilvl w:val="0"/>
          <w:numId w:val="1"/>
        </w:numPr>
        <w:contextualSpacing/>
        <w:jc w:val="both"/>
      </w:pPr>
      <w:r w:rsidRPr="00F003EB">
        <w:t>Discuss a comparative analysis of best practices of existing review mechanisms of MEAs, including the CMS Family agreements, taking into account their advantages, disadvantages and the cost involved;</w:t>
      </w:r>
    </w:p>
    <w:p w:rsidR="00BC2CFD" w:rsidRPr="00F003EB" w:rsidRDefault="00BC2CFD" w:rsidP="00BC2CFD">
      <w:pPr>
        <w:numPr>
          <w:ilvl w:val="0"/>
          <w:numId w:val="1"/>
        </w:numPr>
        <w:contextualSpacing/>
        <w:jc w:val="both"/>
      </w:pPr>
      <w:r w:rsidRPr="00F003EB">
        <w:t xml:space="preserve">Discuss an assessment of the feasibility for an existing body within CMS to exercise the functions of a review process (e.g. Standing Committee); </w:t>
      </w:r>
    </w:p>
    <w:p w:rsidR="00BC2CFD" w:rsidRPr="00F003EB" w:rsidRDefault="00BC2CFD" w:rsidP="00BC2CFD">
      <w:pPr>
        <w:numPr>
          <w:ilvl w:val="0"/>
          <w:numId w:val="1"/>
        </w:numPr>
        <w:contextualSpacing/>
        <w:jc w:val="both"/>
      </w:pPr>
      <w:r w:rsidRPr="00F003EB">
        <w:t>Prepare options for a CMS review process, including: determination of what parts of the instrument and its resolutions be part of the review process; cost analyses; and financial and institutional implications for CMS.</w:t>
      </w:r>
    </w:p>
    <w:p w:rsidR="00BC2CFD" w:rsidRPr="00F003EB" w:rsidRDefault="00BC2CFD" w:rsidP="00BC2CFD"/>
    <w:p w:rsidR="00BC2CFD" w:rsidRPr="00F003EB" w:rsidRDefault="00BC2CFD" w:rsidP="00BC2CFD">
      <w:pPr>
        <w:numPr>
          <w:ilvl w:val="0"/>
          <w:numId w:val="3"/>
        </w:numPr>
        <w:ind w:left="0" w:firstLine="0"/>
        <w:contextualSpacing/>
        <w:jc w:val="both"/>
      </w:pPr>
      <w:r w:rsidRPr="00F003EB">
        <w:t xml:space="preserve">All options will be considered under the principles of cost-efficiency and effectiveness as well as practicality and practicability for the Convention. </w:t>
      </w:r>
      <w:r>
        <w:t xml:space="preserve">The option of retaining the status quo (‘zero option’) will also be considered. </w:t>
      </w:r>
    </w:p>
    <w:p w:rsidR="00BC2CFD" w:rsidRDefault="00BC2CFD" w:rsidP="00BC2CFD">
      <w:pPr>
        <w:jc w:val="both"/>
      </w:pPr>
    </w:p>
    <w:p w:rsidR="00BC2CFD" w:rsidRDefault="00BC2CFD" w:rsidP="00BC2CFD">
      <w:pPr>
        <w:jc w:val="both"/>
      </w:pPr>
    </w:p>
    <w:p w:rsidR="00BC2CFD" w:rsidRDefault="00BC2CFD" w:rsidP="00BC2CFD">
      <w:pPr>
        <w:jc w:val="both"/>
      </w:pPr>
    </w:p>
    <w:p w:rsidR="00BC2CFD" w:rsidRPr="00F003EB" w:rsidRDefault="00BC2CFD" w:rsidP="00BC2CFD">
      <w:pPr>
        <w:jc w:val="both"/>
      </w:pPr>
    </w:p>
    <w:p w:rsidR="00BC2CFD" w:rsidRPr="00F003EB" w:rsidRDefault="00BC2CFD" w:rsidP="00BC2CFD">
      <w:pPr>
        <w:jc w:val="both"/>
        <w:rPr>
          <w:b/>
        </w:rPr>
      </w:pPr>
      <w:r w:rsidRPr="00F003EB">
        <w:rPr>
          <w:b/>
        </w:rPr>
        <w:lastRenderedPageBreak/>
        <w:t>Working Arrangements</w:t>
      </w:r>
    </w:p>
    <w:p w:rsidR="00BC2CFD" w:rsidRPr="00F003EB" w:rsidRDefault="00BC2CFD" w:rsidP="00BC2CFD"/>
    <w:p w:rsidR="00BC2CFD" w:rsidRPr="00F003EB" w:rsidRDefault="00BC2CFD" w:rsidP="00BC2CFD">
      <w:pPr>
        <w:numPr>
          <w:ilvl w:val="0"/>
          <w:numId w:val="3"/>
        </w:numPr>
        <w:ind w:left="0" w:firstLine="0"/>
        <w:contextualSpacing/>
        <w:jc w:val="both"/>
      </w:pPr>
      <w:r w:rsidRPr="00F003EB">
        <w:t>The Working Group will determine the structure of its work at its first meeting. Where at all possible, the Working Group will utilize existing meetings to conduct its work in order to reduce costs. The Secretariat will make available all expertise as required, including that of external consultants and experts if needed.</w:t>
      </w:r>
    </w:p>
    <w:p w:rsidR="00BC2CFD" w:rsidRPr="00F003EB" w:rsidRDefault="00BC2CFD" w:rsidP="00BC2CFD">
      <w:pPr>
        <w:rPr>
          <w:b/>
        </w:rPr>
      </w:pPr>
    </w:p>
    <w:p w:rsidR="00BC2CFD" w:rsidRPr="00F003EB" w:rsidRDefault="00BC2CFD" w:rsidP="00BC2CFD">
      <w:pPr>
        <w:jc w:val="both"/>
        <w:rPr>
          <w:b/>
        </w:rPr>
      </w:pPr>
      <w:r w:rsidRPr="00F003EB">
        <w:rPr>
          <w:b/>
        </w:rPr>
        <w:t>Budgetary Implications</w:t>
      </w:r>
    </w:p>
    <w:p w:rsidR="00BC2CFD" w:rsidRPr="00F003EB" w:rsidRDefault="00BC2CFD" w:rsidP="00BC2CFD"/>
    <w:p w:rsidR="00BC2CFD" w:rsidRPr="00F003EB" w:rsidRDefault="00BC2CFD" w:rsidP="00BC2CFD">
      <w:pPr>
        <w:numPr>
          <w:ilvl w:val="0"/>
          <w:numId w:val="3"/>
        </w:numPr>
        <w:ind w:left="0" w:firstLine="0"/>
        <w:contextualSpacing/>
        <w:jc w:val="both"/>
      </w:pPr>
      <w:r w:rsidRPr="00F003EB">
        <w:rPr>
          <w:iCs/>
        </w:rPr>
        <w:t xml:space="preserve">The Executive Secretary is requested </w:t>
      </w:r>
      <w:r w:rsidRPr="00F003EB">
        <w:t>to seek extra-budgetary resources, if required, in order to facilitate the participation of the developing countries that are represented on the Standing Committee in the meetings of the Working Group and for outsourcing some of the work.</w:t>
      </w:r>
    </w:p>
    <w:p w:rsidR="00BC2CFD" w:rsidRPr="00F003EB" w:rsidRDefault="00BC2CFD" w:rsidP="00BC2CFD">
      <w:pPr>
        <w:rPr>
          <w:b/>
        </w:rPr>
      </w:pPr>
    </w:p>
    <w:p w:rsidR="00BC2CFD" w:rsidRPr="00F003EB" w:rsidRDefault="00BC2CFD" w:rsidP="00BC2CFD">
      <w:pPr>
        <w:rPr>
          <w:b/>
        </w:rPr>
      </w:pPr>
      <w:r w:rsidRPr="00F003EB">
        <w:rPr>
          <w:b/>
        </w:rPr>
        <w:t>Timeline</w:t>
      </w:r>
    </w:p>
    <w:p w:rsidR="00BC2CFD" w:rsidRPr="00F003EB" w:rsidRDefault="00BC2CFD" w:rsidP="00BC2CFD">
      <w:pPr>
        <w:rPr>
          <w:b/>
        </w:rPr>
      </w:pPr>
    </w:p>
    <w:tbl>
      <w:tblPr>
        <w:tblStyle w:val="TableGrid"/>
        <w:tblW w:w="0" w:type="auto"/>
        <w:tblLook w:val="04A0" w:firstRow="1" w:lastRow="0" w:firstColumn="1" w:lastColumn="0" w:noHBand="0" w:noVBand="1"/>
      </w:tblPr>
      <w:tblGrid>
        <w:gridCol w:w="4675"/>
        <w:gridCol w:w="4675"/>
      </w:tblGrid>
      <w:tr w:rsidR="00BC2CFD" w:rsidRPr="00F003EB" w:rsidTr="00AA5ED9">
        <w:tc>
          <w:tcPr>
            <w:tcW w:w="4675" w:type="dxa"/>
          </w:tcPr>
          <w:p w:rsidR="00BC2CFD" w:rsidRPr="00F003EB" w:rsidRDefault="00BC2CFD" w:rsidP="00AA5ED9">
            <w:pPr>
              <w:jc w:val="both"/>
              <w:rPr>
                <w:b/>
              </w:rPr>
            </w:pPr>
            <w:r w:rsidRPr="00F003EB">
              <w:rPr>
                <w:b/>
              </w:rPr>
              <w:t>Activity</w:t>
            </w:r>
          </w:p>
        </w:tc>
        <w:tc>
          <w:tcPr>
            <w:tcW w:w="4675" w:type="dxa"/>
          </w:tcPr>
          <w:p w:rsidR="00BC2CFD" w:rsidRPr="00F003EB" w:rsidRDefault="00BC2CFD" w:rsidP="00AA5ED9">
            <w:pPr>
              <w:rPr>
                <w:b/>
              </w:rPr>
            </w:pPr>
            <w:r w:rsidRPr="00F003EB">
              <w:rPr>
                <w:b/>
              </w:rPr>
              <w:t>Timing</w:t>
            </w:r>
          </w:p>
        </w:tc>
      </w:tr>
      <w:tr w:rsidR="00BC2CFD" w:rsidRPr="00F003EB" w:rsidTr="00AA5ED9">
        <w:tc>
          <w:tcPr>
            <w:tcW w:w="4675" w:type="dxa"/>
          </w:tcPr>
          <w:p w:rsidR="00BC2CFD" w:rsidRPr="00F003EB" w:rsidRDefault="00BC2CFD" w:rsidP="00AA5ED9">
            <w:pPr>
              <w:jc w:val="both"/>
            </w:pPr>
            <w:r w:rsidRPr="00F003EB">
              <w:t xml:space="preserve">Adoption of Terms of Reference for and establishment of Working Group </w:t>
            </w:r>
          </w:p>
        </w:tc>
        <w:tc>
          <w:tcPr>
            <w:tcW w:w="4675" w:type="dxa"/>
          </w:tcPr>
          <w:p w:rsidR="00BC2CFD" w:rsidRPr="00F003EB" w:rsidRDefault="00BC2CFD" w:rsidP="00AA5ED9">
            <w:pPr>
              <w:jc w:val="both"/>
            </w:pPr>
            <w:r w:rsidRPr="00F003EB">
              <w:t>44</w:t>
            </w:r>
            <w:r w:rsidRPr="00F003EB">
              <w:rPr>
                <w:vertAlign w:val="superscript"/>
              </w:rPr>
              <w:t>th</w:t>
            </w:r>
            <w:r w:rsidRPr="00F003EB">
              <w:t xml:space="preserve"> Meeting of the CMS Standing Committee (14-15 October 2015)</w:t>
            </w:r>
          </w:p>
        </w:tc>
      </w:tr>
      <w:tr w:rsidR="00BC2CFD" w:rsidRPr="00F003EB" w:rsidTr="00AA5ED9">
        <w:tc>
          <w:tcPr>
            <w:tcW w:w="4675" w:type="dxa"/>
          </w:tcPr>
          <w:p w:rsidR="00BC2CFD" w:rsidRPr="00F003EB" w:rsidRDefault="00BC2CFD" w:rsidP="00AA5ED9">
            <w:pPr>
              <w:jc w:val="both"/>
            </w:pPr>
            <w:r w:rsidRPr="00F003EB">
              <w:t>Determination of structure of work and consideration of existing review mechanisms; Discussion of options for review mechanism and recommendations to CMS Conference of Parties</w:t>
            </w:r>
          </w:p>
        </w:tc>
        <w:tc>
          <w:tcPr>
            <w:tcW w:w="4675" w:type="dxa"/>
          </w:tcPr>
          <w:p w:rsidR="00BC2CFD" w:rsidRPr="00F003EB" w:rsidRDefault="00BC2CFD" w:rsidP="00AA5ED9">
            <w:pPr>
              <w:jc w:val="both"/>
            </w:pPr>
            <w:r w:rsidRPr="00F003EB">
              <w:t>First Meeting of Working Group – stand-alone</w:t>
            </w:r>
          </w:p>
          <w:p w:rsidR="00BC2CFD" w:rsidRPr="00F003EB" w:rsidRDefault="00BC2CFD" w:rsidP="00AA5ED9">
            <w:pPr>
              <w:jc w:val="both"/>
            </w:pPr>
            <w:r w:rsidRPr="00F003EB">
              <w:t>(June 2016)</w:t>
            </w:r>
          </w:p>
        </w:tc>
      </w:tr>
      <w:tr w:rsidR="00BC2CFD" w:rsidRPr="00F003EB" w:rsidTr="00AA5ED9">
        <w:tc>
          <w:tcPr>
            <w:tcW w:w="4675" w:type="dxa"/>
          </w:tcPr>
          <w:p w:rsidR="00BC2CFD" w:rsidRPr="00F003EB" w:rsidRDefault="00BC2CFD" w:rsidP="00AA5ED9">
            <w:pPr>
              <w:jc w:val="both"/>
            </w:pPr>
            <w:r w:rsidRPr="00F003EB">
              <w:t>Submission of review of progress</w:t>
            </w:r>
          </w:p>
        </w:tc>
        <w:tc>
          <w:tcPr>
            <w:tcW w:w="4675" w:type="dxa"/>
          </w:tcPr>
          <w:p w:rsidR="00BC2CFD" w:rsidRPr="00F003EB" w:rsidRDefault="00BC2CFD" w:rsidP="00AA5ED9">
            <w:pPr>
              <w:jc w:val="both"/>
            </w:pPr>
            <w:r w:rsidRPr="00F003EB">
              <w:t>Second Meeting of Working Group back-to-back with 45</w:t>
            </w:r>
            <w:r w:rsidRPr="00F003EB">
              <w:rPr>
                <w:vertAlign w:val="superscript"/>
              </w:rPr>
              <w:t>th</w:t>
            </w:r>
            <w:r w:rsidRPr="00F003EB">
              <w:t xml:space="preserve"> Meeting of the CMS Standing Committee</w:t>
            </w:r>
          </w:p>
          <w:p w:rsidR="00BC2CFD" w:rsidRPr="00F003EB" w:rsidRDefault="00BC2CFD" w:rsidP="00AA5ED9">
            <w:pPr>
              <w:jc w:val="both"/>
            </w:pPr>
            <w:r w:rsidRPr="00F003EB">
              <w:t>(2016)</w:t>
            </w:r>
          </w:p>
        </w:tc>
      </w:tr>
      <w:tr w:rsidR="00BC2CFD" w:rsidRPr="00F003EB" w:rsidTr="00AA5ED9">
        <w:tc>
          <w:tcPr>
            <w:tcW w:w="4675" w:type="dxa"/>
          </w:tcPr>
          <w:p w:rsidR="00BC2CFD" w:rsidRPr="00F003EB" w:rsidRDefault="00BC2CFD" w:rsidP="00AA5ED9">
            <w:pPr>
              <w:jc w:val="both"/>
            </w:pPr>
            <w:r w:rsidRPr="00F003EB">
              <w:t>Continuation of discussion started at First Meeting if required</w:t>
            </w:r>
          </w:p>
        </w:tc>
        <w:tc>
          <w:tcPr>
            <w:tcW w:w="4675" w:type="dxa"/>
          </w:tcPr>
          <w:p w:rsidR="00BC2CFD" w:rsidRPr="00F003EB" w:rsidRDefault="00BC2CFD" w:rsidP="00AA5ED9">
            <w:pPr>
              <w:jc w:val="both"/>
            </w:pPr>
            <w:r w:rsidRPr="00F003EB">
              <w:t>If required - Third Meeting of Working Group</w:t>
            </w:r>
          </w:p>
          <w:p w:rsidR="00BC2CFD" w:rsidRPr="00F003EB" w:rsidRDefault="00BC2CFD" w:rsidP="00AA5ED9">
            <w:pPr>
              <w:jc w:val="both"/>
            </w:pPr>
            <w:r w:rsidRPr="00F003EB">
              <w:t>(First half of 2017)</w:t>
            </w:r>
          </w:p>
        </w:tc>
      </w:tr>
      <w:tr w:rsidR="00BC2CFD" w:rsidRPr="00F003EB" w:rsidTr="00AA5ED9">
        <w:tc>
          <w:tcPr>
            <w:tcW w:w="4675" w:type="dxa"/>
          </w:tcPr>
          <w:p w:rsidR="00BC2CFD" w:rsidRPr="00F003EB" w:rsidRDefault="00BC2CFD" w:rsidP="00AA5ED9">
            <w:pPr>
              <w:jc w:val="both"/>
            </w:pPr>
            <w:r w:rsidRPr="00F003EB">
              <w:t xml:space="preserve">Submission of Report </w:t>
            </w:r>
          </w:p>
        </w:tc>
        <w:tc>
          <w:tcPr>
            <w:tcW w:w="4675" w:type="dxa"/>
          </w:tcPr>
          <w:p w:rsidR="00BC2CFD" w:rsidRPr="00F003EB" w:rsidRDefault="00BC2CFD" w:rsidP="00AA5ED9">
            <w:pPr>
              <w:jc w:val="both"/>
            </w:pPr>
            <w:r w:rsidRPr="00F003EB">
              <w:t>12</w:t>
            </w:r>
            <w:r w:rsidRPr="00F003EB">
              <w:rPr>
                <w:vertAlign w:val="superscript"/>
              </w:rPr>
              <w:t>th</w:t>
            </w:r>
            <w:r w:rsidRPr="00F003EB">
              <w:t xml:space="preserve"> Meeting of the CMS Conference of Parties</w:t>
            </w:r>
          </w:p>
          <w:p w:rsidR="00BC2CFD" w:rsidRPr="00F003EB" w:rsidRDefault="00BC2CFD" w:rsidP="00AA5ED9">
            <w:pPr>
              <w:jc w:val="both"/>
            </w:pPr>
            <w:r w:rsidRPr="00F003EB">
              <w:t>(October/November 2017)</w:t>
            </w:r>
          </w:p>
        </w:tc>
      </w:tr>
    </w:tbl>
    <w:p w:rsidR="00BC2CFD" w:rsidRPr="00F003EB" w:rsidRDefault="00BC2CFD" w:rsidP="00BC2CFD"/>
    <w:p w:rsidR="00BC2CFD" w:rsidRPr="00F003EB" w:rsidRDefault="00BC2CFD" w:rsidP="00BC2CFD">
      <w:pPr>
        <w:rPr>
          <w:b/>
        </w:rPr>
      </w:pPr>
    </w:p>
    <w:p w:rsidR="00BC2CFD" w:rsidRPr="00F003EB" w:rsidRDefault="00BC2CFD" w:rsidP="00BC2CFD"/>
    <w:p w:rsidR="00BC2CFD" w:rsidRPr="00F003EB" w:rsidRDefault="00BC2CFD" w:rsidP="00BC2CFD">
      <w:pPr>
        <w:widowControl w:val="0"/>
        <w:autoSpaceDE w:val="0"/>
        <w:autoSpaceDN w:val="0"/>
        <w:adjustRightInd w:val="0"/>
        <w:spacing w:after="120"/>
        <w:ind w:left="1080" w:hanging="900"/>
        <w:rPr>
          <w:sz w:val="22"/>
        </w:rPr>
        <w:sectPr w:rsidR="00BC2CFD" w:rsidRPr="00F003EB" w:rsidSect="004E48F1">
          <w:headerReference w:type="even" r:id="rId7"/>
          <w:headerReference w:type="default" r:id="rId8"/>
          <w:footerReference w:type="even" r:id="rId9"/>
          <w:footerReference w:type="default" r:id="rId10"/>
          <w:headerReference w:type="first" r:id="rId11"/>
          <w:footerReference w:type="first" r:id="rId12"/>
          <w:pgSz w:w="11906" w:h="16838" w:code="9"/>
          <w:pgMar w:top="1138" w:right="1138" w:bottom="1138" w:left="1138" w:header="461" w:footer="346" w:gutter="0"/>
          <w:cols w:space="708"/>
          <w:titlePg/>
          <w:rtlGutter/>
          <w:docGrid w:linePitch="360"/>
        </w:sectPr>
      </w:pPr>
    </w:p>
    <w:p w:rsidR="00BC2CFD" w:rsidRPr="00F003EB" w:rsidRDefault="00BC2CFD" w:rsidP="00BC2CFD">
      <w:pPr>
        <w:keepNext/>
        <w:ind w:right="98"/>
        <w:outlineLvl w:val="0"/>
        <w:rPr>
          <w:i/>
          <w:kern w:val="2"/>
          <w:sz w:val="8"/>
        </w:rPr>
      </w:pPr>
    </w:p>
    <w:p w:rsidR="00BC2CFD" w:rsidRPr="00F003EB" w:rsidRDefault="00BC2CFD" w:rsidP="00BC2CFD"/>
    <w:p w:rsidR="00BC2CFD" w:rsidRPr="00F003EB" w:rsidRDefault="00BC2CFD" w:rsidP="00BC2CFD">
      <w:pPr>
        <w:spacing w:line="228" w:lineRule="auto"/>
        <w:rPr>
          <w:iCs/>
        </w:rPr>
      </w:pPr>
    </w:p>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526"/>
        <w:gridCol w:w="4819"/>
        <w:gridCol w:w="2977"/>
      </w:tblGrid>
      <w:tr w:rsidR="00BC2CFD" w:rsidRPr="00F003EB" w:rsidTr="00AA5ED9">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BC2CFD" w:rsidRPr="00F003EB" w:rsidRDefault="00BC2CFD" w:rsidP="00AA5ED9">
            <w:pPr>
              <w:tabs>
                <w:tab w:val="left" w:pos="-1057"/>
                <w:tab w:val="left" w:pos="-720"/>
                <w:tab w:val="left" w:pos="0"/>
                <w:tab w:val="left" w:pos="141"/>
                <w:tab w:val="left" w:pos="720"/>
                <w:tab w:val="right" w:pos="9072"/>
              </w:tabs>
            </w:pPr>
            <w:r w:rsidRPr="00F003EB">
              <w:rPr>
                <w:noProof/>
                <w:lang w:val="en-US"/>
              </w:rPr>
              <w:drawing>
                <wp:inline distT="0" distB="0" distL="0" distR="0" wp14:anchorId="0FF2043C" wp14:editId="529928CB">
                  <wp:extent cx="314325" cy="342900"/>
                  <wp:effectExtent l="0" t="0" r="9525"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3822" t="-2544" r="-3822" b="-2544"/>
                          <a:stretch>
                            <a:fillRect/>
                          </a:stretch>
                        </pic:blipFill>
                        <pic:spPr bwMode="auto">
                          <a:xfrm>
                            <a:off x="0" y="0"/>
                            <a:ext cx="314325" cy="342900"/>
                          </a:xfrm>
                          <a:prstGeom prst="rect">
                            <a:avLst/>
                          </a:prstGeom>
                          <a:noFill/>
                          <a:ln>
                            <a:noFill/>
                          </a:ln>
                        </pic:spPr>
                      </pic:pic>
                    </a:graphicData>
                  </a:graphic>
                </wp:inline>
              </w:drawing>
            </w:r>
            <w:r w:rsidRPr="00F003EB">
              <w:t xml:space="preserve"> </w:t>
            </w:r>
            <w:r w:rsidRPr="00F003EB">
              <w:rPr>
                <w:noProof/>
                <w:lang w:val="en-US"/>
              </w:rPr>
              <w:drawing>
                <wp:inline distT="0" distB="0" distL="0" distR="0" wp14:anchorId="58BEDA06" wp14:editId="2CBEEFB3">
                  <wp:extent cx="361315" cy="371475"/>
                  <wp:effectExtent l="0" t="0" r="635" b="952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l="2766" t="-1331" r="60167" b="48776"/>
                          <a:stretch>
                            <a:fillRect/>
                          </a:stretch>
                        </pic:blipFill>
                        <pic:spPr bwMode="auto">
                          <a:xfrm>
                            <a:off x="0" y="0"/>
                            <a:ext cx="361315" cy="371475"/>
                          </a:xfrm>
                          <a:prstGeom prst="rect">
                            <a:avLst/>
                          </a:prstGeom>
                          <a:noFill/>
                          <a:ln>
                            <a:noFill/>
                          </a:ln>
                        </pic:spPr>
                      </pic:pic>
                    </a:graphicData>
                  </a:graphic>
                </wp:inline>
              </w:drawing>
            </w:r>
            <w:r w:rsidRPr="00F003EB">
              <w:tab/>
            </w:r>
            <w:r w:rsidRPr="00F003EB">
              <w:rPr>
                <w:rFonts w:ascii="Arial" w:hAnsi="Arial" w:cs="Arial"/>
                <w:b/>
                <w:sz w:val="36"/>
                <w:szCs w:val="36"/>
              </w:rPr>
              <w:t>CMS</w:t>
            </w:r>
          </w:p>
        </w:tc>
      </w:tr>
      <w:tr w:rsidR="00BC2CFD" w:rsidRPr="00F003EB" w:rsidTr="00AA5ED9">
        <w:trPr>
          <w:trHeight w:val="151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BC2CFD" w:rsidRPr="00F003EB" w:rsidRDefault="00BC2CFD" w:rsidP="00AA5ED9">
            <w:r w:rsidRPr="00F003EB">
              <w:rPr>
                <w:noProof/>
                <w:lang w:val="en-US"/>
              </w:rPr>
              <w:drawing>
                <wp:inline distT="0" distB="0" distL="0" distR="0" wp14:anchorId="33FE5F80" wp14:editId="40A27130">
                  <wp:extent cx="752475" cy="771525"/>
                  <wp:effectExtent l="0" t="0" r="9525" b="952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BC2CFD" w:rsidRPr="00F003EB" w:rsidRDefault="00BC2CFD" w:rsidP="00AA5ED9"/>
        </w:tc>
        <w:tc>
          <w:tcPr>
            <w:tcW w:w="4819" w:type="dxa"/>
            <w:tcBorders>
              <w:top w:val="single" w:sz="12" w:space="0" w:color="auto"/>
              <w:left w:val="nil"/>
              <w:bottom w:val="single" w:sz="12" w:space="0" w:color="auto"/>
              <w:right w:val="nil"/>
            </w:tcBorders>
            <w:tcMar>
              <w:top w:w="85" w:type="dxa"/>
              <w:left w:w="108" w:type="dxa"/>
              <w:bottom w:w="0" w:type="dxa"/>
              <w:right w:w="108" w:type="dxa"/>
            </w:tcMar>
          </w:tcPr>
          <w:p w:rsidR="00BC2CFD" w:rsidRPr="00F003EB" w:rsidRDefault="00BC2CFD" w:rsidP="00AA5ED9">
            <w:pPr>
              <w:keepNext/>
              <w:widowControl w:val="0"/>
              <w:tabs>
                <w:tab w:val="left" w:pos="-720"/>
                <w:tab w:val="left" w:pos="310"/>
                <w:tab w:val="left" w:pos="835"/>
              </w:tabs>
              <w:ind w:left="34"/>
              <w:jc w:val="both"/>
              <w:outlineLvl w:val="1"/>
              <w:rPr>
                <w:rFonts w:ascii="Arial" w:hAnsi="Arial" w:cs="Arial"/>
                <w:b/>
                <w:szCs w:val="20"/>
                <w:lang w:val="de-DE"/>
              </w:rPr>
            </w:pPr>
            <w:r w:rsidRPr="00F003EB">
              <w:rPr>
                <w:rFonts w:ascii="Arial" w:hAnsi="Arial" w:cs="Arial"/>
                <w:b/>
                <w:sz w:val="44"/>
                <w:szCs w:val="44"/>
                <w:lang w:val="de-DE"/>
              </w:rPr>
              <w:t>CONVENTION ON</w:t>
            </w:r>
          </w:p>
          <w:p w:rsidR="00BC2CFD" w:rsidRPr="00F003EB" w:rsidRDefault="00BC2CFD" w:rsidP="00AA5ED9">
            <w:pPr>
              <w:keepNext/>
              <w:widowControl w:val="0"/>
              <w:tabs>
                <w:tab w:val="left" w:pos="-720"/>
                <w:tab w:val="left" w:pos="310"/>
                <w:tab w:val="left" w:pos="835"/>
              </w:tabs>
              <w:ind w:left="34"/>
              <w:jc w:val="both"/>
              <w:outlineLvl w:val="1"/>
              <w:rPr>
                <w:rFonts w:ascii="Arial" w:hAnsi="Arial" w:cs="Arial"/>
                <w:b/>
                <w:szCs w:val="20"/>
                <w:lang w:val="de-DE"/>
              </w:rPr>
            </w:pPr>
            <w:r w:rsidRPr="00F003EB">
              <w:rPr>
                <w:rFonts w:ascii="Arial" w:hAnsi="Arial" w:cs="Arial"/>
                <w:b/>
                <w:sz w:val="44"/>
                <w:szCs w:val="44"/>
                <w:lang w:val="de-DE"/>
              </w:rPr>
              <w:t>MIGRATORY</w:t>
            </w:r>
          </w:p>
          <w:p w:rsidR="00BC2CFD" w:rsidRPr="00F003EB" w:rsidRDefault="00BC2CFD" w:rsidP="00AA5ED9">
            <w:pPr>
              <w:keepNext/>
              <w:widowControl w:val="0"/>
              <w:tabs>
                <w:tab w:val="left" w:pos="-720"/>
                <w:tab w:val="left" w:pos="310"/>
                <w:tab w:val="left" w:pos="835"/>
              </w:tabs>
              <w:ind w:left="34"/>
              <w:jc w:val="both"/>
              <w:outlineLvl w:val="1"/>
              <w:rPr>
                <w:rFonts w:ascii="Arial" w:hAnsi="Arial" w:cs="Arial"/>
                <w:szCs w:val="20"/>
              </w:rPr>
            </w:pPr>
            <w:r w:rsidRPr="00F003EB">
              <w:rPr>
                <w:rFonts w:ascii="Arial" w:hAnsi="Arial" w:cs="Arial"/>
                <w:b/>
                <w:sz w:val="44"/>
                <w:szCs w:val="44"/>
                <w:lang w:val="de-DE"/>
              </w:rPr>
              <w:t>SPECIES</w:t>
            </w:r>
          </w:p>
        </w:tc>
        <w:tc>
          <w:tcPr>
            <w:tcW w:w="2977" w:type="dxa"/>
            <w:tcBorders>
              <w:top w:val="single" w:sz="12" w:space="0" w:color="auto"/>
              <w:left w:val="nil"/>
              <w:bottom w:val="single" w:sz="12" w:space="0" w:color="auto"/>
              <w:right w:val="nil"/>
            </w:tcBorders>
            <w:tcMar>
              <w:top w:w="85" w:type="dxa"/>
              <w:left w:w="108" w:type="dxa"/>
              <w:bottom w:w="0" w:type="dxa"/>
              <w:right w:w="108" w:type="dxa"/>
            </w:tcMar>
          </w:tcPr>
          <w:p w:rsidR="00BC2CFD" w:rsidRPr="00F003EB" w:rsidRDefault="00BC2CFD" w:rsidP="00AA5ED9">
            <w:pPr>
              <w:tabs>
                <w:tab w:val="left" w:pos="5040"/>
                <w:tab w:val="left" w:pos="5760"/>
                <w:tab w:val="left" w:pos="6008"/>
                <w:tab w:val="left" w:pos="6480"/>
                <w:tab w:val="left" w:pos="7200"/>
                <w:tab w:val="left" w:pos="7920"/>
                <w:tab w:val="left" w:pos="8640"/>
              </w:tabs>
              <w:rPr>
                <w:rFonts w:ascii="Arial" w:hAnsi="Arial" w:cs="Arial"/>
                <w:sz w:val="22"/>
              </w:rPr>
            </w:pPr>
            <w:r w:rsidRPr="00F003EB">
              <w:rPr>
                <w:rFonts w:ascii="Arial" w:hAnsi="Arial" w:cs="Arial"/>
                <w:sz w:val="22"/>
                <w:szCs w:val="22"/>
              </w:rPr>
              <w:t>Distribution: General</w:t>
            </w:r>
          </w:p>
          <w:p w:rsidR="00BC2CFD" w:rsidRPr="00F003EB" w:rsidRDefault="00BC2CFD" w:rsidP="00AA5ED9">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rPr>
            </w:pPr>
          </w:p>
          <w:p w:rsidR="00BC2CFD" w:rsidRPr="00F003EB" w:rsidRDefault="00BC2CFD" w:rsidP="00AA5ED9">
            <w:pPr>
              <w:tabs>
                <w:tab w:val="left" w:pos="5040"/>
                <w:tab w:val="left" w:pos="5760"/>
                <w:tab w:val="left" w:pos="6008"/>
                <w:tab w:val="left" w:pos="6480"/>
                <w:tab w:val="left" w:pos="7200"/>
                <w:tab w:val="left" w:pos="7920"/>
                <w:tab w:val="left" w:pos="8640"/>
              </w:tabs>
              <w:rPr>
                <w:rFonts w:ascii="Arial" w:hAnsi="Arial" w:cs="Arial"/>
                <w:spacing w:val="-4"/>
                <w:sz w:val="22"/>
              </w:rPr>
            </w:pPr>
            <w:r w:rsidRPr="00F003EB">
              <w:rPr>
                <w:rFonts w:ascii="Arial" w:hAnsi="Arial" w:cs="Arial"/>
                <w:spacing w:val="-4"/>
                <w:sz w:val="22"/>
                <w:szCs w:val="22"/>
              </w:rPr>
              <w:t>UNEP/CMS/Resolution 11.7</w:t>
            </w:r>
          </w:p>
          <w:p w:rsidR="00BC2CFD" w:rsidRPr="00F003EB" w:rsidRDefault="00BC2CFD" w:rsidP="00AA5ED9">
            <w:pPr>
              <w:tabs>
                <w:tab w:val="left" w:pos="5040"/>
                <w:tab w:val="left" w:pos="5760"/>
                <w:tab w:val="left" w:pos="6008"/>
                <w:tab w:val="left" w:pos="6480"/>
                <w:tab w:val="left" w:pos="7200"/>
                <w:tab w:val="left" w:pos="7920"/>
                <w:tab w:val="left" w:pos="8640"/>
              </w:tabs>
              <w:rPr>
                <w:rFonts w:ascii="Arial" w:hAnsi="Arial" w:cs="Arial"/>
                <w:sz w:val="22"/>
              </w:rPr>
            </w:pPr>
          </w:p>
          <w:p w:rsidR="00BC2CFD" w:rsidRPr="00F003EB" w:rsidRDefault="00BC2CFD" w:rsidP="00AA5ED9">
            <w:pPr>
              <w:tabs>
                <w:tab w:val="left" w:pos="5040"/>
                <w:tab w:val="left" w:pos="5760"/>
                <w:tab w:val="left" w:pos="6008"/>
                <w:tab w:val="left" w:pos="6480"/>
                <w:tab w:val="left" w:pos="7200"/>
                <w:tab w:val="left" w:pos="7920"/>
                <w:tab w:val="left" w:pos="8640"/>
              </w:tabs>
              <w:rPr>
                <w:rFonts w:ascii="Arial" w:hAnsi="Arial" w:cs="Arial"/>
                <w:sz w:val="22"/>
              </w:rPr>
            </w:pPr>
          </w:p>
          <w:p w:rsidR="00BC2CFD" w:rsidRPr="00F003EB" w:rsidRDefault="00BC2CFD" w:rsidP="00AA5ED9">
            <w:pPr>
              <w:rPr>
                <w:rFonts w:ascii="Arial" w:hAnsi="Arial" w:cs="Arial"/>
                <w:sz w:val="22"/>
              </w:rPr>
            </w:pPr>
            <w:r w:rsidRPr="00F003EB">
              <w:rPr>
                <w:rFonts w:ascii="Arial" w:hAnsi="Arial" w:cs="Arial"/>
                <w:sz w:val="22"/>
                <w:szCs w:val="22"/>
              </w:rPr>
              <w:t>Original: English</w:t>
            </w:r>
          </w:p>
        </w:tc>
      </w:tr>
    </w:tbl>
    <w:p w:rsidR="00BC2CFD" w:rsidRPr="00F003EB" w:rsidRDefault="00BC2CFD" w:rsidP="00BC2CFD">
      <w:pPr>
        <w:spacing w:line="228" w:lineRule="auto"/>
        <w:rPr>
          <w:bCs/>
          <w:caps/>
        </w:rPr>
      </w:pPr>
    </w:p>
    <w:p w:rsidR="00BC2CFD" w:rsidRPr="00F003EB" w:rsidRDefault="00BC2CFD" w:rsidP="00BC2CFD">
      <w:pPr>
        <w:jc w:val="center"/>
      </w:pPr>
      <w:r w:rsidRPr="00F003EB">
        <w:rPr>
          <w:b/>
        </w:rPr>
        <w:t>ENHANCING THE EFFECTIVENESS OF THE CONVENTION THROUGH A PROCESS TO REVIEW IMPLEMENTATION</w:t>
      </w:r>
    </w:p>
    <w:p w:rsidR="00BC2CFD" w:rsidRPr="00F003EB" w:rsidRDefault="00BC2CFD" w:rsidP="00BC2CFD">
      <w:pPr>
        <w:jc w:val="both"/>
      </w:pPr>
    </w:p>
    <w:p w:rsidR="00BC2CFD" w:rsidRPr="00F003EB" w:rsidRDefault="00BC2CFD" w:rsidP="00BC2CFD">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pPr>
    </w:p>
    <w:p w:rsidR="00BC2CFD" w:rsidRPr="00F003EB" w:rsidRDefault="00BC2CFD" w:rsidP="00BC2CFD">
      <w:pPr>
        <w:jc w:val="center"/>
        <w:rPr>
          <w:color w:val="000000"/>
          <w:spacing w:val="-4"/>
        </w:rPr>
      </w:pPr>
      <w:r w:rsidRPr="00F003EB">
        <w:rPr>
          <w:color w:val="000000"/>
          <w:spacing w:val="-4"/>
        </w:rPr>
        <w:t>Adopted by the Conference of the Parties at its 11</w:t>
      </w:r>
      <w:r w:rsidRPr="00F003EB">
        <w:rPr>
          <w:color w:val="000000"/>
          <w:spacing w:val="-4"/>
          <w:vertAlign w:val="superscript"/>
        </w:rPr>
        <w:t>th</w:t>
      </w:r>
      <w:r w:rsidRPr="00F003EB">
        <w:rPr>
          <w:color w:val="000000"/>
          <w:spacing w:val="-4"/>
        </w:rPr>
        <w:t xml:space="preserve"> Meeting (Quito, 4-9 November 2014)</w:t>
      </w:r>
    </w:p>
    <w:p w:rsidR="00BC2CFD" w:rsidRPr="00F003EB" w:rsidRDefault="00BC2CFD" w:rsidP="00BC2CFD">
      <w:pPr>
        <w:jc w:val="both"/>
        <w:rPr>
          <w:sz w:val="16"/>
          <w:szCs w:val="16"/>
        </w:rPr>
      </w:pPr>
    </w:p>
    <w:p w:rsidR="00BC2CFD" w:rsidRPr="00F003EB" w:rsidRDefault="00BC2CFD" w:rsidP="00BC2CFD">
      <w:pPr>
        <w:pBdr>
          <w:top w:val="double" w:sz="4" w:space="1" w:color="auto"/>
        </w:pBdr>
        <w:jc w:val="both"/>
      </w:pPr>
    </w:p>
    <w:p w:rsidR="00BC2CFD" w:rsidRPr="00F003EB" w:rsidRDefault="00BC2CFD" w:rsidP="00BC2CFD">
      <w:pPr>
        <w:jc w:val="both"/>
        <w:rPr>
          <w:bCs/>
        </w:rPr>
      </w:pPr>
    </w:p>
    <w:p w:rsidR="00BC2CFD" w:rsidRPr="00F003EB" w:rsidRDefault="00BC2CFD" w:rsidP="00BC2CFD">
      <w:pPr>
        <w:ind w:firstLine="720"/>
        <w:jc w:val="both"/>
      </w:pPr>
      <w:r w:rsidRPr="00F003EB">
        <w:rPr>
          <w:i/>
          <w:spacing w:val="-3"/>
        </w:rPr>
        <w:t xml:space="preserve">Recalling </w:t>
      </w:r>
      <w:r w:rsidRPr="00F003EB">
        <w:rPr>
          <w:spacing w:val="-3"/>
        </w:rPr>
        <w:t xml:space="preserve">that the United Nations Environment Programme, in its </w:t>
      </w:r>
      <w:r w:rsidRPr="00F003EB">
        <w:rPr>
          <w:bCs/>
          <w:i/>
        </w:rPr>
        <w:t xml:space="preserve">Guidelines on Compliance with and Enforcement of Multilateral Environmental </w:t>
      </w:r>
      <w:bookmarkStart w:id="0" w:name="_GoBack"/>
      <w:bookmarkEnd w:id="0"/>
      <w:r w:rsidRPr="00F003EB">
        <w:rPr>
          <w:bCs/>
          <w:i/>
        </w:rPr>
        <w:t>Agreements</w:t>
      </w:r>
      <w:r w:rsidRPr="00F003EB">
        <w:rPr>
          <w:spacing w:val="-3"/>
        </w:rPr>
        <w:t xml:space="preserve"> (2002), has identified “[s]</w:t>
      </w:r>
      <w:proofErr w:type="spellStart"/>
      <w:r w:rsidRPr="00F003EB">
        <w:t>trengthening</w:t>
      </w:r>
      <w:proofErr w:type="spellEnd"/>
      <w:r w:rsidRPr="00F003EB">
        <w:t xml:space="preserve"> of compliance with multilateral environmental agreements … as a key issue”;</w:t>
      </w:r>
    </w:p>
    <w:p w:rsidR="00BC2CFD" w:rsidRPr="00F003EB" w:rsidRDefault="00BC2CFD" w:rsidP="00BC2CFD">
      <w:pPr>
        <w:jc w:val="both"/>
      </w:pPr>
    </w:p>
    <w:p w:rsidR="00BC2CFD" w:rsidRPr="00F003EB" w:rsidRDefault="00BC2CFD" w:rsidP="00BC2CFD">
      <w:pPr>
        <w:ind w:firstLine="720"/>
        <w:jc w:val="both"/>
      </w:pPr>
      <w:r w:rsidRPr="00F003EB">
        <w:rPr>
          <w:i/>
        </w:rPr>
        <w:t xml:space="preserve">Noting </w:t>
      </w:r>
      <w:r w:rsidRPr="00F003EB">
        <w:t xml:space="preserve">that most major multilateral environmental agreements have established a process for </w:t>
      </w:r>
      <w:r w:rsidRPr="00F003EB">
        <w:rPr>
          <w:spacing w:val="-3"/>
        </w:rPr>
        <w:t>facilitating implementation and providing support to those Parties experiencing difficulties with implementation</w:t>
      </w:r>
      <w:r w:rsidRPr="00F003EB">
        <w:t>;</w:t>
      </w:r>
    </w:p>
    <w:p w:rsidR="00BC2CFD" w:rsidRPr="00F003EB" w:rsidRDefault="00BC2CFD" w:rsidP="00BC2CFD">
      <w:pPr>
        <w:jc w:val="both"/>
      </w:pPr>
    </w:p>
    <w:p w:rsidR="00BC2CFD" w:rsidRPr="00F003EB" w:rsidRDefault="00BC2CFD" w:rsidP="00BC2CFD">
      <w:pPr>
        <w:ind w:firstLine="720"/>
        <w:jc w:val="both"/>
        <w:rPr>
          <w:spacing w:val="-2"/>
        </w:rPr>
      </w:pPr>
      <w:r w:rsidRPr="00F003EB">
        <w:rPr>
          <w:i/>
          <w:spacing w:val="-2"/>
        </w:rPr>
        <w:t xml:space="preserve">Aware </w:t>
      </w:r>
      <w:r w:rsidRPr="00F003EB">
        <w:rPr>
          <w:spacing w:val="-2"/>
        </w:rPr>
        <w:t xml:space="preserve">that two agreements within the CMS Family, the Agreement on the Conservation of African-Eurasian Migratory </w:t>
      </w:r>
      <w:proofErr w:type="spellStart"/>
      <w:r w:rsidRPr="00F003EB">
        <w:rPr>
          <w:spacing w:val="-2"/>
        </w:rPr>
        <w:t>Waterbirds</w:t>
      </w:r>
      <w:proofErr w:type="spellEnd"/>
      <w:r w:rsidRPr="00F003EB">
        <w:rPr>
          <w:spacing w:val="-2"/>
        </w:rPr>
        <w:t xml:space="preserve"> (AEWA) and the Agreement on the Conservation of Cetaceans of the Black Sea, Mediterranean Sea and Contiguous Atlantic Area (ACCOBAMS), already have processes for reviewing the effectiveness of implementation measures (AEWA </w:t>
      </w:r>
      <w:hyperlink r:id="rId16" w:history="1">
        <w:r w:rsidRPr="00D53555">
          <w:rPr>
            <w:rStyle w:val="Hyperlink"/>
            <w:spacing w:val="-2"/>
          </w:rPr>
          <w:t>Resolution 4.6</w:t>
        </w:r>
      </w:hyperlink>
      <w:r w:rsidRPr="00F003EB">
        <w:rPr>
          <w:spacing w:val="-2"/>
        </w:rPr>
        <w:t xml:space="preserve">, </w:t>
      </w:r>
      <w:r w:rsidRPr="00F003EB">
        <w:rPr>
          <w:i/>
          <w:spacing w:val="-2"/>
        </w:rPr>
        <w:t>Establishment of an Implementation Review Process</w:t>
      </w:r>
      <w:r w:rsidRPr="00F003EB">
        <w:rPr>
          <w:spacing w:val="-2"/>
        </w:rPr>
        <w:t xml:space="preserve"> (2008), ACCOBAMS </w:t>
      </w:r>
      <w:hyperlink r:id="rId17" w:history="1">
        <w:r w:rsidRPr="00D53555">
          <w:rPr>
            <w:rStyle w:val="Hyperlink"/>
            <w:spacing w:val="-2"/>
          </w:rPr>
          <w:t>Resolution 5.4</w:t>
        </w:r>
      </w:hyperlink>
      <w:r w:rsidRPr="00F003EB">
        <w:rPr>
          <w:spacing w:val="-2"/>
        </w:rPr>
        <w:t xml:space="preserve">, </w:t>
      </w:r>
      <w:r w:rsidRPr="00F003EB">
        <w:rPr>
          <w:i/>
          <w:iCs/>
          <w:spacing w:val="-2"/>
        </w:rPr>
        <w:t>ACCOBAMS Follow-up Procedure</w:t>
      </w:r>
      <w:r w:rsidRPr="00F003EB">
        <w:rPr>
          <w:iCs/>
          <w:spacing w:val="-2"/>
        </w:rPr>
        <w:t xml:space="preserve"> (2013)</w:t>
      </w:r>
      <w:r w:rsidRPr="00F003EB">
        <w:rPr>
          <w:spacing w:val="-2"/>
        </w:rPr>
        <w:t>);</w:t>
      </w:r>
    </w:p>
    <w:p w:rsidR="00BC2CFD" w:rsidRPr="00F003EB" w:rsidRDefault="00BC2CFD" w:rsidP="00BC2CFD">
      <w:pPr>
        <w:jc w:val="both"/>
      </w:pPr>
    </w:p>
    <w:p w:rsidR="00BC2CFD" w:rsidRPr="00F003EB" w:rsidRDefault="00BC2CFD" w:rsidP="00BC2CFD">
      <w:pPr>
        <w:ind w:firstLine="720"/>
        <w:jc w:val="both"/>
      </w:pPr>
      <w:r w:rsidRPr="00F003EB">
        <w:rPr>
          <w:i/>
        </w:rPr>
        <w:t xml:space="preserve">Recognizing </w:t>
      </w:r>
      <w:r w:rsidRPr="00F003EB">
        <w:t>that both compliance with the Convention’s obligations and the effectiveness of implementation measures are critical to the conservation and management of migratory species;</w:t>
      </w:r>
    </w:p>
    <w:p w:rsidR="00BC2CFD" w:rsidRPr="00F003EB" w:rsidRDefault="00BC2CFD" w:rsidP="00BC2CFD">
      <w:pPr>
        <w:jc w:val="both"/>
      </w:pPr>
    </w:p>
    <w:p w:rsidR="00BC2CFD" w:rsidRPr="00F003EB" w:rsidRDefault="00BC2CFD" w:rsidP="00BC2CFD">
      <w:pPr>
        <w:ind w:firstLine="720"/>
        <w:jc w:val="both"/>
      </w:pPr>
      <w:r w:rsidRPr="00F003EB">
        <w:rPr>
          <w:i/>
        </w:rPr>
        <w:t xml:space="preserve">Recalling </w:t>
      </w:r>
      <w:r w:rsidRPr="00F003EB">
        <w:t xml:space="preserve">Article VII, paragraph 5, of the Convention, which provides that “the Conference of the Parties shall </w:t>
      </w:r>
      <w:r w:rsidRPr="00F003EB">
        <w:rPr>
          <w:spacing w:val="-3"/>
        </w:rPr>
        <w:t>review the implementation of this Convention” and may, in particular, “make recommendations to the Parties for improving the effectiveness of this Convention”;</w:t>
      </w:r>
    </w:p>
    <w:p w:rsidR="00BC2CFD" w:rsidRPr="00F003EB" w:rsidRDefault="00BC2CFD" w:rsidP="00BC2CFD">
      <w:pPr>
        <w:jc w:val="both"/>
      </w:pPr>
    </w:p>
    <w:p w:rsidR="00BC2CFD" w:rsidRPr="00F003EB" w:rsidRDefault="00BC2CFD" w:rsidP="00BC2CFD">
      <w:pPr>
        <w:ind w:firstLine="720"/>
        <w:jc w:val="both"/>
        <w:sectPr w:rsidR="00BC2CFD" w:rsidRPr="00F003EB" w:rsidSect="004C01DF">
          <w:headerReference w:type="first" r:id="rId18"/>
          <w:pgSz w:w="11906" w:h="16838" w:code="9"/>
          <w:pgMar w:top="1476" w:right="1138" w:bottom="1138" w:left="1138" w:header="461" w:footer="346" w:gutter="0"/>
          <w:cols w:space="708"/>
          <w:titlePg/>
          <w:rtlGutter/>
          <w:docGrid w:linePitch="360"/>
        </w:sectPr>
      </w:pPr>
      <w:r w:rsidRPr="00F003EB">
        <w:rPr>
          <w:i/>
        </w:rPr>
        <w:t xml:space="preserve">Recalling </w:t>
      </w:r>
      <w:hyperlink r:id="rId19" w:history="1">
        <w:r w:rsidRPr="00D53555">
          <w:rPr>
            <w:rStyle w:val="Hyperlink"/>
          </w:rPr>
          <w:t>Resolution 10.9</w:t>
        </w:r>
      </w:hyperlink>
      <w:r w:rsidRPr="00F003EB">
        <w:t>, Activity 16, of the Future Structure and Strategies for CMS, which establishes a medium-term priority (by COP12–2017) to “improve mechanisms to measure implementation of CMS and its Family … and identification of gaps and propose measures to close these gaps”; and</w:t>
      </w:r>
    </w:p>
    <w:p w:rsidR="00BC2CFD" w:rsidRPr="00F003EB" w:rsidRDefault="00BC2CFD" w:rsidP="00BC2CFD">
      <w:pPr>
        <w:pageBreakBefore/>
        <w:jc w:val="both"/>
        <w:rPr>
          <w:spacing w:val="-3"/>
        </w:rPr>
      </w:pPr>
      <w:r w:rsidRPr="00F003EB">
        <w:rPr>
          <w:i/>
        </w:rPr>
        <w:lastRenderedPageBreak/>
        <w:t xml:space="preserve">Recalling </w:t>
      </w:r>
      <w:r w:rsidRPr="00F003EB">
        <w:t>Article IX, paragraph 4, of the Convention, which</w:t>
      </w:r>
      <w:r w:rsidRPr="00F003EB">
        <w:rPr>
          <w:spacing w:val="-3"/>
        </w:rPr>
        <w:t xml:space="preserve"> directs the Secretariat “to invite the attention of the Conference of the Parties to any matter pertaining to the objectives of this Convention”;</w:t>
      </w:r>
    </w:p>
    <w:p w:rsidR="00BC2CFD" w:rsidRPr="00F003EB" w:rsidRDefault="00BC2CFD" w:rsidP="00BC2CFD">
      <w:pPr>
        <w:jc w:val="both"/>
        <w:rPr>
          <w:spacing w:val="-3"/>
        </w:rPr>
      </w:pPr>
    </w:p>
    <w:p w:rsidR="00BC2CFD" w:rsidRPr="00F003EB" w:rsidRDefault="00BC2CFD" w:rsidP="00BC2CFD">
      <w:pPr>
        <w:jc w:val="both"/>
        <w:rPr>
          <w:spacing w:val="-3"/>
        </w:rPr>
      </w:pPr>
    </w:p>
    <w:p w:rsidR="00BC2CFD" w:rsidRPr="00F003EB" w:rsidRDefault="00BC2CFD" w:rsidP="00BC2CFD">
      <w:pPr>
        <w:jc w:val="center"/>
        <w:rPr>
          <w:bCs/>
        </w:rPr>
      </w:pPr>
      <w:r w:rsidRPr="00F003EB">
        <w:rPr>
          <w:bCs/>
          <w:i/>
          <w:iCs/>
        </w:rPr>
        <w:t>The Conference of the Parties to the</w:t>
      </w:r>
    </w:p>
    <w:p w:rsidR="00BC2CFD" w:rsidRPr="00F003EB" w:rsidRDefault="00BC2CFD" w:rsidP="00BC2CFD">
      <w:pPr>
        <w:jc w:val="center"/>
        <w:rPr>
          <w:bCs/>
          <w:iCs/>
        </w:rPr>
      </w:pPr>
      <w:r w:rsidRPr="00F003EB">
        <w:rPr>
          <w:bCs/>
          <w:i/>
          <w:iCs/>
        </w:rPr>
        <w:t>Convention on the Conservation of Migratory Species of Wild Animals</w:t>
      </w:r>
    </w:p>
    <w:p w:rsidR="00BC2CFD" w:rsidRPr="00F003EB" w:rsidRDefault="00BC2CFD" w:rsidP="00BC2CFD">
      <w:pPr>
        <w:jc w:val="both"/>
        <w:rPr>
          <w:bCs/>
          <w:iCs/>
        </w:rPr>
      </w:pPr>
    </w:p>
    <w:p w:rsidR="00BC2CFD" w:rsidRPr="00F003EB" w:rsidRDefault="00BC2CFD" w:rsidP="00BC2CFD">
      <w:pPr>
        <w:numPr>
          <w:ilvl w:val="0"/>
          <w:numId w:val="2"/>
        </w:numPr>
        <w:autoSpaceDE w:val="0"/>
        <w:autoSpaceDN w:val="0"/>
        <w:adjustRightInd w:val="0"/>
        <w:contextualSpacing/>
        <w:jc w:val="both"/>
      </w:pPr>
      <w:r w:rsidRPr="00F003EB">
        <w:rPr>
          <w:i/>
          <w:iCs/>
        </w:rPr>
        <w:t xml:space="preserve">Launches </w:t>
      </w:r>
      <w:r w:rsidRPr="00F003EB">
        <w:t>an intersessional process to explore possibilities for strengthening implementation of the Convention through the development of a review process;</w:t>
      </w:r>
    </w:p>
    <w:p w:rsidR="00BC2CFD" w:rsidRPr="00F003EB" w:rsidRDefault="00BC2CFD" w:rsidP="00BC2CFD">
      <w:pPr>
        <w:contextualSpacing/>
        <w:jc w:val="both"/>
      </w:pPr>
    </w:p>
    <w:p w:rsidR="00BC2CFD" w:rsidRPr="00F003EB" w:rsidRDefault="00BC2CFD" w:rsidP="00BC2CFD">
      <w:pPr>
        <w:numPr>
          <w:ilvl w:val="0"/>
          <w:numId w:val="2"/>
        </w:numPr>
        <w:autoSpaceDE w:val="0"/>
        <w:autoSpaceDN w:val="0"/>
        <w:adjustRightInd w:val="0"/>
        <w:contextualSpacing/>
        <w:jc w:val="both"/>
        <w:rPr>
          <w:bCs/>
        </w:rPr>
      </w:pPr>
      <w:r w:rsidRPr="00F003EB">
        <w:rPr>
          <w:i/>
        </w:rPr>
        <w:t xml:space="preserve">Instructs </w:t>
      </w:r>
      <w:r w:rsidRPr="00F003EB">
        <w:t>the Secretariat to propose terms of reference for a working group to be considered for adoption by the Standing Committee at its 44</w:t>
      </w:r>
      <w:r w:rsidRPr="00F003EB">
        <w:rPr>
          <w:vertAlign w:val="superscript"/>
        </w:rPr>
        <w:t>th</w:t>
      </w:r>
      <w:r w:rsidRPr="00F003EB">
        <w:t xml:space="preserve"> Meeting;</w:t>
      </w:r>
    </w:p>
    <w:p w:rsidR="00BC2CFD" w:rsidRPr="00F003EB" w:rsidRDefault="00BC2CFD" w:rsidP="00BC2CFD">
      <w:pPr>
        <w:contextualSpacing/>
        <w:rPr>
          <w:bCs/>
        </w:rPr>
      </w:pPr>
    </w:p>
    <w:p w:rsidR="00BC2CFD" w:rsidRPr="00F003EB" w:rsidRDefault="00BC2CFD" w:rsidP="00BC2CFD">
      <w:pPr>
        <w:numPr>
          <w:ilvl w:val="0"/>
          <w:numId w:val="2"/>
        </w:numPr>
        <w:autoSpaceDE w:val="0"/>
        <w:autoSpaceDN w:val="0"/>
        <w:adjustRightInd w:val="0"/>
        <w:contextualSpacing/>
        <w:jc w:val="both"/>
        <w:rPr>
          <w:bCs/>
        </w:rPr>
      </w:pPr>
      <w:r w:rsidRPr="00F003EB">
        <w:rPr>
          <w:bCs/>
          <w:i/>
        </w:rPr>
        <w:t xml:space="preserve">Instructs </w:t>
      </w:r>
      <w:r w:rsidRPr="00F003EB">
        <w:rPr>
          <w:bCs/>
        </w:rPr>
        <w:t>the Standing Committee at its 45</w:t>
      </w:r>
      <w:r w:rsidRPr="00F003EB">
        <w:rPr>
          <w:bCs/>
          <w:vertAlign w:val="superscript"/>
        </w:rPr>
        <w:t>th</w:t>
      </w:r>
      <w:r w:rsidRPr="00F003EB">
        <w:rPr>
          <w:bCs/>
        </w:rPr>
        <w:t xml:space="preserve"> Meeting to review any progress, if a working group is established, and report to the 12</w:t>
      </w:r>
      <w:r w:rsidRPr="00F003EB">
        <w:rPr>
          <w:bCs/>
          <w:vertAlign w:val="superscript"/>
        </w:rPr>
        <w:t>th</w:t>
      </w:r>
      <w:r w:rsidRPr="00F003EB">
        <w:rPr>
          <w:bCs/>
        </w:rPr>
        <w:t xml:space="preserve"> Meeting of Conference of the Parties;</w:t>
      </w:r>
    </w:p>
    <w:p w:rsidR="00BC2CFD" w:rsidRPr="00F003EB" w:rsidRDefault="00BC2CFD" w:rsidP="00BC2CFD">
      <w:pPr>
        <w:contextualSpacing/>
        <w:jc w:val="both"/>
        <w:rPr>
          <w:bCs/>
        </w:rPr>
      </w:pPr>
    </w:p>
    <w:p w:rsidR="00BC2CFD" w:rsidRPr="00F003EB" w:rsidRDefault="00BC2CFD" w:rsidP="00BC2CFD">
      <w:pPr>
        <w:numPr>
          <w:ilvl w:val="0"/>
          <w:numId w:val="2"/>
        </w:numPr>
        <w:contextualSpacing/>
        <w:jc w:val="both"/>
        <w:rPr>
          <w:bCs/>
        </w:rPr>
      </w:pPr>
      <w:r w:rsidRPr="00F003EB">
        <w:rPr>
          <w:i/>
          <w:iCs/>
        </w:rPr>
        <w:t xml:space="preserve">Instructs </w:t>
      </w:r>
      <w:r w:rsidRPr="00F003EB">
        <w:t>the Secretariat to support the process;</w:t>
      </w:r>
    </w:p>
    <w:p w:rsidR="00BC2CFD" w:rsidRPr="00F003EB" w:rsidRDefault="00BC2CFD" w:rsidP="00BC2CFD">
      <w:pPr>
        <w:jc w:val="both"/>
        <w:rPr>
          <w:bCs/>
        </w:rPr>
      </w:pPr>
    </w:p>
    <w:p w:rsidR="00BC2CFD" w:rsidRPr="00F003EB" w:rsidRDefault="00BC2CFD" w:rsidP="00BC2CFD">
      <w:pPr>
        <w:numPr>
          <w:ilvl w:val="0"/>
          <w:numId w:val="2"/>
        </w:numPr>
        <w:contextualSpacing/>
        <w:jc w:val="both"/>
      </w:pPr>
      <w:r w:rsidRPr="00F003EB">
        <w:rPr>
          <w:i/>
        </w:rPr>
        <w:t>Requests</w:t>
      </w:r>
      <w:r w:rsidRPr="00F003EB">
        <w:t xml:space="preserve"> UNEP, Parties and other donors to provide financial assistance to support the development of the review process; and</w:t>
      </w:r>
    </w:p>
    <w:p w:rsidR="00BC2CFD" w:rsidRPr="00F003EB" w:rsidRDefault="00BC2CFD" w:rsidP="00BC2CFD">
      <w:pPr>
        <w:contextualSpacing/>
      </w:pPr>
    </w:p>
    <w:p w:rsidR="00BC2CFD" w:rsidRPr="00F003EB" w:rsidRDefault="00BC2CFD" w:rsidP="00BC2CFD">
      <w:pPr>
        <w:numPr>
          <w:ilvl w:val="0"/>
          <w:numId w:val="2"/>
        </w:numPr>
        <w:contextualSpacing/>
        <w:jc w:val="both"/>
      </w:pPr>
      <w:r w:rsidRPr="00F003EB">
        <w:rPr>
          <w:i/>
        </w:rPr>
        <w:t>Requests</w:t>
      </w:r>
      <w:r w:rsidRPr="00F003EB">
        <w:t xml:space="preserve"> the Secretariat, where possible, to reduce costs by convening potential meetings of the Working Group in the most cost-effective way.</w:t>
      </w:r>
    </w:p>
    <w:p w:rsidR="009046F5" w:rsidRDefault="009046F5"/>
    <w:sectPr w:rsidR="009046F5" w:rsidSect="004E48F1">
      <w:pgSz w:w="11909" w:h="16834" w:code="9"/>
      <w:pgMar w:top="1440" w:right="1440" w:bottom="1440" w:left="1440" w:header="461"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EC" w:rsidRDefault="00D442EC" w:rsidP="00BC2CFD">
      <w:r>
        <w:separator/>
      </w:r>
    </w:p>
  </w:endnote>
  <w:endnote w:type="continuationSeparator" w:id="0">
    <w:p w:rsidR="00D442EC" w:rsidRDefault="00D442EC" w:rsidP="00BC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13709"/>
      <w:docPartObj>
        <w:docPartGallery w:val="Page Numbers (Bottom of Page)"/>
        <w:docPartUnique/>
      </w:docPartObj>
    </w:sdtPr>
    <w:sdtEndPr>
      <w:rPr>
        <w:noProof/>
      </w:rPr>
    </w:sdtEndPr>
    <w:sdtContent>
      <w:p w:rsidR="004E48F1" w:rsidRDefault="004E48F1">
        <w:pPr>
          <w:pStyle w:val="Footer"/>
          <w:jc w:val="center"/>
        </w:pPr>
        <w:r>
          <w:fldChar w:fldCharType="begin"/>
        </w:r>
        <w:r>
          <w:instrText xml:space="preserve"> PAGE   \* MERGEFORMAT </w:instrText>
        </w:r>
        <w:r>
          <w:fldChar w:fldCharType="separate"/>
        </w:r>
        <w:r w:rsidR="00B94C29">
          <w:rPr>
            <w:noProof/>
          </w:rPr>
          <w:t>2</w:t>
        </w:r>
        <w:r>
          <w:rPr>
            <w:noProof/>
          </w:rPr>
          <w:fldChar w:fldCharType="end"/>
        </w:r>
      </w:p>
    </w:sdtContent>
  </w:sdt>
  <w:p w:rsidR="004E48F1" w:rsidRDefault="004E4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F1" w:rsidRDefault="004E4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24869"/>
      <w:docPartObj>
        <w:docPartGallery w:val="Page Numbers (Bottom of Page)"/>
        <w:docPartUnique/>
      </w:docPartObj>
    </w:sdtPr>
    <w:sdtEndPr>
      <w:rPr>
        <w:noProof/>
      </w:rPr>
    </w:sdtEndPr>
    <w:sdtContent>
      <w:p w:rsidR="004E48F1" w:rsidRDefault="004E48F1">
        <w:pPr>
          <w:pStyle w:val="Footer"/>
          <w:jc w:val="center"/>
        </w:pPr>
        <w:r>
          <w:fldChar w:fldCharType="begin"/>
        </w:r>
        <w:r>
          <w:instrText xml:space="preserve"> PAGE   \* MERGEFORMAT </w:instrText>
        </w:r>
        <w:r>
          <w:fldChar w:fldCharType="separate"/>
        </w:r>
        <w:r w:rsidR="00B94C29">
          <w:rPr>
            <w:noProof/>
          </w:rPr>
          <w:t>1</w:t>
        </w:r>
        <w:r>
          <w:rPr>
            <w:noProof/>
          </w:rPr>
          <w:fldChar w:fldCharType="end"/>
        </w:r>
      </w:p>
    </w:sdtContent>
  </w:sdt>
  <w:p w:rsidR="004E48F1" w:rsidRDefault="004E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EC" w:rsidRDefault="00D442EC" w:rsidP="00BC2CFD">
      <w:r>
        <w:separator/>
      </w:r>
    </w:p>
  </w:footnote>
  <w:footnote w:type="continuationSeparator" w:id="0">
    <w:p w:rsidR="00D442EC" w:rsidRDefault="00D442EC" w:rsidP="00BC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F1" w:rsidRDefault="004E48F1" w:rsidP="004E48F1">
    <w:pPr>
      <w:pStyle w:val="Header"/>
      <w:tabs>
        <w:tab w:val="clear" w:pos="8640"/>
        <w:tab w:val="right" w:pos="9360"/>
      </w:tabs>
    </w:pPr>
    <w:r>
      <w:rPr>
        <w:i/>
        <w:u w:val="single"/>
      </w:rPr>
      <w:t>CMS StC44 Draft Report – Annex 3</w:t>
    </w:r>
    <w:r>
      <w:rPr>
        <w:i/>
        <w:u w:val="single"/>
      </w:rPr>
      <w:tab/>
    </w:r>
    <w:r>
      <w:rPr>
        <w:i/>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F1" w:rsidRPr="004F25A4" w:rsidRDefault="004E48F1" w:rsidP="004E48F1">
    <w:pPr>
      <w:pStyle w:val="Header"/>
      <w:tabs>
        <w:tab w:val="clear" w:pos="8640"/>
        <w:tab w:val="right" w:pos="9630"/>
      </w:tabs>
      <w:rPr>
        <w:i/>
        <w:u w:val="single"/>
      </w:rPr>
    </w:pPr>
    <w:r>
      <w:rPr>
        <w:i/>
        <w:u w:val="single"/>
      </w:rPr>
      <w:t>CMS StC44 Draft Report – Annex 3</w:t>
    </w:r>
    <w:r>
      <w:rPr>
        <w:i/>
        <w:u w:val="single"/>
      </w:rPr>
      <w:tab/>
    </w:r>
    <w:r>
      <w:rPr>
        <w:i/>
        <w:u w:val="single"/>
      </w:rPr>
      <w:tab/>
    </w:r>
  </w:p>
  <w:p w:rsidR="004E48F1" w:rsidRDefault="004E4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F1" w:rsidRPr="004F25A4" w:rsidRDefault="004E48F1" w:rsidP="004E48F1">
    <w:pPr>
      <w:pStyle w:val="Header"/>
      <w:tabs>
        <w:tab w:val="clear" w:pos="8640"/>
        <w:tab w:val="right" w:pos="9630"/>
      </w:tabs>
      <w:jc w:val="right"/>
      <w:rPr>
        <w:i/>
        <w:u w:val="single"/>
      </w:rPr>
    </w:pPr>
    <w:r>
      <w:rPr>
        <w:i/>
        <w:u w:val="single"/>
      </w:rPr>
      <w:tab/>
    </w:r>
    <w:r>
      <w:rPr>
        <w:i/>
        <w:u w:val="single"/>
      </w:rPr>
      <w:tab/>
      <w:t>CMS StC44 Draft Report – Annex 3</w:t>
    </w:r>
  </w:p>
  <w:p w:rsidR="002E2DAA" w:rsidRPr="004F25A4" w:rsidRDefault="00D442EC" w:rsidP="000456C9">
    <w:pPr>
      <w:pStyle w:val="Header"/>
      <w:tabs>
        <w:tab w:val="clear" w:pos="8640"/>
        <w:tab w:val="right" w:pos="9630"/>
      </w:tabs>
      <w:rPr>
        <w:i/>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AA" w:rsidRDefault="004E48F1" w:rsidP="004E48F1">
    <w:pPr>
      <w:tabs>
        <w:tab w:val="right" w:pos="9630"/>
      </w:tabs>
      <w:jc w:val="right"/>
    </w:pPr>
    <w:r>
      <w:rPr>
        <w:i/>
        <w:u w:val="single"/>
      </w:rPr>
      <w:tab/>
      <w:t>CMS StC44 Draft Report – 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535"/>
    <w:multiLevelType w:val="hybridMultilevel"/>
    <w:tmpl w:val="BB4A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33C05"/>
    <w:multiLevelType w:val="multilevel"/>
    <w:tmpl w:val="E84C3A2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65681DE9"/>
    <w:multiLevelType w:val="hybridMultilevel"/>
    <w:tmpl w:val="EF64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FD"/>
    <w:rsid w:val="004401B2"/>
    <w:rsid w:val="004E48F1"/>
    <w:rsid w:val="00812C31"/>
    <w:rsid w:val="008A2A8B"/>
    <w:rsid w:val="009046F5"/>
    <w:rsid w:val="00B94C29"/>
    <w:rsid w:val="00BC2CFD"/>
    <w:rsid w:val="00D4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521B"/>
  <w15:chartTrackingRefBased/>
  <w15:docId w15:val="{952580E6-ACC1-4CAA-AE0B-E5403262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2C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4E48F1"/>
    <w:pPr>
      <w:keepNext/>
      <w:tabs>
        <w:tab w:val="left" w:pos="-720"/>
        <w:tab w:val="left" w:pos="310"/>
        <w:tab w:val="left" w:pos="1080"/>
      </w:tabs>
      <w:spacing w:line="155" w:lineRule="auto"/>
      <w:ind w:right="1128"/>
      <w:jc w:val="center"/>
      <w:outlineLvl w:val="0"/>
    </w:pPr>
    <w:rPr>
      <w:i/>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2CFD"/>
    <w:pPr>
      <w:widowControl w:val="0"/>
      <w:tabs>
        <w:tab w:val="center" w:pos="4320"/>
        <w:tab w:val="right" w:pos="8640"/>
      </w:tabs>
    </w:pPr>
    <w:rPr>
      <w:szCs w:val="20"/>
    </w:rPr>
  </w:style>
  <w:style w:type="character" w:customStyle="1" w:styleId="HeaderChar">
    <w:name w:val="Header Char"/>
    <w:basedOn w:val="DefaultParagraphFont"/>
    <w:link w:val="Header"/>
    <w:uiPriority w:val="99"/>
    <w:rsid w:val="00BC2CFD"/>
    <w:rPr>
      <w:rFonts w:ascii="Times New Roman" w:eastAsia="Times New Roman" w:hAnsi="Times New Roman" w:cs="Times New Roman"/>
      <w:sz w:val="24"/>
      <w:szCs w:val="20"/>
      <w:lang w:val="en-GB"/>
    </w:rPr>
  </w:style>
  <w:style w:type="character" w:styleId="Hyperlink">
    <w:name w:val="Hyperlink"/>
    <w:basedOn w:val="DefaultParagraphFont"/>
    <w:uiPriority w:val="99"/>
    <w:semiHidden/>
    <w:rsid w:val="00BC2CFD"/>
    <w:rPr>
      <w:rFonts w:cs="Times New Roman"/>
      <w:color w:val="0000FF"/>
      <w:u w:val="single"/>
    </w:rPr>
  </w:style>
  <w:style w:type="paragraph" w:styleId="ListParagraph">
    <w:name w:val="List Paragraph"/>
    <w:basedOn w:val="Normal"/>
    <w:uiPriority w:val="34"/>
    <w:qFormat/>
    <w:rsid w:val="00BC2CFD"/>
    <w:pPr>
      <w:ind w:left="720"/>
      <w:contextualSpacing/>
    </w:pPr>
  </w:style>
  <w:style w:type="table" w:styleId="TableGrid">
    <w:name w:val="Table Grid"/>
    <w:basedOn w:val="TableNormal"/>
    <w:uiPriority w:val="39"/>
    <w:rsid w:val="00BC2CF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BC2CFD"/>
    <w:pPr>
      <w:tabs>
        <w:tab w:val="center" w:pos="4680"/>
        <w:tab w:val="right" w:pos="9360"/>
      </w:tabs>
    </w:pPr>
  </w:style>
  <w:style w:type="character" w:customStyle="1" w:styleId="FooterChar">
    <w:name w:val="Footer Char"/>
    <w:basedOn w:val="DefaultParagraphFont"/>
    <w:link w:val="Footer"/>
    <w:uiPriority w:val="99"/>
    <w:rsid w:val="00BC2CF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9"/>
    <w:rsid w:val="004E48F1"/>
    <w:rPr>
      <w:rFonts w:ascii="Times New Roman" w:eastAsia="Times New Roman" w:hAnsi="Times New Roman" w:cs="Times New Roman"/>
      <w:i/>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accobams.org/index.php?option=com_content&amp;view=article&amp;id=1174%3Amop5-final-report-and-resolutions&amp;catid=34&amp;Itemid=65" TargetMode="External"/><Relationship Id="rId2" Type="http://schemas.openxmlformats.org/officeDocument/2006/relationships/styles" Target="styles.xml"/><Relationship Id="rId16" Type="http://schemas.openxmlformats.org/officeDocument/2006/relationships/hyperlink" Target="http://www.unep-aewa.org/sites/default/files/document/res4_6_establishment_irp_final_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hyperlink" Target="http://www.cms.int/sites/default/files/document/10_09_future_shape_e_0_0.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Schoenberg</dc:creator>
  <cp:keywords/>
  <dc:description/>
  <cp:lastModifiedBy>Contributor</cp:lastModifiedBy>
  <cp:revision>6</cp:revision>
  <dcterms:created xsi:type="dcterms:W3CDTF">2017-09-18T09:37:00Z</dcterms:created>
  <dcterms:modified xsi:type="dcterms:W3CDTF">2017-09-18T09:40:00Z</dcterms:modified>
</cp:coreProperties>
</file>