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07485" w14:textId="77777777" w:rsidR="00682B31" w:rsidRPr="00682B31" w:rsidRDefault="00682B31" w:rsidP="00682B31">
      <w:pPr>
        <w:tabs>
          <w:tab w:val="left" w:pos="-1057"/>
          <w:tab w:val="left" w:pos="-720"/>
        </w:tabs>
        <w:ind w:left="-90"/>
        <w:rPr>
          <w:rFonts w:cs="Arial"/>
          <w:spacing w:val="-8"/>
          <w:sz w:val="12"/>
          <w:szCs w:val="12"/>
          <w:lang w:val="en-GB"/>
        </w:rPr>
      </w:pPr>
    </w:p>
    <w:p w14:paraId="20F2CDA9" w14:textId="77777777" w:rsidR="0081600F" w:rsidRPr="00420040" w:rsidRDefault="00921D62" w:rsidP="009E72D7">
      <w:pPr>
        <w:tabs>
          <w:tab w:val="left" w:pos="-1057"/>
          <w:tab w:val="left" w:pos="-720"/>
        </w:tabs>
        <w:rPr>
          <w:rFonts w:cs="Arial"/>
          <w:sz w:val="22"/>
          <w:szCs w:val="22"/>
          <w:lang w:val="en-GB"/>
        </w:rPr>
      </w:pPr>
      <w:r w:rsidRPr="00420040">
        <w:rPr>
          <w:rFonts w:cs="Arial"/>
          <w:sz w:val="22"/>
          <w:szCs w:val="22"/>
          <w:lang w:val="en-GB"/>
        </w:rPr>
        <w:t>1</w:t>
      </w:r>
      <w:r w:rsidR="00ED02D3" w:rsidRPr="00420040">
        <w:rPr>
          <w:rFonts w:cs="Arial"/>
          <w:sz w:val="22"/>
          <w:szCs w:val="22"/>
          <w:lang w:val="en-GB"/>
        </w:rPr>
        <w:t>2</w:t>
      </w:r>
      <w:r w:rsidR="005F3989" w:rsidRPr="00420040">
        <w:rPr>
          <w:rFonts w:cs="Arial"/>
          <w:sz w:val="22"/>
          <w:szCs w:val="22"/>
          <w:vertAlign w:val="superscript"/>
          <w:lang w:val="en-GB"/>
        </w:rPr>
        <w:t>th</w:t>
      </w:r>
      <w:r w:rsidR="0081600F" w:rsidRPr="00420040">
        <w:rPr>
          <w:rFonts w:cs="Arial"/>
          <w:sz w:val="22"/>
          <w:szCs w:val="22"/>
          <w:lang w:val="en-GB"/>
        </w:rPr>
        <w:t xml:space="preserve"> MEETING OF THE</w:t>
      </w:r>
      <w:r w:rsidRPr="00420040">
        <w:rPr>
          <w:rFonts w:cs="Arial"/>
          <w:sz w:val="22"/>
          <w:szCs w:val="22"/>
          <w:lang w:val="en-GB"/>
        </w:rPr>
        <w:t xml:space="preserve"> CONFERENCE OF THE PARTIES</w:t>
      </w:r>
    </w:p>
    <w:p w14:paraId="1DC8A0D7" w14:textId="77777777" w:rsidR="0081600F" w:rsidRPr="00420040" w:rsidRDefault="003909E4" w:rsidP="009E72D7">
      <w:pPr>
        <w:pStyle w:val="Heading2"/>
        <w:keepNext w:val="0"/>
        <w:spacing w:line="228" w:lineRule="auto"/>
        <w:rPr>
          <w:rFonts w:cs="Arial"/>
          <w:b w:val="0"/>
          <w:bCs w:val="0"/>
          <w:sz w:val="22"/>
          <w:szCs w:val="22"/>
          <w:lang w:val="pt-PT"/>
        </w:rPr>
      </w:pPr>
      <w:r w:rsidRPr="00420040">
        <w:rPr>
          <w:rFonts w:cs="Arial"/>
          <w:b w:val="0"/>
          <w:sz w:val="22"/>
          <w:szCs w:val="22"/>
          <w:lang w:val="pt-PT"/>
        </w:rPr>
        <w:t>Manil</w:t>
      </w:r>
      <w:r w:rsidR="00ED02D3" w:rsidRPr="00420040">
        <w:rPr>
          <w:rFonts w:cs="Arial"/>
          <w:b w:val="0"/>
          <w:sz w:val="22"/>
          <w:szCs w:val="22"/>
          <w:lang w:val="pt-PT"/>
        </w:rPr>
        <w:t>a</w:t>
      </w:r>
      <w:r w:rsidR="00921D62" w:rsidRPr="00420040">
        <w:rPr>
          <w:rFonts w:cs="Arial"/>
          <w:b w:val="0"/>
          <w:sz w:val="22"/>
          <w:szCs w:val="22"/>
          <w:lang w:val="pt-PT"/>
        </w:rPr>
        <w:t xml:space="preserve">, </w:t>
      </w:r>
      <w:r w:rsidR="00ED02D3" w:rsidRPr="00420040">
        <w:rPr>
          <w:rFonts w:cs="Arial"/>
          <w:b w:val="0"/>
          <w:sz w:val="22"/>
          <w:szCs w:val="22"/>
          <w:lang w:val="pt-PT"/>
        </w:rPr>
        <w:t>Philippines</w:t>
      </w:r>
      <w:r w:rsidR="00F7503A" w:rsidRPr="00420040">
        <w:rPr>
          <w:rFonts w:cs="Arial"/>
          <w:b w:val="0"/>
          <w:sz w:val="22"/>
          <w:szCs w:val="22"/>
          <w:lang w:val="pt-PT"/>
        </w:rPr>
        <w:t>,</w:t>
      </w:r>
      <w:r w:rsidR="00ED02D3" w:rsidRPr="00420040">
        <w:rPr>
          <w:rFonts w:cs="Arial"/>
          <w:b w:val="0"/>
          <w:sz w:val="22"/>
          <w:szCs w:val="22"/>
          <w:lang w:val="pt-PT"/>
        </w:rPr>
        <w:t xml:space="preserve"> 23 - 28</w:t>
      </w:r>
      <w:r w:rsidR="009F450E" w:rsidRPr="00420040">
        <w:rPr>
          <w:rFonts w:cs="Arial"/>
          <w:b w:val="0"/>
          <w:sz w:val="22"/>
          <w:szCs w:val="22"/>
          <w:lang w:val="pt-PT"/>
        </w:rPr>
        <w:t xml:space="preserve"> </w:t>
      </w:r>
      <w:r w:rsidR="00ED02D3" w:rsidRPr="00420040">
        <w:rPr>
          <w:rFonts w:cs="Arial"/>
          <w:b w:val="0"/>
          <w:sz w:val="22"/>
          <w:szCs w:val="22"/>
          <w:lang w:val="pt-PT"/>
        </w:rPr>
        <w:t>October</w:t>
      </w:r>
      <w:r w:rsidR="009F450E" w:rsidRPr="00420040">
        <w:rPr>
          <w:rFonts w:cs="Arial"/>
          <w:b w:val="0"/>
          <w:sz w:val="22"/>
          <w:szCs w:val="22"/>
          <w:lang w:val="pt-PT"/>
        </w:rPr>
        <w:t xml:space="preserve"> 201</w:t>
      </w:r>
      <w:r w:rsidR="00EA0B88">
        <w:rPr>
          <w:rFonts w:cs="Arial"/>
          <w:b w:val="0"/>
          <w:sz w:val="22"/>
          <w:szCs w:val="22"/>
          <w:lang w:val="pt-PT"/>
        </w:rPr>
        <w:t>7</w:t>
      </w:r>
    </w:p>
    <w:p w14:paraId="34CF26C8" w14:textId="77777777" w:rsidR="0081600F" w:rsidRPr="00420040" w:rsidRDefault="0081600F" w:rsidP="009E72D7">
      <w:pPr>
        <w:spacing w:line="228" w:lineRule="auto"/>
        <w:rPr>
          <w:rFonts w:cs="Arial"/>
          <w:iCs/>
          <w:sz w:val="22"/>
          <w:szCs w:val="22"/>
          <w:lang w:val="pt-PT"/>
        </w:rPr>
      </w:pPr>
      <w:r w:rsidRPr="00420040">
        <w:rPr>
          <w:rFonts w:cs="Arial"/>
          <w:iCs/>
          <w:sz w:val="22"/>
          <w:szCs w:val="22"/>
          <w:lang w:val="pt-PT"/>
        </w:rPr>
        <w:t>Agenda Item</w:t>
      </w:r>
      <w:r w:rsidR="00180B11">
        <w:rPr>
          <w:rFonts w:cs="Arial"/>
          <w:iCs/>
          <w:sz w:val="22"/>
          <w:szCs w:val="22"/>
          <w:lang w:val="pt-PT"/>
        </w:rPr>
        <w:t xml:space="preserve"> 24.1.6</w:t>
      </w: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81600F" w:rsidRPr="002F6F9B" w14:paraId="5449971D" w14:textId="77777777" w:rsidTr="00972D36">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14:paraId="0A0F95DC" w14:textId="77777777" w:rsidR="0081600F" w:rsidRPr="00FA61AF" w:rsidRDefault="00EB2285" w:rsidP="00EB2285">
            <w:pPr>
              <w:tabs>
                <w:tab w:val="left" w:pos="-1057"/>
                <w:tab w:val="left" w:pos="-720"/>
                <w:tab w:val="left" w:pos="0"/>
                <w:tab w:val="left" w:pos="141"/>
                <w:tab w:val="left" w:pos="720"/>
                <w:tab w:val="left" w:pos="1155"/>
                <w:tab w:val="right" w:pos="9072"/>
                <w:tab w:val="right" w:pos="9432"/>
              </w:tabs>
              <w:rPr>
                <w:rFonts w:cs="Arial"/>
                <w:sz w:val="22"/>
                <w:szCs w:val="22"/>
                <w:lang w:val="en-GB"/>
              </w:rPr>
            </w:pP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r>
            <w:r w:rsidR="00FA61AF" w:rsidRPr="002F6F9B">
              <w:rPr>
                <w:rFonts w:cs="Arial"/>
                <w:b/>
                <w:sz w:val="28"/>
                <w:szCs w:val="28"/>
                <w:lang w:val="en-GB"/>
              </w:rPr>
              <w:t>CMS</w:t>
            </w:r>
          </w:p>
          <w:p w14:paraId="12F4CC2D" w14:textId="77777777" w:rsidR="00FA61AF" w:rsidRPr="002F6F9B" w:rsidRDefault="00FA61AF" w:rsidP="00972D36">
            <w:pPr>
              <w:tabs>
                <w:tab w:val="left" w:pos="-1057"/>
                <w:tab w:val="left" w:pos="-720"/>
                <w:tab w:val="left" w:pos="0"/>
                <w:tab w:val="left" w:pos="141"/>
                <w:tab w:val="left" w:pos="720"/>
                <w:tab w:val="right" w:pos="9072"/>
              </w:tabs>
              <w:rPr>
                <w:rFonts w:cs="Arial"/>
                <w:sz w:val="22"/>
                <w:szCs w:val="22"/>
                <w:lang w:val="en-GB"/>
              </w:rPr>
            </w:pPr>
          </w:p>
        </w:tc>
      </w:tr>
      <w:tr w:rsidR="0081600F" w:rsidRPr="00682B31" w14:paraId="4118F6B5" w14:textId="77777777" w:rsidTr="00682B31">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14:paraId="2637194A" w14:textId="77777777" w:rsidR="0081600F" w:rsidRPr="00682B31" w:rsidRDefault="00745222">
            <w:pPr>
              <w:rPr>
                <w:rFonts w:cs="Arial"/>
                <w:sz w:val="22"/>
                <w:szCs w:val="22"/>
                <w:lang w:val="en-GB"/>
              </w:rPr>
            </w:pPr>
            <w:r w:rsidRPr="00682B31">
              <w:rPr>
                <w:rFonts w:cs="Arial"/>
                <w:noProof/>
                <w:sz w:val="22"/>
                <w:szCs w:val="22"/>
              </w:rPr>
              <w:drawing>
                <wp:inline distT="0" distB="0" distL="0" distR="0" wp14:anchorId="3D6D53AD" wp14:editId="262FE3DF">
                  <wp:extent cx="752475" cy="7715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533" t="-726" r="-2533" b="-726"/>
                          <a:stretch>
                            <a:fillRect/>
                          </a:stretch>
                        </pic:blipFill>
                        <pic:spPr bwMode="auto">
                          <a:xfrm>
                            <a:off x="0" y="0"/>
                            <a:ext cx="752475" cy="771525"/>
                          </a:xfrm>
                          <a:prstGeom prst="rect">
                            <a:avLst/>
                          </a:prstGeom>
                          <a:noFill/>
                          <a:ln>
                            <a:noFill/>
                          </a:ln>
                        </pic:spPr>
                      </pic:pic>
                    </a:graphicData>
                  </a:graphic>
                </wp:inline>
              </w:drawing>
            </w:r>
          </w:p>
          <w:p w14:paraId="2AD1F8FC" w14:textId="77777777" w:rsidR="0081600F" w:rsidRPr="00682B31" w:rsidRDefault="0081600F">
            <w:pPr>
              <w:rPr>
                <w:rFonts w:cs="Arial"/>
                <w:sz w:val="22"/>
                <w:szCs w:val="22"/>
                <w:lang w:val="en-GB"/>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14:paraId="5449B1DD" w14:textId="77777777" w:rsidR="00682B31" w:rsidRPr="00682B31" w:rsidRDefault="00682B31" w:rsidP="006B1037">
            <w:pPr>
              <w:pStyle w:val="Heading2"/>
              <w:pBdr>
                <w:top w:val="none" w:sz="0" w:space="0" w:color="auto"/>
                <w:left w:val="none" w:sz="0" w:space="0" w:color="auto"/>
                <w:bottom w:val="none" w:sz="0" w:space="0" w:color="auto"/>
                <w:right w:val="none" w:sz="0" w:space="0" w:color="auto"/>
              </w:pBdr>
              <w:ind w:left="-108"/>
              <w:rPr>
                <w:rFonts w:cs="Arial"/>
                <w:b w:val="0"/>
                <w:bCs w:val="0"/>
                <w:sz w:val="12"/>
                <w:szCs w:val="12"/>
              </w:rPr>
            </w:pPr>
          </w:p>
          <w:p w14:paraId="2A394EB7" w14:textId="77777777" w:rsidR="0081600F" w:rsidRPr="00972D36" w:rsidRDefault="0081600F" w:rsidP="006B1037">
            <w:pPr>
              <w:pStyle w:val="Heading2"/>
              <w:pBdr>
                <w:top w:val="none" w:sz="0" w:space="0" w:color="auto"/>
                <w:left w:val="none" w:sz="0" w:space="0" w:color="auto"/>
                <w:bottom w:val="none" w:sz="0" w:space="0" w:color="auto"/>
                <w:right w:val="none" w:sz="0" w:space="0" w:color="auto"/>
              </w:pBdr>
              <w:ind w:left="-108"/>
              <w:rPr>
                <w:rFonts w:cs="Arial"/>
                <w:bCs w:val="0"/>
                <w:sz w:val="32"/>
                <w:szCs w:val="32"/>
              </w:rPr>
            </w:pPr>
            <w:r w:rsidRPr="00972D36">
              <w:rPr>
                <w:rFonts w:cs="Arial"/>
                <w:bCs w:val="0"/>
                <w:sz w:val="32"/>
                <w:szCs w:val="32"/>
              </w:rPr>
              <w:t>CONVENTION ON</w:t>
            </w:r>
          </w:p>
          <w:p w14:paraId="738D9DBE" w14:textId="77777777" w:rsidR="0081600F" w:rsidRPr="00972D36" w:rsidRDefault="0081600F" w:rsidP="006B1037">
            <w:pPr>
              <w:pStyle w:val="Heading2"/>
              <w:pBdr>
                <w:top w:val="none" w:sz="0" w:space="0" w:color="auto"/>
                <w:left w:val="none" w:sz="0" w:space="0" w:color="auto"/>
                <w:bottom w:val="none" w:sz="0" w:space="0" w:color="auto"/>
                <w:right w:val="none" w:sz="0" w:space="0" w:color="auto"/>
              </w:pBdr>
              <w:ind w:left="-108"/>
              <w:rPr>
                <w:rFonts w:cs="Arial"/>
                <w:bCs w:val="0"/>
                <w:sz w:val="32"/>
                <w:szCs w:val="32"/>
              </w:rPr>
            </w:pPr>
            <w:r w:rsidRPr="00972D36">
              <w:rPr>
                <w:rFonts w:cs="Arial"/>
                <w:bCs w:val="0"/>
                <w:sz w:val="32"/>
                <w:szCs w:val="32"/>
              </w:rPr>
              <w:t>MIGRATORY</w:t>
            </w:r>
          </w:p>
          <w:p w14:paraId="1AE96502" w14:textId="77777777" w:rsidR="0081600F" w:rsidRPr="00682B31" w:rsidRDefault="0081600F" w:rsidP="006B1037">
            <w:pPr>
              <w:pStyle w:val="Heading2"/>
              <w:pBdr>
                <w:top w:val="none" w:sz="0" w:space="0" w:color="auto"/>
                <w:left w:val="none" w:sz="0" w:space="0" w:color="auto"/>
                <w:bottom w:val="none" w:sz="0" w:space="0" w:color="auto"/>
                <w:right w:val="none" w:sz="0" w:space="0" w:color="auto"/>
              </w:pBdr>
              <w:ind w:left="-108"/>
              <w:rPr>
                <w:rFonts w:cs="Arial"/>
                <w:b w:val="0"/>
                <w:bCs w:val="0"/>
                <w:sz w:val="22"/>
                <w:szCs w:val="22"/>
                <w:lang w:val="en-GB"/>
              </w:rPr>
            </w:pPr>
            <w:r w:rsidRPr="00972D36">
              <w:rPr>
                <w:rFonts w:cs="Arial"/>
                <w:bCs w:val="0"/>
                <w:sz w:val="32"/>
                <w:szCs w:val="32"/>
              </w:rPr>
              <w:t>SPECIES</w:t>
            </w:r>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14:paraId="06D4AF42" w14:textId="77777777" w:rsidR="00682B31" w:rsidRPr="00682B31" w:rsidRDefault="00682B31" w:rsidP="000C21B1">
            <w:pPr>
              <w:tabs>
                <w:tab w:val="left" w:pos="5040"/>
                <w:tab w:val="left" w:pos="5760"/>
                <w:tab w:val="left" w:pos="6008"/>
                <w:tab w:val="left" w:pos="6480"/>
                <w:tab w:val="left" w:pos="7200"/>
                <w:tab w:val="left" w:pos="7920"/>
                <w:tab w:val="left" w:pos="8640"/>
              </w:tabs>
              <w:rPr>
                <w:rFonts w:cs="Arial"/>
                <w:sz w:val="12"/>
                <w:szCs w:val="12"/>
                <w:lang w:val="en-GB"/>
              </w:rPr>
            </w:pPr>
          </w:p>
          <w:p w14:paraId="28542CED" w14:textId="77777777" w:rsidR="0081600F" w:rsidRPr="00420040" w:rsidRDefault="0081600F" w:rsidP="000C21B1">
            <w:pPr>
              <w:tabs>
                <w:tab w:val="left" w:pos="5040"/>
                <w:tab w:val="left" w:pos="5760"/>
                <w:tab w:val="left" w:pos="6008"/>
                <w:tab w:val="left" w:pos="6480"/>
                <w:tab w:val="left" w:pos="7200"/>
                <w:tab w:val="left" w:pos="7920"/>
                <w:tab w:val="left" w:pos="8640"/>
              </w:tabs>
              <w:rPr>
                <w:rFonts w:cs="Arial"/>
                <w:sz w:val="22"/>
                <w:szCs w:val="22"/>
                <w:lang w:val="en-GB"/>
              </w:rPr>
            </w:pPr>
            <w:r w:rsidRPr="00420040">
              <w:rPr>
                <w:rFonts w:cs="Arial"/>
                <w:sz w:val="22"/>
                <w:szCs w:val="22"/>
                <w:lang w:val="en-GB"/>
              </w:rPr>
              <w:t>Distribution: General</w:t>
            </w:r>
          </w:p>
          <w:p w14:paraId="404C518C" w14:textId="77777777" w:rsidR="0081600F" w:rsidRPr="00420040" w:rsidRDefault="0081600F" w:rsidP="000C21B1">
            <w:pPr>
              <w:tabs>
                <w:tab w:val="left" w:pos="-1057"/>
                <w:tab w:val="left" w:pos="-720"/>
                <w:tab w:val="left" w:pos="5040"/>
                <w:tab w:val="left" w:pos="5760"/>
                <w:tab w:val="left" w:pos="6008"/>
                <w:tab w:val="left" w:pos="6480"/>
                <w:tab w:val="left" w:pos="7200"/>
                <w:tab w:val="left" w:pos="7920"/>
                <w:tab w:val="left" w:pos="8640"/>
              </w:tabs>
              <w:rPr>
                <w:rFonts w:cs="Arial"/>
                <w:sz w:val="12"/>
                <w:szCs w:val="12"/>
                <w:lang w:val="en-GB"/>
              </w:rPr>
            </w:pPr>
          </w:p>
          <w:p w14:paraId="4AE12C58" w14:textId="77777777" w:rsidR="004E7A47" w:rsidRDefault="00921D62" w:rsidP="000C21B1">
            <w:pPr>
              <w:tabs>
                <w:tab w:val="left" w:pos="5040"/>
                <w:tab w:val="left" w:pos="5760"/>
                <w:tab w:val="left" w:pos="6008"/>
                <w:tab w:val="left" w:pos="6480"/>
                <w:tab w:val="left" w:pos="7200"/>
                <w:tab w:val="left" w:pos="7920"/>
                <w:tab w:val="left" w:pos="8640"/>
              </w:tabs>
              <w:rPr>
                <w:rFonts w:cs="Arial"/>
                <w:sz w:val="22"/>
                <w:szCs w:val="22"/>
                <w:lang w:val="en-GB"/>
              </w:rPr>
            </w:pPr>
            <w:r w:rsidRPr="00420040">
              <w:rPr>
                <w:rFonts w:cs="Arial"/>
                <w:sz w:val="22"/>
                <w:szCs w:val="22"/>
                <w:lang w:val="en-GB"/>
              </w:rPr>
              <w:t>UNEP/CMS/</w:t>
            </w:r>
            <w:r w:rsidR="00ED02D3" w:rsidRPr="00420040">
              <w:rPr>
                <w:rFonts w:cs="Arial"/>
                <w:sz w:val="22"/>
                <w:szCs w:val="22"/>
                <w:lang w:val="en-GB"/>
              </w:rPr>
              <w:t>COP12</w:t>
            </w:r>
            <w:r w:rsidR="00A27BE3" w:rsidRPr="00420040">
              <w:rPr>
                <w:rFonts w:cs="Arial"/>
                <w:sz w:val="22"/>
                <w:szCs w:val="22"/>
                <w:lang w:val="en-GB"/>
              </w:rPr>
              <w:t>/</w:t>
            </w:r>
            <w:r w:rsidR="0079075D" w:rsidRPr="00420040">
              <w:rPr>
                <w:rFonts w:cs="Arial"/>
                <w:sz w:val="22"/>
                <w:szCs w:val="22"/>
                <w:lang w:val="en-GB"/>
              </w:rPr>
              <w:t>Doc.</w:t>
            </w:r>
            <w:r w:rsidR="00B76ED7">
              <w:rPr>
                <w:rFonts w:cs="Arial"/>
                <w:sz w:val="22"/>
                <w:szCs w:val="22"/>
                <w:lang w:val="en-GB"/>
              </w:rPr>
              <w:t>24.1.6</w:t>
            </w:r>
          </w:p>
          <w:p w14:paraId="3B6F068F" w14:textId="7384F222" w:rsidR="0081600F" w:rsidRPr="00420040" w:rsidRDefault="00060FED" w:rsidP="000C21B1">
            <w:pPr>
              <w:tabs>
                <w:tab w:val="left" w:pos="5040"/>
                <w:tab w:val="left" w:pos="5760"/>
                <w:tab w:val="left" w:pos="6008"/>
                <w:tab w:val="left" w:pos="6480"/>
                <w:tab w:val="left" w:pos="7200"/>
                <w:tab w:val="left" w:pos="7920"/>
                <w:tab w:val="left" w:pos="8640"/>
              </w:tabs>
              <w:rPr>
                <w:rFonts w:cs="Arial"/>
                <w:sz w:val="22"/>
                <w:szCs w:val="22"/>
                <w:lang w:val="en-GB"/>
              </w:rPr>
            </w:pPr>
            <w:r>
              <w:rPr>
                <w:rFonts w:cs="Arial"/>
                <w:sz w:val="22"/>
                <w:szCs w:val="22"/>
                <w:lang w:val="en-GB"/>
              </w:rPr>
              <w:t>25</w:t>
            </w:r>
            <w:r w:rsidR="004E7A47" w:rsidRPr="0080080C">
              <w:rPr>
                <w:rFonts w:cs="Arial"/>
                <w:sz w:val="22"/>
                <w:szCs w:val="22"/>
                <w:lang w:val="en-GB"/>
              </w:rPr>
              <w:t xml:space="preserve"> </w:t>
            </w:r>
            <w:r w:rsidR="00890F11">
              <w:rPr>
                <w:rFonts w:cs="Arial"/>
                <w:sz w:val="22"/>
                <w:szCs w:val="22"/>
                <w:lang w:val="en-GB"/>
              </w:rPr>
              <w:t>May</w:t>
            </w:r>
            <w:r w:rsidR="0079075D" w:rsidRPr="0080080C">
              <w:rPr>
                <w:rFonts w:cs="Arial"/>
                <w:sz w:val="22"/>
                <w:szCs w:val="22"/>
                <w:lang w:val="en-GB"/>
              </w:rPr>
              <w:t xml:space="preserve"> </w:t>
            </w:r>
            <w:r w:rsidR="00EA0B88" w:rsidRPr="0080080C">
              <w:rPr>
                <w:rFonts w:cs="Arial"/>
                <w:sz w:val="22"/>
                <w:szCs w:val="22"/>
                <w:lang w:val="en-GB"/>
              </w:rPr>
              <w:t>2017</w:t>
            </w:r>
          </w:p>
          <w:p w14:paraId="2D5B6694" w14:textId="77777777" w:rsidR="00E8776E" w:rsidRPr="004E7A47" w:rsidRDefault="00E8776E" w:rsidP="00E8776E">
            <w:pPr>
              <w:tabs>
                <w:tab w:val="left" w:pos="5040"/>
                <w:tab w:val="left" w:pos="5760"/>
                <w:tab w:val="left" w:pos="6008"/>
                <w:tab w:val="left" w:pos="6480"/>
                <w:tab w:val="left" w:pos="7200"/>
                <w:tab w:val="left" w:pos="7920"/>
                <w:tab w:val="left" w:pos="8640"/>
              </w:tabs>
              <w:rPr>
                <w:rFonts w:cs="Arial"/>
                <w:sz w:val="22"/>
                <w:szCs w:val="22"/>
                <w:lang w:val="en-GB"/>
              </w:rPr>
            </w:pPr>
          </w:p>
          <w:p w14:paraId="267B124F" w14:textId="77777777" w:rsidR="00E8776E" w:rsidRPr="00420040" w:rsidRDefault="00E8776E" w:rsidP="000C21B1">
            <w:pPr>
              <w:rPr>
                <w:rFonts w:cs="Arial"/>
                <w:sz w:val="12"/>
                <w:szCs w:val="12"/>
                <w:lang w:val="en-GB"/>
              </w:rPr>
            </w:pPr>
          </w:p>
          <w:p w14:paraId="5A7A32AB" w14:textId="77777777" w:rsidR="0081600F" w:rsidRPr="00420040" w:rsidRDefault="0081600F" w:rsidP="000C21B1">
            <w:pPr>
              <w:rPr>
                <w:rFonts w:cs="Arial"/>
                <w:sz w:val="22"/>
                <w:szCs w:val="22"/>
                <w:lang w:val="en-GB"/>
              </w:rPr>
            </w:pPr>
            <w:r w:rsidRPr="00420040">
              <w:rPr>
                <w:rFonts w:cs="Arial"/>
                <w:sz w:val="22"/>
                <w:szCs w:val="22"/>
                <w:lang w:val="en-GB"/>
              </w:rPr>
              <w:t>Original: English</w:t>
            </w:r>
          </w:p>
          <w:p w14:paraId="1CF6BF63" w14:textId="77777777" w:rsidR="00682B31" w:rsidRPr="00682B31" w:rsidRDefault="00682B31" w:rsidP="000C21B1">
            <w:pPr>
              <w:rPr>
                <w:rFonts w:cs="Arial"/>
                <w:sz w:val="12"/>
                <w:szCs w:val="12"/>
                <w:lang w:val="en-GB"/>
              </w:rPr>
            </w:pPr>
          </w:p>
        </w:tc>
      </w:tr>
    </w:tbl>
    <w:p w14:paraId="75BD4B01" w14:textId="77777777" w:rsidR="00E8776E" w:rsidRPr="00682B31" w:rsidRDefault="00E8776E" w:rsidP="00E8776E">
      <w:pPr>
        <w:tabs>
          <w:tab w:val="left" w:pos="7020"/>
        </w:tabs>
        <w:rPr>
          <w:rFonts w:cs="Arial"/>
          <w:sz w:val="22"/>
          <w:szCs w:val="22"/>
        </w:rPr>
      </w:pPr>
    </w:p>
    <w:p w14:paraId="79F3499D" w14:textId="77777777" w:rsidR="00354A9C" w:rsidRPr="00682B31" w:rsidRDefault="00354A9C" w:rsidP="00922791">
      <w:pPr>
        <w:tabs>
          <w:tab w:val="left" w:pos="7020"/>
        </w:tabs>
        <w:rPr>
          <w:rFonts w:cs="Arial"/>
          <w:sz w:val="22"/>
          <w:szCs w:val="22"/>
        </w:rPr>
      </w:pPr>
    </w:p>
    <w:p w14:paraId="055C0DBD" w14:textId="77777777" w:rsidR="0052082F" w:rsidRPr="00682B31" w:rsidRDefault="0052082F" w:rsidP="00354A9C">
      <w:pPr>
        <w:rPr>
          <w:rFonts w:cs="Arial"/>
          <w:sz w:val="22"/>
          <w:szCs w:val="22"/>
        </w:rPr>
      </w:pPr>
    </w:p>
    <w:p w14:paraId="3787CF52" w14:textId="0A1850B1" w:rsidR="00B64904" w:rsidRPr="00420040" w:rsidRDefault="004E7A47" w:rsidP="00056DC1">
      <w:pPr>
        <w:pStyle w:val="Heading2"/>
        <w:keepNext w:val="0"/>
        <w:ind w:left="-90" w:right="-367"/>
        <w:jc w:val="center"/>
        <w:rPr>
          <w:rFonts w:cs="Arial"/>
          <w:sz w:val="22"/>
          <w:szCs w:val="22"/>
          <w:lang w:val="en-GB"/>
        </w:rPr>
      </w:pPr>
      <w:r>
        <w:rPr>
          <w:rFonts w:cs="Arial"/>
          <w:sz w:val="22"/>
          <w:szCs w:val="22"/>
          <w:lang w:val="en-GB"/>
        </w:rPr>
        <w:t xml:space="preserve">ACTION </w:t>
      </w:r>
      <w:r w:rsidR="00180B11">
        <w:rPr>
          <w:rFonts w:cs="Arial"/>
          <w:sz w:val="22"/>
          <w:szCs w:val="22"/>
          <w:lang w:val="en-GB"/>
        </w:rPr>
        <w:t xml:space="preserve">PLAN FOR </w:t>
      </w:r>
      <w:r w:rsidR="005B612E">
        <w:rPr>
          <w:rFonts w:cs="Arial"/>
          <w:sz w:val="22"/>
          <w:szCs w:val="22"/>
          <w:lang w:val="en-GB"/>
        </w:rPr>
        <w:t xml:space="preserve">THE </w:t>
      </w:r>
      <w:bookmarkStart w:id="0" w:name="_GoBack"/>
      <w:bookmarkEnd w:id="0"/>
      <w:r w:rsidR="00180B11">
        <w:rPr>
          <w:rFonts w:cs="Arial"/>
          <w:sz w:val="22"/>
          <w:szCs w:val="22"/>
          <w:lang w:val="en-GB"/>
        </w:rPr>
        <w:t>EUROPEAN TURTLE DOVE</w:t>
      </w:r>
    </w:p>
    <w:p w14:paraId="70295773" w14:textId="77777777" w:rsidR="00593736" w:rsidRPr="004D0936" w:rsidRDefault="00593736" w:rsidP="00593736">
      <w:pPr>
        <w:rPr>
          <w:sz w:val="8"/>
          <w:szCs w:val="8"/>
          <w:lang w:val="en-GB"/>
        </w:rPr>
      </w:pPr>
    </w:p>
    <w:p w14:paraId="7D0CCEBC" w14:textId="77777777" w:rsidR="00B64904" w:rsidRPr="004E7A47" w:rsidRDefault="00B64904" w:rsidP="00B64904">
      <w:pPr>
        <w:jc w:val="center"/>
        <w:rPr>
          <w:rFonts w:cs="Arial"/>
          <w:i/>
          <w:sz w:val="22"/>
          <w:szCs w:val="22"/>
          <w:lang w:val="en-GB"/>
        </w:rPr>
      </w:pPr>
      <w:r w:rsidRPr="004E7A47">
        <w:rPr>
          <w:rFonts w:cs="Arial"/>
          <w:i/>
          <w:sz w:val="22"/>
          <w:szCs w:val="22"/>
          <w:lang w:val="en-GB"/>
        </w:rPr>
        <w:t>(</w:t>
      </w:r>
      <w:r w:rsidR="00F11793" w:rsidRPr="004E7A47">
        <w:rPr>
          <w:rFonts w:cs="Arial"/>
          <w:i/>
          <w:sz w:val="22"/>
          <w:szCs w:val="22"/>
          <w:lang w:val="en-GB"/>
        </w:rPr>
        <w:t>P</w:t>
      </w:r>
      <w:r w:rsidR="0079075D" w:rsidRPr="004E7A47">
        <w:rPr>
          <w:rFonts w:cs="Arial"/>
          <w:i/>
          <w:sz w:val="22"/>
          <w:szCs w:val="22"/>
          <w:lang w:val="en-GB"/>
        </w:rPr>
        <w:t xml:space="preserve">repared by </w:t>
      </w:r>
      <w:r w:rsidR="00870FB9" w:rsidRPr="004E7A47">
        <w:rPr>
          <w:rFonts w:cs="Arial"/>
          <w:i/>
          <w:sz w:val="22"/>
          <w:szCs w:val="22"/>
          <w:lang w:val="en-GB"/>
        </w:rPr>
        <w:t>the Secretariat</w:t>
      </w:r>
      <w:r w:rsidRPr="004E7A47">
        <w:rPr>
          <w:rFonts w:cs="Arial"/>
          <w:i/>
          <w:sz w:val="22"/>
          <w:szCs w:val="22"/>
          <w:lang w:val="en-GB"/>
        </w:rPr>
        <w:t>)</w:t>
      </w:r>
      <w:r w:rsidR="00497E66" w:rsidRPr="004E7A47">
        <w:rPr>
          <w:rFonts w:cs="Arial"/>
          <w:i/>
          <w:sz w:val="22"/>
          <w:szCs w:val="22"/>
          <w:lang w:val="en-GB"/>
        </w:rPr>
        <w:t xml:space="preserve"> </w:t>
      </w:r>
    </w:p>
    <w:p w14:paraId="6F63FB27" w14:textId="77777777" w:rsidR="00870FB9" w:rsidRPr="004E7A47" w:rsidRDefault="00870FB9" w:rsidP="00870FB9">
      <w:pPr>
        <w:rPr>
          <w:sz w:val="8"/>
          <w:szCs w:val="8"/>
          <w:lang w:val="en-GB"/>
        </w:rPr>
      </w:pPr>
    </w:p>
    <w:p w14:paraId="69A706EB" w14:textId="77777777" w:rsidR="00870FB9" w:rsidRPr="00420040" w:rsidRDefault="00870FB9" w:rsidP="00870FB9">
      <w:pPr>
        <w:jc w:val="center"/>
        <w:rPr>
          <w:rFonts w:cs="Arial"/>
          <w:i/>
          <w:sz w:val="22"/>
          <w:szCs w:val="22"/>
          <w:lang w:val="en-GB"/>
        </w:rPr>
      </w:pPr>
    </w:p>
    <w:p w14:paraId="47C15A09" w14:textId="77777777" w:rsidR="00870FB9" w:rsidRPr="00420040" w:rsidRDefault="00870FB9" w:rsidP="00B64904">
      <w:pPr>
        <w:jc w:val="center"/>
        <w:rPr>
          <w:rFonts w:cs="Arial"/>
          <w:i/>
          <w:sz w:val="22"/>
          <w:szCs w:val="22"/>
          <w:lang w:val="en-GB"/>
        </w:rPr>
      </w:pPr>
    </w:p>
    <w:p w14:paraId="5FA7DDFD" w14:textId="77777777" w:rsidR="001764E6" w:rsidRPr="00C169ED" w:rsidRDefault="001764E6" w:rsidP="001764E6">
      <w:pPr>
        <w:jc w:val="both"/>
        <w:rPr>
          <w:rFonts w:cs="Arial"/>
          <w:sz w:val="21"/>
          <w:szCs w:val="21"/>
          <w:lang w:val="en-GB"/>
        </w:rPr>
      </w:pPr>
    </w:p>
    <w:p w14:paraId="45FC2121" w14:textId="77777777" w:rsidR="001764E6" w:rsidRPr="00C169ED" w:rsidRDefault="001764E6" w:rsidP="00D605A4">
      <w:pPr>
        <w:tabs>
          <w:tab w:val="left" w:pos="8295"/>
        </w:tabs>
        <w:jc w:val="both"/>
        <w:rPr>
          <w:rFonts w:cs="Arial"/>
          <w:sz w:val="21"/>
          <w:szCs w:val="21"/>
        </w:rPr>
      </w:pPr>
    </w:p>
    <w:p w14:paraId="748FD03E" w14:textId="77777777" w:rsidR="00D605A4" w:rsidRPr="00C169ED" w:rsidRDefault="00745222" w:rsidP="00D605A4">
      <w:pPr>
        <w:rPr>
          <w:rFonts w:cs="Arial"/>
          <w:sz w:val="21"/>
          <w:szCs w:val="21"/>
        </w:rPr>
      </w:pPr>
      <w:r w:rsidRPr="00C169ED">
        <w:rPr>
          <w:rFonts w:cs="Arial"/>
          <w:noProof/>
          <w:sz w:val="21"/>
          <w:szCs w:val="21"/>
        </w:rPr>
        <mc:AlternateContent>
          <mc:Choice Requires="wps">
            <w:drawing>
              <wp:anchor distT="0" distB="0" distL="114300" distR="114300" simplePos="0" relativeHeight="251657728" behindDoc="0" locked="0" layoutInCell="1" allowOverlap="1" wp14:anchorId="1645BB8E" wp14:editId="0C38EC63">
                <wp:simplePos x="0" y="0"/>
                <wp:positionH relativeFrom="column">
                  <wp:posOffset>780415</wp:posOffset>
                </wp:positionH>
                <wp:positionV relativeFrom="paragraph">
                  <wp:posOffset>154305</wp:posOffset>
                </wp:positionV>
                <wp:extent cx="4305300" cy="2800350"/>
                <wp:effectExtent l="0" t="0" r="19050"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800350"/>
                        </a:xfrm>
                        <a:prstGeom prst="rect">
                          <a:avLst/>
                        </a:prstGeom>
                        <a:solidFill>
                          <a:srgbClr val="FFFFFF"/>
                        </a:solidFill>
                        <a:ln w="3175">
                          <a:solidFill>
                            <a:srgbClr val="000000"/>
                          </a:solidFill>
                          <a:miter lim="800000"/>
                          <a:headEnd/>
                          <a:tailEnd/>
                        </a:ln>
                      </wps:spPr>
                      <wps:txbx>
                        <w:txbxContent>
                          <w:p w14:paraId="23D3388D" w14:textId="77777777" w:rsidR="00B70B7A" w:rsidRPr="00420040" w:rsidRDefault="00B70B7A" w:rsidP="00E475D4">
                            <w:pPr>
                              <w:rPr>
                                <w:rFonts w:cs="Arial"/>
                                <w:sz w:val="22"/>
                                <w:szCs w:val="22"/>
                              </w:rPr>
                            </w:pPr>
                            <w:r w:rsidRPr="00420040">
                              <w:rPr>
                                <w:rFonts w:cs="Arial"/>
                                <w:sz w:val="22"/>
                                <w:szCs w:val="22"/>
                              </w:rPr>
                              <w:t>Summary:</w:t>
                            </w:r>
                          </w:p>
                          <w:p w14:paraId="792D4665" w14:textId="77777777" w:rsidR="00B70B7A" w:rsidRDefault="00B70B7A" w:rsidP="00E8776E">
                            <w:pPr>
                              <w:rPr>
                                <w:rFonts w:cs="Arial"/>
                                <w:i/>
                                <w:sz w:val="22"/>
                                <w:szCs w:val="22"/>
                                <w:lang w:val="en-GB"/>
                              </w:rPr>
                            </w:pPr>
                          </w:p>
                          <w:p w14:paraId="58F29457" w14:textId="2F7282F5" w:rsidR="00B70B7A" w:rsidRDefault="00B70B7A" w:rsidP="008C00B8">
                            <w:pPr>
                              <w:jc w:val="both"/>
                              <w:rPr>
                                <w:rFonts w:cs="Arial"/>
                                <w:sz w:val="22"/>
                                <w:szCs w:val="22"/>
                                <w:lang w:val="en-GB"/>
                              </w:rPr>
                            </w:pPr>
                            <w:r>
                              <w:rPr>
                                <w:rFonts w:cs="Arial"/>
                                <w:sz w:val="22"/>
                                <w:szCs w:val="22"/>
                                <w:lang w:val="en-GB"/>
                              </w:rPr>
                              <w:t>Resolution 11.17 on the Action Plan for Migratory Landbirds in the African-Eurasian Region</w:t>
                            </w:r>
                            <w:r w:rsidRPr="001E3B2C">
                              <w:rPr>
                                <w:rFonts w:cs="Arial"/>
                                <w:sz w:val="22"/>
                                <w:szCs w:val="22"/>
                                <w:lang w:val="en-GB"/>
                              </w:rPr>
                              <w:t xml:space="preserve"> </w:t>
                            </w:r>
                            <w:r>
                              <w:rPr>
                                <w:rFonts w:cs="Arial"/>
                                <w:sz w:val="22"/>
                                <w:szCs w:val="22"/>
                                <w:lang w:val="en-GB"/>
                              </w:rPr>
                              <w:t xml:space="preserve">requested </w:t>
                            </w:r>
                            <w:r w:rsidRPr="001E3B2C">
                              <w:rPr>
                                <w:rFonts w:cs="Arial"/>
                                <w:sz w:val="22"/>
                                <w:szCs w:val="22"/>
                                <w:lang w:val="en-GB"/>
                              </w:rPr>
                              <w:t xml:space="preserve">the development of a Species Action Plan for the </w:t>
                            </w:r>
                            <w:r>
                              <w:rPr>
                                <w:rFonts w:cs="Arial"/>
                                <w:sz w:val="22"/>
                                <w:szCs w:val="22"/>
                                <w:lang w:val="en-GB"/>
                              </w:rPr>
                              <w:t>European Turtle Dove</w:t>
                            </w:r>
                            <w:r w:rsidRPr="001E3B2C">
                              <w:rPr>
                                <w:rFonts w:cs="Arial"/>
                                <w:sz w:val="22"/>
                                <w:szCs w:val="22"/>
                                <w:lang w:val="en-GB"/>
                              </w:rPr>
                              <w:t>. This spe</w:t>
                            </w:r>
                            <w:r>
                              <w:rPr>
                                <w:rFonts w:cs="Arial"/>
                                <w:sz w:val="22"/>
                                <w:szCs w:val="22"/>
                                <w:lang w:val="en-GB"/>
                              </w:rPr>
                              <w:t>cies is considered as Vulnerable</w:t>
                            </w:r>
                            <w:r w:rsidRPr="001E3B2C">
                              <w:rPr>
                                <w:rFonts w:cs="Arial"/>
                                <w:sz w:val="22"/>
                                <w:szCs w:val="22"/>
                                <w:lang w:val="en-GB"/>
                              </w:rPr>
                              <w:t xml:space="preserve"> by </w:t>
                            </w:r>
                            <w:r>
                              <w:rPr>
                                <w:rFonts w:cs="Arial"/>
                                <w:sz w:val="22"/>
                                <w:szCs w:val="22"/>
                                <w:lang w:val="en-GB"/>
                              </w:rPr>
                              <w:t xml:space="preserve">the </w:t>
                            </w:r>
                            <w:r w:rsidRPr="001E3B2C">
                              <w:rPr>
                                <w:rFonts w:cs="Arial"/>
                                <w:sz w:val="22"/>
                                <w:szCs w:val="22"/>
                                <w:lang w:val="en-GB"/>
                              </w:rPr>
                              <w:t>IUCN.</w:t>
                            </w:r>
                          </w:p>
                          <w:p w14:paraId="6D31ACFD" w14:textId="77777777" w:rsidR="00B70B7A" w:rsidRDefault="00B70B7A" w:rsidP="008C00B8">
                            <w:pPr>
                              <w:jc w:val="both"/>
                              <w:rPr>
                                <w:rFonts w:cs="Arial"/>
                                <w:sz w:val="22"/>
                                <w:szCs w:val="22"/>
                                <w:lang w:val="en-GB"/>
                              </w:rPr>
                            </w:pPr>
                          </w:p>
                          <w:p w14:paraId="25C64885" w14:textId="77777777" w:rsidR="00B70B7A" w:rsidRDefault="00B70B7A" w:rsidP="008C00B8">
                            <w:pPr>
                              <w:jc w:val="both"/>
                              <w:rPr>
                                <w:rFonts w:cs="Arial"/>
                                <w:sz w:val="22"/>
                                <w:szCs w:val="22"/>
                                <w:lang w:val="en-GB"/>
                              </w:rPr>
                            </w:pPr>
                            <w:r>
                              <w:rPr>
                                <w:rFonts w:cs="Arial"/>
                                <w:sz w:val="22"/>
                                <w:szCs w:val="22"/>
                                <w:lang w:val="en-GB"/>
                              </w:rPr>
                              <w:t xml:space="preserve">The draft Action Plan was prepared </w:t>
                            </w:r>
                            <w:r w:rsidRPr="009211D4">
                              <w:rPr>
                                <w:rFonts w:cs="Arial"/>
                                <w:sz w:val="22"/>
                                <w:szCs w:val="22"/>
                                <w:lang w:val="en-GB"/>
                              </w:rPr>
                              <w:t>through EuroSAP, a LIFE preparatory project, co-financed by the European Commission Directorate General for the Environment, the African-Eurasian Migratory Waterbird Agreement (AEWA), and by each of the project partners, and coordinated by BirdLife International</w:t>
                            </w:r>
                            <w:r>
                              <w:rPr>
                                <w:rFonts w:cs="Arial"/>
                                <w:sz w:val="22"/>
                                <w:szCs w:val="22"/>
                                <w:lang w:val="en-GB"/>
                              </w:rPr>
                              <w:t>.</w:t>
                            </w:r>
                          </w:p>
                          <w:p w14:paraId="42D8CB4A" w14:textId="77777777" w:rsidR="00B70B7A" w:rsidRDefault="00B70B7A" w:rsidP="008C00B8">
                            <w:pPr>
                              <w:jc w:val="both"/>
                              <w:rPr>
                                <w:rFonts w:cs="Arial"/>
                                <w:sz w:val="22"/>
                                <w:szCs w:val="22"/>
                                <w:lang w:val="en-GB"/>
                              </w:rPr>
                            </w:pPr>
                          </w:p>
                          <w:p w14:paraId="11FBBFD6" w14:textId="77777777" w:rsidR="00B70B7A" w:rsidRPr="001E3B2C" w:rsidRDefault="00B70B7A" w:rsidP="008C00B8">
                            <w:pPr>
                              <w:jc w:val="both"/>
                              <w:rPr>
                                <w:rFonts w:cs="Arial"/>
                                <w:sz w:val="22"/>
                                <w:szCs w:val="22"/>
                                <w:lang w:val="en-GB"/>
                              </w:rPr>
                            </w:pPr>
                            <w:r>
                              <w:rPr>
                                <w:rFonts w:cs="Arial"/>
                                <w:sz w:val="22"/>
                                <w:szCs w:val="22"/>
                                <w:lang w:val="en-GB"/>
                              </w:rPr>
                              <w:t xml:space="preserve">Adoption </w:t>
                            </w:r>
                            <w:r w:rsidRPr="00343026">
                              <w:rPr>
                                <w:rFonts w:cs="Arial"/>
                                <w:sz w:val="22"/>
                                <w:szCs w:val="22"/>
                                <w:lang w:val="en-GB"/>
                              </w:rPr>
                              <w:t>of this action plan will contribute to the implementation of targets 8, 9 and 10 of the Strategic Plan for Migratory Species 2015-2023.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5BB8E" id="_x0000_t202" coordsize="21600,21600" o:spt="202" path="m,l,21600r21600,l21600,xe">
                <v:stroke joinstyle="miter"/>
                <v:path gradientshapeok="t" o:connecttype="rect"/>
              </v:shapetype>
              <v:shape id="Text Box 4" o:spid="_x0000_s1026" type="#_x0000_t202" style="position:absolute;margin-left:61.45pt;margin-top:12.15pt;width:339pt;height:2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" strokeweight=".25pt">
                <v:textbox>
                  <w:txbxContent>
                    <w:p w14:paraId="23D3388D" w14:textId="77777777" w:rsidR="00B70B7A" w:rsidRPr="00420040" w:rsidRDefault="00B70B7A" w:rsidP="00E475D4">
                      <w:pPr>
                        <w:rPr>
                          <w:rFonts w:cs="Arial"/>
                          <w:sz w:val="22"/>
                          <w:szCs w:val="22"/>
                        </w:rPr>
                      </w:pPr>
                      <w:r w:rsidRPr="00420040">
                        <w:rPr>
                          <w:rFonts w:cs="Arial"/>
                          <w:sz w:val="22"/>
                          <w:szCs w:val="22"/>
                        </w:rPr>
                        <w:t>Summary:</w:t>
                      </w:r>
                    </w:p>
                    <w:p w14:paraId="792D4665" w14:textId="77777777" w:rsidR="00B70B7A" w:rsidRDefault="00B70B7A" w:rsidP="00E8776E">
                      <w:pPr>
                        <w:rPr>
                          <w:rFonts w:cs="Arial"/>
                          <w:i/>
                          <w:sz w:val="22"/>
                          <w:szCs w:val="22"/>
                          <w:lang w:val="en-GB"/>
                        </w:rPr>
                      </w:pPr>
                    </w:p>
                    <w:p w14:paraId="58F29457" w14:textId="2F7282F5" w:rsidR="00B70B7A" w:rsidRDefault="00B70B7A" w:rsidP="008C00B8">
                      <w:pPr>
                        <w:jc w:val="both"/>
                        <w:rPr>
                          <w:rFonts w:cs="Arial"/>
                          <w:sz w:val="22"/>
                          <w:szCs w:val="22"/>
                          <w:lang w:val="en-GB"/>
                        </w:rPr>
                      </w:pPr>
                      <w:r>
                        <w:rPr>
                          <w:rFonts w:cs="Arial"/>
                          <w:sz w:val="22"/>
                          <w:szCs w:val="22"/>
                          <w:lang w:val="en-GB"/>
                        </w:rPr>
                        <w:t>Resolution 11.17 on the Action Plan for Migratory Landbirds in the African-Eurasian Region</w:t>
                      </w:r>
                      <w:r w:rsidRPr="001E3B2C">
                        <w:rPr>
                          <w:rFonts w:cs="Arial"/>
                          <w:sz w:val="22"/>
                          <w:szCs w:val="22"/>
                          <w:lang w:val="en-GB"/>
                        </w:rPr>
                        <w:t xml:space="preserve"> </w:t>
                      </w:r>
                      <w:r>
                        <w:rPr>
                          <w:rFonts w:cs="Arial"/>
                          <w:sz w:val="22"/>
                          <w:szCs w:val="22"/>
                          <w:lang w:val="en-GB"/>
                        </w:rPr>
                        <w:t xml:space="preserve">requested </w:t>
                      </w:r>
                      <w:r w:rsidRPr="001E3B2C">
                        <w:rPr>
                          <w:rFonts w:cs="Arial"/>
                          <w:sz w:val="22"/>
                          <w:szCs w:val="22"/>
                          <w:lang w:val="en-GB"/>
                        </w:rPr>
                        <w:t xml:space="preserve">the development of a Species Action Plan for the </w:t>
                      </w:r>
                      <w:r>
                        <w:rPr>
                          <w:rFonts w:cs="Arial"/>
                          <w:sz w:val="22"/>
                          <w:szCs w:val="22"/>
                          <w:lang w:val="en-GB"/>
                        </w:rPr>
                        <w:t>European Turtle Dove</w:t>
                      </w:r>
                      <w:r w:rsidRPr="001E3B2C">
                        <w:rPr>
                          <w:rFonts w:cs="Arial"/>
                          <w:sz w:val="22"/>
                          <w:szCs w:val="22"/>
                          <w:lang w:val="en-GB"/>
                        </w:rPr>
                        <w:t>. This spe</w:t>
                      </w:r>
                      <w:r>
                        <w:rPr>
                          <w:rFonts w:cs="Arial"/>
                          <w:sz w:val="22"/>
                          <w:szCs w:val="22"/>
                          <w:lang w:val="en-GB"/>
                        </w:rPr>
                        <w:t>cies is considered as Vulnerable</w:t>
                      </w:r>
                      <w:r w:rsidRPr="001E3B2C">
                        <w:rPr>
                          <w:rFonts w:cs="Arial"/>
                          <w:sz w:val="22"/>
                          <w:szCs w:val="22"/>
                          <w:lang w:val="en-GB"/>
                        </w:rPr>
                        <w:t xml:space="preserve"> by </w:t>
                      </w:r>
                      <w:r>
                        <w:rPr>
                          <w:rFonts w:cs="Arial"/>
                          <w:sz w:val="22"/>
                          <w:szCs w:val="22"/>
                          <w:lang w:val="en-GB"/>
                        </w:rPr>
                        <w:t xml:space="preserve">the </w:t>
                      </w:r>
                      <w:r w:rsidRPr="001E3B2C">
                        <w:rPr>
                          <w:rFonts w:cs="Arial"/>
                          <w:sz w:val="22"/>
                          <w:szCs w:val="22"/>
                          <w:lang w:val="en-GB"/>
                        </w:rPr>
                        <w:t>IUCN.</w:t>
                      </w:r>
                    </w:p>
                    <w:p w14:paraId="6D31ACFD" w14:textId="77777777" w:rsidR="00B70B7A" w:rsidRDefault="00B70B7A" w:rsidP="008C00B8">
                      <w:pPr>
                        <w:jc w:val="both"/>
                        <w:rPr>
                          <w:rFonts w:cs="Arial"/>
                          <w:sz w:val="22"/>
                          <w:szCs w:val="22"/>
                          <w:lang w:val="en-GB"/>
                        </w:rPr>
                      </w:pPr>
                    </w:p>
                    <w:p w14:paraId="25C64885" w14:textId="77777777" w:rsidR="00B70B7A" w:rsidRDefault="00B70B7A" w:rsidP="008C00B8">
                      <w:pPr>
                        <w:jc w:val="both"/>
                        <w:rPr>
                          <w:rFonts w:cs="Arial"/>
                          <w:sz w:val="22"/>
                          <w:szCs w:val="22"/>
                          <w:lang w:val="en-GB"/>
                        </w:rPr>
                      </w:pPr>
                      <w:r>
                        <w:rPr>
                          <w:rFonts w:cs="Arial"/>
                          <w:sz w:val="22"/>
                          <w:szCs w:val="22"/>
                          <w:lang w:val="en-GB"/>
                        </w:rPr>
                        <w:t xml:space="preserve">The draft Action Plan was prepared </w:t>
                      </w:r>
                      <w:r w:rsidRPr="009211D4">
                        <w:rPr>
                          <w:rFonts w:cs="Arial"/>
                          <w:sz w:val="22"/>
                          <w:szCs w:val="22"/>
                          <w:lang w:val="en-GB"/>
                        </w:rPr>
                        <w:t>through EuroSAP, a LIFE preparatory project, co-financed by the European Commission Directorate General for the Environment, the African-Eurasian Migratory Waterbird Agreement (AEWA), and by each of the project partners, and coordinated by BirdLife International</w:t>
                      </w:r>
                      <w:r>
                        <w:rPr>
                          <w:rFonts w:cs="Arial"/>
                          <w:sz w:val="22"/>
                          <w:szCs w:val="22"/>
                          <w:lang w:val="en-GB"/>
                        </w:rPr>
                        <w:t>.</w:t>
                      </w:r>
                    </w:p>
                    <w:p w14:paraId="42D8CB4A" w14:textId="77777777" w:rsidR="00B70B7A" w:rsidRDefault="00B70B7A" w:rsidP="008C00B8">
                      <w:pPr>
                        <w:jc w:val="both"/>
                        <w:rPr>
                          <w:rFonts w:cs="Arial"/>
                          <w:sz w:val="22"/>
                          <w:szCs w:val="22"/>
                          <w:lang w:val="en-GB"/>
                        </w:rPr>
                      </w:pPr>
                    </w:p>
                    <w:p w14:paraId="11FBBFD6" w14:textId="77777777" w:rsidR="00B70B7A" w:rsidRPr="001E3B2C" w:rsidRDefault="00B70B7A" w:rsidP="008C00B8">
                      <w:pPr>
                        <w:jc w:val="both"/>
                        <w:rPr>
                          <w:rFonts w:cs="Arial"/>
                          <w:sz w:val="22"/>
                          <w:szCs w:val="22"/>
                          <w:lang w:val="en-GB"/>
                        </w:rPr>
                      </w:pPr>
                      <w:r>
                        <w:rPr>
                          <w:rFonts w:cs="Arial"/>
                          <w:sz w:val="22"/>
                          <w:szCs w:val="22"/>
                          <w:lang w:val="en-GB"/>
                        </w:rPr>
                        <w:t xml:space="preserve">Adoption </w:t>
                      </w:r>
                      <w:r w:rsidRPr="00343026">
                        <w:rPr>
                          <w:rFonts w:cs="Arial"/>
                          <w:sz w:val="22"/>
                          <w:szCs w:val="22"/>
                          <w:lang w:val="en-GB"/>
                        </w:rPr>
                        <w:t>of this action plan will contribute to the implementation of targets 8, 9 and 10 of the Strategic Plan for Migratory Species 2015-2023.</w:t>
                      </w:r>
                    </w:p>
                  </w:txbxContent>
                </v:textbox>
              </v:shape>
            </w:pict>
          </mc:Fallback>
        </mc:AlternateContent>
      </w:r>
    </w:p>
    <w:p w14:paraId="4C34D1E2" w14:textId="77777777" w:rsidR="00D605A4" w:rsidRPr="00C169ED" w:rsidRDefault="00D605A4" w:rsidP="00D605A4">
      <w:pPr>
        <w:rPr>
          <w:rFonts w:cs="Arial"/>
          <w:sz w:val="21"/>
          <w:szCs w:val="21"/>
        </w:rPr>
      </w:pPr>
    </w:p>
    <w:p w14:paraId="2164B294" w14:textId="77777777" w:rsidR="00D605A4" w:rsidRPr="00C169ED" w:rsidRDefault="00D605A4" w:rsidP="00D605A4">
      <w:pPr>
        <w:rPr>
          <w:rFonts w:cs="Arial"/>
          <w:sz w:val="21"/>
          <w:szCs w:val="21"/>
        </w:rPr>
      </w:pPr>
    </w:p>
    <w:p w14:paraId="2F23ABB0" w14:textId="77777777" w:rsidR="00D605A4" w:rsidRPr="00C169ED" w:rsidRDefault="00D605A4" w:rsidP="00D605A4">
      <w:pPr>
        <w:rPr>
          <w:rFonts w:cs="Arial"/>
          <w:sz w:val="21"/>
          <w:szCs w:val="21"/>
        </w:rPr>
      </w:pPr>
    </w:p>
    <w:p w14:paraId="067E4333" w14:textId="77777777" w:rsidR="00D605A4" w:rsidRPr="00C169ED" w:rsidRDefault="00D605A4" w:rsidP="00D605A4">
      <w:pPr>
        <w:rPr>
          <w:rFonts w:cs="Arial"/>
          <w:sz w:val="21"/>
          <w:szCs w:val="21"/>
        </w:rPr>
      </w:pPr>
    </w:p>
    <w:p w14:paraId="34E4C136" w14:textId="77777777" w:rsidR="00D605A4" w:rsidRPr="00C169ED" w:rsidRDefault="00D605A4" w:rsidP="00D605A4">
      <w:pPr>
        <w:rPr>
          <w:rFonts w:cs="Arial"/>
          <w:sz w:val="21"/>
          <w:szCs w:val="21"/>
        </w:rPr>
      </w:pPr>
    </w:p>
    <w:p w14:paraId="46D50B9C" w14:textId="77777777" w:rsidR="00D605A4" w:rsidRPr="00C169ED" w:rsidRDefault="00D605A4" w:rsidP="00D605A4">
      <w:pPr>
        <w:rPr>
          <w:rFonts w:cs="Arial"/>
          <w:sz w:val="21"/>
          <w:szCs w:val="21"/>
        </w:rPr>
      </w:pPr>
    </w:p>
    <w:p w14:paraId="762B3516" w14:textId="77777777" w:rsidR="00D605A4" w:rsidRPr="00C169ED" w:rsidRDefault="00D605A4" w:rsidP="00D605A4">
      <w:pPr>
        <w:rPr>
          <w:rFonts w:cs="Arial"/>
          <w:sz w:val="21"/>
          <w:szCs w:val="21"/>
        </w:rPr>
      </w:pPr>
    </w:p>
    <w:p w14:paraId="72A08FE4" w14:textId="77777777" w:rsidR="00D605A4" w:rsidRPr="00C169ED" w:rsidRDefault="00D605A4" w:rsidP="00D605A4">
      <w:pPr>
        <w:rPr>
          <w:rFonts w:cs="Arial"/>
          <w:sz w:val="21"/>
          <w:szCs w:val="21"/>
        </w:rPr>
      </w:pPr>
    </w:p>
    <w:p w14:paraId="14BD0442" w14:textId="77777777" w:rsidR="00D605A4" w:rsidRPr="00C169ED" w:rsidRDefault="00D605A4" w:rsidP="00D605A4">
      <w:pPr>
        <w:rPr>
          <w:rFonts w:cs="Arial"/>
          <w:sz w:val="21"/>
          <w:szCs w:val="21"/>
        </w:rPr>
      </w:pPr>
    </w:p>
    <w:p w14:paraId="32591724" w14:textId="77777777" w:rsidR="00D605A4" w:rsidRPr="00C169ED" w:rsidRDefault="00D605A4" w:rsidP="00D605A4">
      <w:pPr>
        <w:rPr>
          <w:rFonts w:cs="Arial"/>
          <w:sz w:val="21"/>
          <w:szCs w:val="21"/>
        </w:rPr>
      </w:pPr>
    </w:p>
    <w:p w14:paraId="1ED99EA4" w14:textId="77777777" w:rsidR="00D605A4" w:rsidRPr="00C169ED" w:rsidRDefault="00D605A4" w:rsidP="00D605A4">
      <w:pPr>
        <w:rPr>
          <w:rFonts w:cs="Arial"/>
          <w:sz w:val="21"/>
          <w:szCs w:val="21"/>
        </w:rPr>
      </w:pPr>
    </w:p>
    <w:p w14:paraId="1DA7B5E6" w14:textId="77777777" w:rsidR="00D605A4" w:rsidRPr="00C169ED" w:rsidRDefault="00D605A4" w:rsidP="00D605A4">
      <w:pPr>
        <w:rPr>
          <w:rFonts w:cs="Arial"/>
          <w:sz w:val="21"/>
          <w:szCs w:val="21"/>
        </w:rPr>
      </w:pPr>
    </w:p>
    <w:p w14:paraId="45F9F47F" w14:textId="77777777" w:rsidR="00D605A4" w:rsidRPr="00C169ED" w:rsidRDefault="00D605A4" w:rsidP="00D605A4">
      <w:pPr>
        <w:rPr>
          <w:rFonts w:cs="Arial"/>
          <w:sz w:val="21"/>
          <w:szCs w:val="21"/>
        </w:rPr>
      </w:pPr>
    </w:p>
    <w:p w14:paraId="212591F7" w14:textId="77777777" w:rsidR="00D605A4" w:rsidRPr="00C169ED" w:rsidRDefault="00D605A4" w:rsidP="00D605A4">
      <w:pPr>
        <w:rPr>
          <w:rFonts w:cs="Arial"/>
          <w:sz w:val="21"/>
          <w:szCs w:val="21"/>
        </w:rPr>
      </w:pPr>
    </w:p>
    <w:p w14:paraId="395D84CD" w14:textId="77777777" w:rsidR="00D605A4" w:rsidRPr="00C169ED" w:rsidRDefault="00D605A4" w:rsidP="00D605A4">
      <w:pPr>
        <w:rPr>
          <w:rFonts w:cs="Arial"/>
          <w:sz w:val="21"/>
          <w:szCs w:val="21"/>
        </w:rPr>
      </w:pPr>
    </w:p>
    <w:p w14:paraId="53BC7EAB" w14:textId="77777777" w:rsidR="00D605A4" w:rsidRPr="00C169ED" w:rsidRDefault="00D605A4" w:rsidP="00D605A4">
      <w:pPr>
        <w:rPr>
          <w:rFonts w:cs="Arial"/>
          <w:sz w:val="21"/>
          <w:szCs w:val="21"/>
        </w:rPr>
      </w:pPr>
    </w:p>
    <w:p w14:paraId="015449EE" w14:textId="77777777" w:rsidR="00D605A4" w:rsidRPr="00C169ED" w:rsidRDefault="00D605A4" w:rsidP="00D605A4">
      <w:pPr>
        <w:rPr>
          <w:rFonts w:cs="Arial"/>
          <w:sz w:val="21"/>
          <w:szCs w:val="21"/>
        </w:rPr>
      </w:pPr>
    </w:p>
    <w:p w14:paraId="19A4E0D7" w14:textId="77777777" w:rsidR="00D605A4" w:rsidRPr="00C169ED" w:rsidRDefault="00D605A4" w:rsidP="00D605A4">
      <w:pPr>
        <w:rPr>
          <w:rFonts w:cs="Arial"/>
          <w:sz w:val="21"/>
          <w:szCs w:val="21"/>
        </w:rPr>
      </w:pPr>
    </w:p>
    <w:p w14:paraId="6552667B" w14:textId="77777777" w:rsidR="00D605A4" w:rsidRDefault="00D605A4" w:rsidP="00D605A4">
      <w:pPr>
        <w:rPr>
          <w:rFonts w:cs="Arial"/>
          <w:sz w:val="22"/>
          <w:szCs w:val="22"/>
        </w:rPr>
      </w:pPr>
    </w:p>
    <w:p w14:paraId="253261E0" w14:textId="77777777" w:rsidR="00031A88" w:rsidRDefault="00031A88" w:rsidP="00D605A4">
      <w:pPr>
        <w:rPr>
          <w:rFonts w:cs="Arial"/>
          <w:sz w:val="22"/>
          <w:szCs w:val="22"/>
        </w:rPr>
      </w:pPr>
    </w:p>
    <w:p w14:paraId="18E1A0CD" w14:textId="77777777" w:rsidR="00031A88" w:rsidRDefault="00031A88" w:rsidP="00D605A4">
      <w:pPr>
        <w:rPr>
          <w:rFonts w:cs="Arial"/>
          <w:sz w:val="22"/>
          <w:szCs w:val="22"/>
        </w:rPr>
      </w:pPr>
    </w:p>
    <w:p w14:paraId="22E28475" w14:textId="77777777" w:rsidR="00031A88" w:rsidRDefault="00031A88" w:rsidP="00D605A4">
      <w:pPr>
        <w:rPr>
          <w:rFonts w:cs="Arial"/>
          <w:sz w:val="22"/>
          <w:szCs w:val="22"/>
        </w:rPr>
      </w:pPr>
    </w:p>
    <w:p w14:paraId="670047E1" w14:textId="77777777" w:rsidR="00031A88" w:rsidRDefault="00031A88" w:rsidP="00D605A4">
      <w:pPr>
        <w:rPr>
          <w:rFonts w:cs="Arial"/>
          <w:sz w:val="22"/>
          <w:szCs w:val="22"/>
        </w:rPr>
      </w:pPr>
    </w:p>
    <w:p w14:paraId="10D2789B" w14:textId="77777777" w:rsidR="00031A88" w:rsidRDefault="00031A88" w:rsidP="00D605A4">
      <w:pPr>
        <w:rPr>
          <w:rFonts w:cs="Arial"/>
          <w:sz w:val="22"/>
          <w:szCs w:val="22"/>
        </w:rPr>
      </w:pPr>
    </w:p>
    <w:p w14:paraId="75697B11" w14:textId="77777777" w:rsidR="00031A88" w:rsidRDefault="00031A88" w:rsidP="00D605A4">
      <w:pPr>
        <w:rPr>
          <w:rFonts w:cs="Arial"/>
          <w:sz w:val="22"/>
          <w:szCs w:val="22"/>
        </w:rPr>
      </w:pPr>
    </w:p>
    <w:p w14:paraId="6AA3342F" w14:textId="77777777" w:rsidR="00031A88" w:rsidRDefault="00031A88" w:rsidP="00D605A4">
      <w:pPr>
        <w:rPr>
          <w:rFonts w:cs="Arial"/>
          <w:sz w:val="22"/>
          <w:szCs w:val="22"/>
        </w:rPr>
      </w:pPr>
    </w:p>
    <w:p w14:paraId="1215D667" w14:textId="77777777" w:rsidR="00031A88" w:rsidRDefault="00031A88" w:rsidP="00D605A4">
      <w:pPr>
        <w:rPr>
          <w:rFonts w:cs="Arial"/>
          <w:sz w:val="22"/>
          <w:szCs w:val="22"/>
        </w:rPr>
      </w:pPr>
    </w:p>
    <w:p w14:paraId="6ACEF366" w14:textId="77777777" w:rsidR="00031A88" w:rsidRDefault="00031A88" w:rsidP="00D605A4">
      <w:pPr>
        <w:rPr>
          <w:rFonts w:cs="Arial"/>
          <w:sz w:val="22"/>
          <w:szCs w:val="22"/>
        </w:rPr>
      </w:pPr>
    </w:p>
    <w:p w14:paraId="205C82EC" w14:textId="77777777" w:rsidR="00031A88" w:rsidRDefault="00031A88" w:rsidP="00D605A4">
      <w:pPr>
        <w:rPr>
          <w:rFonts w:cs="Arial"/>
          <w:sz w:val="22"/>
          <w:szCs w:val="22"/>
        </w:rPr>
      </w:pPr>
    </w:p>
    <w:p w14:paraId="18175CBF" w14:textId="77777777" w:rsidR="00031A88" w:rsidRPr="00D605A4" w:rsidRDefault="00031A88" w:rsidP="00D605A4">
      <w:pPr>
        <w:rPr>
          <w:rFonts w:cs="Arial"/>
          <w:sz w:val="22"/>
          <w:szCs w:val="22"/>
        </w:rPr>
      </w:pPr>
    </w:p>
    <w:p w14:paraId="534DCA07" w14:textId="77777777" w:rsidR="00D605A4" w:rsidRDefault="00D605A4" w:rsidP="00D605A4">
      <w:pPr>
        <w:rPr>
          <w:rFonts w:cs="Arial"/>
          <w:sz w:val="22"/>
          <w:szCs w:val="22"/>
        </w:rPr>
      </w:pPr>
    </w:p>
    <w:p w14:paraId="6A4C42AF" w14:textId="77777777" w:rsidR="00D605A4" w:rsidRDefault="00D605A4" w:rsidP="00D605A4">
      <w:pPr>
        <w:tabs>
          <w:tab w:val="left" w:pos="1020"/>
        </w:tabs>
        <w:rPr>
          <w:rFonts w:cs="Arial"/>
          <w:sz w:val="22"/>
          <w:szCs w:val="22"/>
        </w:rPr>
        <w:sectPr w:rsidR="00D605A4" w:rsidSect="0052082F">
          <w:headerReference w:type="even" r:id="rId9"/>
          <w:headerReference w:type="default" r:id="rId10"/>
          <w:footerReference w:type="even" r:id="rId11"/>
          <w:footerReference w:type="default" r:id="rId12"/>
          <w:headerReference w:type="first" r:id="rId13"/>
          <w:footerReference w:type="first" r:id="rId14"/>
          <w:endnotePr>
            <w:numFmt w:val="decimal"/>
          </w:endnotePr>
          <w:pgSz w:w="11905" w:h="16837" w:code="9"/>
          <w:pgMar w:top="1008" w:right="1411" w:bottom="1152" w:left="1411" w:header="432" w:footer="432" w:gutter="0"/>
          <w:cols w:space="720"/>
          <w:noEndnote/>
          <w:titlePg/>
          <w:docGrid w:linePitch="272"/>
        </w:sectPr>
      </w:pPr>
    </w:p>
    <w:p w14:paraId="3915C885" w14:textId="77777777" w:rsidR="00767B8F" w:rsidRDefault="00767B8F" w:rsidP="007910DD">
      <w:pPr>
        <w:pBdr>
          <w:top w:val="single" w:sz="6" w:space="0" w:color="FFFFFF"/>
          <w:left w:val="single" w:sz="6" w:space="0" w:color="FFFFFF"/>
          <w:bottom w:val="single" w:sz="6" w:space="0" w:color="FFFFFF"/>
          <w:right w:val="single" w:sz="6" w:space="0" w:color="FFFFFF"/>
        </w:pBdr>
        <w:jc w:val="center"/>
        <w:outlineLvl w:val="1"/>
        <w:rPr>
          <w:rFonts w:cs="Arial"/>
          <w:b/>
          <w:caps/>
          <w:sz w:val="22"/>
          <w:szCs w:val="22"/>
          <w:lang w:val="en-GB"/>
        </w:rPr>
      </w:pPr>
    </w:p>
    <w:p w14:paraId="0AA7331B" w14:textId="11BCE540" w:rsidR="007910DD" w:rsidRPr="00F11793" w:rsidRDefault="004E7A47" w:rsidP="007910DD">
      <w:pPr>
        <w:pBdr>
          <w:top w:val="single" w:sz="6" w:space="0" w:color="FFFFFF"/>
          <w:left w:val="single" w:sz="6" w:space="0" w:color="FFFFFF"/>
          <w:bottom w:val="single" w:sz="6" w:space="0" w:color="FFFFFF"/>
          <w:right w:val="single" w:sz="6" w:space="0" w:color="FFFFFF"/>
        </w:pBdr>
        <w:jc w:val="center"/>
        <w:outlineLvl w:val="1"/>
        <w:rPr>
          <w:rFonts w:cs="Arial"/>
          <w:b/>
          <w:caps/>
          <w:sz w:val="22"/>
          <w:szCs w:val="22"/>
          <w:lang w:val="en-GB"/>
        </w:rPr>
      </w:pPr>
      <w:r>
        <w:rPr>
          <w:rFonts w:cs="Arial"/>
          <w:b/>
          <w:caps/>
          <w:sz w:val="22"/>
          <w:szCs w:val="22"/>
          <w:lang w:val="en-GB"/>
        </w:rPr>
        <w:t xml:space="preserve">ACTION </w:t>
      </w:r>
      <w:r w:rsidR="009211D4">
        <w:rPr>
          <w:rFonts w:cs="Arial"/>
          <w:b/>
          <w:caps/>
          <w:sz w:val="22"/>
          <w:szCs w:val="22"/>
          <w:lang w:val="en-GB"/>
        </w:rPr>
        <w:t xml:space="preserve">PLAN FOR </w:t>
      </w:r>
      <w:r w:rsidR="003F6C6E">
        <w:rPr>
          <w:rFonts w:cs="Arial"/>
          <w:b/>
          <w:caps/>
          <w:sz w:val="22"/>
          <w:szCs w:val="22"/>
          <w:lang w:val="en-GB"/>
        </w:rPr>
        <w:t xml:space="preserve">THE </w:t>
      </w:r>
      <w:r w:rsidR="009211D4">
        <w:rPr>
          <w:rFonts w:cs="Arial"/>
          <w:b/>
          <w:caps/>
          <w:sz w:val="22"/>
          <w:szCs w:val="22"/>
          <w:lang w:val="en-GB"/>
        </w:rPr>
        <w:t>EUROPEAN TURTLE DOVE</w:t>
      </w:r>
    </w:p>
    <w:p w14:paraId="4B604C21" w14:textId="77777777" w:rsidR="007910DD" w:rsidRPr="00CD0FE9" w:rsidRDefault="007910DD" w:rsidP="007910DD">
      <w:pPr>
        <w:jc w:val="center"/>
        <w:rPr>
          <w:rFonts w:cs="Arial"/>
          <w:sz w:val="22"/>
          <w:szCs w:val="22"/>
          <w:lang w:val="en-GB"/>
        </w:rPr>
      </w:pPr>
    </w:p>
    <w:p w14:paraId="0F3AE4AA" w14:textId="77777777" w:rsidR="00EE4815" w:rsidRPr="00CD0FE9" w:rsidRDefault="00EE4815" w:rsidP="007910DD">
      <w:pPr>
        <w:jc w:val="both"/>
        <w:rPr>
          <w:rFonts w:cs="Arial"/>
          <w:sz w:val="22"/>
          <w:szCs w:val="22"/>
          <w:lang w:val="en-GB"/>
        </w:rPr>
      </w:pPr>
    </w:p>
    <w:p w14:paraId="616312D7" w14:textId="77777777" w:rsidR="007910DD" w:rsidRPr="00CD0FE9" w:rsidRDefault="007910DD" w:rsidP="00BE20B6">
      <w:pPr>
        <w:jc w:val="both"/>
        <w:rPr>
          <w:rFonts w:cs="Arial"/>
          <w:sz w:val="22"/>
          <w:szCs w:val="22"/>
          <w:u w:val="single"/>
          <w:lang w:val="en-GB"/>
        </w:rPr>
      </w:pPr>
      <w:r w:rsidRPr="00CD0FE9">
        <w:rPr>
          <w:rFonts w:cs="Arial"/>
          <w:sz w:val="22"/>
          <w:szCs w:val="22"/>
          <w:u w:val="single"/>
          <w:lang w:val="en-GB"/>
        </w:rPr>
        <w:t>Background</w:t>
      </w:r>
    </w:p>
    <w:p w14:paraId="30D6AE14" w14:textId="77777777" w:rsidR="007910DD" w:rsidRPr="00CD0FE9" w:rsidRDefault="007910DD" w:rsidP="00BE20B6">
      <w:pPr>
        <w:jc w:val="both"/>
        <w:rPr>
          <w:rFonts w:cs="Arial"/>
          <w:sz w:val="22"/>
          <w:szCs w:val="22"/>
          <w:lang w:val="en-GB"/>
        </w:rPr>
      </w:pPr>
    </w:p>
    <w:p w14:paraId="36E1054A" w14:textId="27E8782E" w:rsidR="004E7A47" w:rsidRPr="005A2E8C" w:rsidRDefault="009211D4" w:rsidP="00BE20B6">
      <w:pPr>
        <w:pStyle w:val="ListParagraph"/>
        <w:numPr>
          <w:ilvl w:val="0"/>
          <w:numId w:val="2"/>
        </w:numPr>
        <w:jc w:val="both"/>
        <w:rPr>
          <w:rFonts w:cs="Arial"/>
          <w:sz w:val="22"/>
          <w:szCs w:val="22"/>
          <w:lang w:val="en-GB"/>
        </w:rPr>
      </w:pPr>
      <w:r>
        <w:rPr>
          <w:rFonts w:cs="Arial"/>
          <w:sz w:val="22"/>
          <w:szCs w:val="22"/>
          <w:lang w:val="en-GB"/>
        </w:rPr>
        <w:t>Resolution 11.17</w:t>
      </w:r>
      <w:r w:rsidR="004E7A47" w:rsidRPr="004E7A47">
        <w:rPr>
          <w:rFonts w:cs="Arial"/>
          <w:sz w:val="22"/>
          <w:szCs w:val="22"/>
          <w:lang w:val="en-GB"/>
        </w:rPr>
        <w:t xml:space="preserve"> </w:t>
      </w:r>
      <w:r w:rsidR="00243E9E">
        <w:rPr>
          <w:rFonts w:cs="Arial"/>
          <w:sz w:val="22"/>
          <w:szCs w:val="22"/>
          <w:lang w:val="en-GB"/>
        </w:rPr>
        <w:t>on the Action Plan for Migratory Landbirds in the African-Eurasian Region</w:t>
      </w:r>
      <w:r w:rsidR="00243E9E" w:rsidRPr="001E3B2C">
        <w:rPr>
          <w:rFonts w:cs="Arial"/>
          <w:sz w:val="22"/>
          <w:szCs w:val="22"/>
          <w:lang w:val="en-GB"/>
        </w:rPr>
        <w:t xml:space="preserve"> </w:t>
      </w:r>
      <w:r w:rsidR="00243E9E">
        <w:rPr>
          <w:rFonts w:cs="Arial"/>
          <w:sz w:val="22"/>
          <w:szCs w:val="22"/>
          <w:lang w:val="en-GB"/>
        </w:rPr>
        <w:t>requests</w:t>
      </w:r>
      <w:r w:rsidR="004E7A47" w:rsidRPr="004E7A47">
        <w:rPr>
          <w:rFonts w:cs="Arial"/>
          <w:sz w:val="22"/>
          <w:szCs w:val="22"/>
          <w:lang w:val="en-GB"/>
        </w:rPr>
        <w:t xml:space="preserve"> </w:t>
      </w:r>
      <w:r w:rsidR="00243E9E">
        <w:rPr>
          <w:rFonts w:cs="Arial"/>
          <w:sz w:val="22"/>
          <w:szCs w:val="22"/>
          <w:lang w:val="en-GB"/>
        </w:rPr>
        <w:t>the Landbirds Working Group and the Scientific Council, in liaison with the Migrant Landbirds Study Group and the Friends of the Landbirds Action Plan, with the support of the Secretariat, to develop as an emerging issue Action Plans for a first set of species including</w:t>
      </w:r>
      <w:r w:rsidR="004E7A47" w:rsidRPr="004E7A47">
        <w:rPr>
          <w:rFonts w:cs="Arial"/>
          <w:sz w:val="22"/>
          <w:szCs w:val="22"/>
          <w:lang w:val="en-GB"/>
        </w:rPr>
        <w:t xml:space="preserve"> the </w:t>
      </w:r>
      <w:r w:rsidR="00243E9E">
        <w:rPr>
          <w:rFonts w:cs="Arial"/>
          <w:sz w:val="22"/>
          <w:szCs w:val="22"/>
          <w:lang w:val="en-GB"/>
        </w:rPr>
        <w:t xml:space="preserve">European Turtle Dove </w:t>
      </w:r>
      <w:r w:rsidR="008151EA">
        <w:rPr>
          <w:rFonts w:cs="Arial"/>
          <w:sz w:val="22"/>
          <w:szCs w:val="22"/>
          <w:lang w:val="en-GB"/>
        </w:rPr>
        <w:t>(</w:t>
      </w:r>
      <w:r w:rsidR="00243E9E">
        <w:rPr>
          <w:rFonts w:cs="Arial"/>
          <w:i/>
          <w:sz w:val="22"/>
          <w:szCs w:val="22"/>
          <w:lang w:val="en-GB"/>
        </w:rPr>
        <w:t>Streptopelia turtur</w:t>
      </w:r>
      <w:r w:rsidR="008151EA">
        <w:rPr>
          <w:rFonts w:cs="Arial"/>
          <w:sz w:val="22"/>
          <w:szCs w:val="22"/>
          <w:lang w:val="en-GB"/>
        </w:rPr>
        <w:t>)</w:t>
      </w:r>
      <w:r w:rsidR="004E7A47" w:rsidRPr="004E7A47">
        <w:rPr>
          <w:rFonts w:cs="Arial"/>
          <w:sz w:val="22"/>
          <w:szCs w:val="22"/>
          <w:lang w:val="en-GB"/>
        </w:rPr>
        <w:t>, in line with CMS priorities for concer</w:t>
      </w:r>
      <w:r w:rsidR="00243E9E">
        <w:rPr>
          <w:rFonts w:cs="Arial"/>
          <w:sz w:val="22"/>
          <w:szCs w:val="22"/>
          <w:lang w:val="en-GB"/>
        </w:rPr>
        <w:t>ted and cooperative action. The nominate sub</w:t>
      </w:r>
      <w:r w:rsidR="004E7A47" w:rsidRPr="004E7A47">
        <w:rPr>
          <w:rFonts w:cs="Arial"/>
          <w:sz w:val="22"/>
          <w:szCs w:val="22"/>
          <w:lang w:val="en-GB"/>
        </w:rPr>
        <w:t xml:space="preserve">species </w:t>
      </w:r>
      <w:r w:rsidR="00243E9E" w:rsidRPr="00243E9E">
        <w:rPr>
          <w:rFonts w:cs="Arial"/>
          <w:i/>
          <w:sz w:val="22"/>
          <w:szCs w:val="22"/>
          <w:lang w:val="en-GB"/>
        </w:rPr>
        <w:t>S. t. turtur</w:t>
      </w:r>
      <w:r w:rsidR="00243E9E">
        <w:rPr>
          <w:rFonts w:cs="Arial"/>
          <w:sz w:val="22"/>
          <w:szCs w:val="22"/>
          <w:lang w:val="en-GB"/>
        </w:rPr>
        <w:t xml:space="preserve"> </w:t>
      </w:r>
      <w:r w:rsidR="004E7A47" w:rsidRPr="004E7A47">
        <w:rPr>
          <w:rFonts w:cs="Arial"/>
          <w:sz w:val="22"/>
          <w:szCs w:val="22"/>
          <w:lang w:val="en-GB"/>
        </w:rPr>
        <w:t xml:space="preserve">is </w:t>
      </w:r>
      <w:r w:rsidR="00D76AD2" w:rsidRPr="005A2E8C">
        <w:rPr>
          <w:rFonts w:cs="Arial"/>
          <w:sz w:val="22"/>
          <w:szCs w:val="22"/>
          <w:lang w:val="en-GB"/>
        </w:rPr>
        <w:t>listed in Appendix I</w:t>
      </w:r>
      <w:r w:rsidR="00243E9E" w:rsidRPr="005A2E8C">
        <w:rPr>
          <w:rFonts w:cs="Arial"/>
          <w:sz w:val="22"/>
          <w:szCs w:val="22"/>
          <w:lang w:val="en-GB"/>
        </w:rPr>
        <w:t>I</w:t>
      </w:r>
      <w:r w:rsidR="00D76AD2" w:rsidRPr="005A2E8C">
        <w:rPr>
          <w:rFonts w:cs="Arial"/>
          <w:sz w:val="22"/>
          <w:szCs w:val="22"/>
          <w:lang w:val="en-GB"/>
        </w:rPr>
        <w:t xml:space="preserve"> and is </w:t>
      </w:r>
      <w:r w:rsidR="00243E9E" w:rsidRPr="005A2E8C">
        <w:rPr>
          <w:rFonts w:cs="Arial"/>
          <w:sz w:val="22"/>
          <w:szCs w:val="22"/>
          <w:lang w:val="en-GB"/>
        </w:rPr>
        <w:t>considered Vulnerable</w:t>
      </w:r>
      <w:r w:rsidR="004E7A47" w:rsidRPr="005A2E8C">
        <w:rPr>
          <w:rFonts w:cs="Arial"/>
          <w:sz w:val="22"/>
          <w:szCs w:val="22"/>
          <w:lang w:val="en-GB"/>
        </w:rPr>
        <w:t xml:space="preserve"> by IUCN</w:t>
      </w:r>
      <w:r w:rsidR="00253BC1">
        <w:rPr>
          <w:rFonts w:cs="Arial"/>
          <w:sz w:val="22"/>
          <w:szCs w:val="22"/>
          <w:lang w:val="en-GB"/>
        </w:rPr>
        <w:t>.</w:t>
      </w:r>
    </w:p>
    <w:p w14:paraId="7194C16B" w14:textId="77777777" w:rsidR="005A2E8C" w:rsidRDefault="005A2E8C" w:rsidP="00BE20B6">
      <w:pPr>
        <w:pStyle w:val="ListParagraph"/>
        <w:jc w:val="both"/>
        <w:rPr>
          <w:rFonts w:cs="Arial"/>
          <w:sz w:val="22"/>
          <w:szCs w:val="22"/>
          <w:lang w:val="en-GB"/>
        </w:rPr>
      </w:pPr>
    </w:p>
    <w:p w14:paraId="0FBD0B39" w14:textId="6A32FAF2" w:rsidR="005A2E8C" w:rsidRDefault="00890F11" w:rsidP="00BE20B6">
      <w:pPr>
        <w:numPr>
          <w:ilvl w:val="0"/>
          <w:numId w:val="2"/>
        </w:numPr>
        <w:contextualSpacing/>
        <w:jc w:val="both"/>
        <w:rPr>
          <w:rFonts w:cs="Arial"/>
          <w:sz w:val="22"/>
          <w:szCs w:val="22"/>
          <w:lang w:val="en-GB"/>
        </w:rPr>
      </w:pPr>
      <w:r w:rsidRPr="003F6C6E">
        <w:rPr>
          <w:rFonts w:cs="Arial"/>
          <w:sz w:val="22"/>
          <w:szCs w:val="22"/>
        </w:rPr>
        <w:t xml:space="preserve">This Action Plan covers the European, Mediterranean and North African breeding population, and also </w:t>
      </w:r>
      <w:r w:rsidRPr="00890F11">
        <w:rPr>
          <w:rFonts w:cs="Arial"/>
          <w:sz w:val="22"/>
          <w:szCs w:val="22"/>
          <w:lang w:val="en-GB"/>
        </w:rPr>
        <w:t>includes activities to expand knowledge for Range States eastwards of this area.</w:t>
      </w:r>
      <w:r>
        <w:rPr>
          <w:rFonts w:cs="Arial"/>
          <w:sz w:val="22"/>
          <w:szCs w:val="22"/>
          <w:lang w:val="en-GB"/>
        </w:rPr>
        <w:t xml:space="preserve"> </w:t>
      </w:r>
      <w:r w:rsidR="005A2E8C" w:rsidRPr="005A2E8C">
        <w:rPr>
          <w:rFonts w:cs="Arial"/>
          <w:sz w:val="22"/>
          <w:szCs w:val="22"/>
          <w:lang w:val="en-GB"/>
        </w:rPr>
        <w:t xml:space="preserve">The </w:t>
      </w:r>
      <w:r w:rsidR="005A2E8C" w:rsidRPr="005A2E8C">
        <w:rPr>
          <w:rFonts w:cs="Arial"/>
          <w:sz w:val="22"/>
          <w:szCs w:val="22"/>
        </w:rPr>
        <w:t xml:space="preserve">breeding area of the European Turtle Dove (including its four subspecies) stretches from Western Europe and North Africa eastwards as far as north-west China. The breeding population is estimated </w:t>
      </w:r>
      <w:r w:rsidR="00D24D5F">
        <w:rPr>
          <w:rFonts w:cs="Arial"/>
          <w:sz w:val="22"/>
          <w:szCs w:val="22"/>
        </w:rPr>
        <w:t>to be</w:t>
      </w:r>
      <w:r w:rsidR="005A2E8C" w:rsidRPr="005A2E8C">
        <w:rPr>
          <w:rFonts w:cs="Arial"/>
          <w:sz w:val="22"/>
          <w:szCs w:val="22"/>
        </w:rPr>
        <w:t xml:space="preserve"> 2.4</w:t>
      </w:r>
      <w:r w:rsidR="003F6C6E">
        <w:rPr>
          <w:rFonts w:cs="Arial"/>
          <w:sz w:val="22"/>
          <w:szCs w:val="22"/>
        </w:rPr>
        <w:t xml:space="preserve"> </w:t>
      </w:r>
      <w:r w:rsidR="003F6C6E" w:rsidRPr="005A2E8C">
        <w:rPr>
          <w:rFonts w:cs="Arial"/>
          <w:sz w:val="22"/>
          <w:szCs w:val="22"/>
        </w:rPr>
        <w:t>million</w:t>
      </w:r>
      <w:r w:rsidR="005A2E8C" w:rsidRPr="005A2E8C">
        <w:rPr>
          <w:rFonts w:cs="Arial"/>
          <w:sz w:val="22"/>
          <w:szCs w:val="22"/>
        </w:rPr>
        <w:t xml:space="preserve"> to 4.2 million birds within the EU, around 75</w:t>
      </w:r>
      <w:r w:rsidR="003F6C6E">
        <w:rPr>
          <w:rFonts w:cs="Arial"/>
          <w:sz w:val="22"/>
          <w:szCs w:val="22"/>
        </w:rPr>
        <w:t xml:space="preserve"> per cent</w:t>
      </w:r>
      <w:r w:rsidR="005A2E8C" w:rsidRPr="005A2E8C">
        <w:rPr>
          <w:rFonts w:cs="Arial"/>
          <w:sz w:val="22"/>
          <w:szCs w:val="22"/>
        </w:rPr>
        <w:t xml:space="preserve"> of the European </w:t>
      </w:r>
      <w:r w:rsidR="003F6C6E">
        <w:rPr>
          <w:rFonts w:cs="Arial"/>
          <w:sz w:val="22"/>
          <w:szCs w:val="22"/>
        </w:rPr>
        <w:t xml:space="preserve">total of </w:t>
      </w:r>
      <w:r w:rsidR="005A2E8C" w:rsidRPr="005A2E8C">
        <w:rPr>
          <w:rFonts w:cs="Arial"/>
          <w:sz w:val="22"/>
          <w:szCs w:val="22"/>
        </w:rPr>
        <w:t xml:space="preserve">2.9 </w:t>
      </w:r>
      <w:r w:rsidR="003F6C6E" w:rsidRPr="005A2E8C">
        <w:rPr>
          <w:rFonts w:cs="Arial"/>
          <w:sz w:val="22"/>
          <w:szCs w:val="22"/>
        </w:rPr>
        <w:t xml:space="preserve">million </w:t>
      </w:r>
      <w:r w:rsidR="005A2E8C" w:rsidRPr="005A2E8C">
        <w:rPr>
          <w:rFonts w:cs="Arial"/>
          <w:sz w:val="22"/>
          <w:szCs w:val="22"/>
        </w:rPr>
        <w:t>to 5.6 million pairs</w:t>
      </w:r>
      <w:r w:rsidR="00253BC1">
        <w:rPr>
          <w:rFonts w:cs="Arial"/>
          <w:sz w:val="22"/>
          <w:szCs w:val="22"/>
        </w:rPr>
        <w:t>. The</w:t>
      </w:r>
      <w:r w:rsidR="005A2E8C" w:rsidRPr="005A2E8C">
        <w:rPr>
          <w:rFonts w:cs="Arial"/>
          <w:sz w:val="22"/>
          <w:szCs w:val="22"/>
        </w:rPr>
        <w:t xml:space="preserve"> global population </w:t>
      </w:r>
      <w:r w:rsidR="00253BC1">
        <w:rPr>
          <w:rFonts w:cs="Arial"/>
          <w:sz w:val="22"/>
          <w:szCs w:val="22"/>
        </w:rPr>
        <w:t>is estimated to be between</w:t>
      </w:r>
      <w:r w:rsidR="005A2E8C" w:rsidRPr="005A2E8C">
        <w:rPr>
          <w:rFonts w:cs="Arial"/>
          <w:sz w:val="22"/>
          <w:szCs w:val="22"/>
        </w:rPr>
        <w:t xml:space="preserve"> 13 </w:t>
      </w:r>
      <w:r w:rsidR="00253BC1">
        <w:rPr>
          <w:rFonts w:cs="Arial"/>
          <w:sz w:val="22"/>
          <w:szCs w:val="22"/>
        </w:rPr>
        <w:t>and</w:t>
      </w:r>
      <w:r w:rsidR="005A2E8C" w:rsidRPr="005A2E8C">
        <w:rPr>
          <w:rFonts w:cs="Arial"/>
          <w:sz w:val="22"/>
          <w:szCs w:val="22"/>
        </w:rPr>
        <w:t xml:space="preserve"> 48 million pairs.</w:t>
      </w:r>
      <w:r w:rsidR="005A2E8C" w:rsidRPr="005A2E8C">
        <w:rPr>
          <w:rFonts w:cs="Arial"/>
          <w:sz w:val="20"/>
          <w:szCs w:val="20"/>
        </w:rPr>
        <w:t xml:space="preserve"> </w:t>
      </w:r>
      <w:r w:rsidR="005A2E8C" w:rsidRPr="005A2E8C">
        <w:rPr>
          <w:rFonts w:cs="Arial"/>
          <w:sz w:val="22"/>
          <w:szCs w:val="22"/>
        </w:rPr>
        <w:t xml:space="preserve">Birds migrate to sub-Saharan Africa to overwinter, using at least three routes </w:t>
      </w:r>
      <w:r w:rsidR="00D417C2">
        <w:rPr>
          <w:rFonts w:cs="Arial"/>
          <w:sz w:val="22"/>
          <w:szCs w:val="22"/>
        </w:rPr>
        <w:t xml:space="preserve">across the </w:t>
      </w:r>
      <w:r w:rsidR="005A2E8C" w:rsidRPr="005A2E8C">
        <w:rPr>
          <w:rFonts w:cs="Arial"/>
          <w:sz w:val="22"/>
          <w:szCs w:val="22"/>
        </w:rPr>
        <w:t xml:space="preserve">Mediterranean. Listed on Annex II/2 of the EU Birds Directive, hunting for Turtle Dove is permitted in </w:t>
      </w:r>
      <w:r w:rsidR="00D24D5F">
        <w:rPr>
          <w:rFonts w:cs="Arial"/>
          <w:sz w:val="22"/>
          <w:szCs w:val="22"/>
        </w:rPr>
        <w:t xml:space="preserve">11 </w:t>
      </w:r>
      <w:r w:rsidR="005A2E8C" w:rsidRPr="005A2E8C">
        <w:rPr>
          <w:rFonts w:cs="Arial"/>
          <w:sz w:val="22"/>
          <w:szCs w:val="22"/>
        </w:rPr>
        <w:t>EU Member States</w:t>
      </w:r>
      <w:r w:rsidR="00D24D5F">
        <w:rPr>
          <w:rFonts w:cs="Arial"/>
          <w:sz w:val="22"/>
          <w:szCs w:val="22"/>
        </w:rPr>
        <w:t xml:space="preserve">. </w:t>
      </w:r>
      <w:r w:rsidR="005A2E8C" w:rsidRPr="005A2E8C">
        <w:rPr>
          <w:rFonts w:cs="Arial"/>
          <w:sz w:val="22"/>
          <w:szCs w:val="22"/>
        </w:rPr>
        <w:t xml:space="preserve">The quarry in these countries is estimated </w:t>
      </w:r>
      <w:r w:rsidR="00D417C2">
        <w:rPr>
          <w:rFonts w:cs="Arial"/>
          <w:sz w:val="22"/>
          <w:szCs w:val="22"/>
        </w:rPr>
        <w:t>to be</w:t>
      </w:r>
      <w:r w:rsidR="005A2E8C" w:rsidRPr="005A2E8C">
        <w:rPr>
          <w:rFonts w:cs="Arial"/>
          <w:sz w:val="22"/>
          <w:szCs w:val="22"/>
        </w:rPr>
        <w:t xml:space="preserve"> over two million birds annually</w:t>
      </w:r>
      <w:r w:rsidR="00D24D5F">
        <w:rPr>
          <w:rFonts w:cs="Arial"/>
          <w:sz w:val="22"/>
          <w:szCs w:val="22"/>
        </w:rPr>
        <w:t xml:space="preserve">. </w:t>
      </w:r>
      <w:r w:rsidR="008A61D1">
        <w:rPr>
          <w:rFonts w:cs="Arial"/>
          <w:sz w:val="22"/>
          <w:szCs w:val="22"/>
        </w:rPr>
        <w:t>Due to several threats, p</w:t>
      </w:r>
      <w:r w:rsidR="00D24D5F">
        <w:rPr>
          <w:rFonts w:cs="Arial"/>
          <w:sz w:val="22"/>
          <w:szCs w:val="22"/>
        </w:rPr>
        <w:t xml:space="preserve">opulations have declined </w:t>
      </w:r>
      <w:r w:rsidR="00D417C2">
        <w:rPr>
          <w:rFonts w:cs="Arial"/>
          <w:sz w:val="22"/>
          <w:szCs w:val="22"/>
        </w:rPr>
        <w:t xml:space="preserve">since the 1970s, with </w:t>
      </w:r>
      <w:r w:rsidR="00D417C2" w:rsidRPr="00D417C2">
        <w:rPr>
          <w:rFonts w:cs="Arial"/>
          <w:sz w:val="22"/>
          <w:szCs w:val="22"/>
        </w:rPr>
        <w:t>a decline of 79</w:t>
      </w:r>
      <w:r w:rsidR="003F6C6E">
        <w:rPr>
          <w:rFonts w:cs="Arial"/>
          <w:sz w:val="22"/>
          <w:szCs w:val="22"/>
        </w:rPr>
        <w:t xml:space="preserve"> per cent</w:t>
      </w:r>
      <w:r w:rsidR="003F6C6E" w:rsidRPr="00D417C2">
        <w:rPr>
          <w:rFonts w:cs="Arial"/>
          <w:sz w:val="22"/>
          <w:szCs w:val="22"/>
        </w:rPr>
        <w:t xml:space="preserve"> </w:t>
      </w:r>
      <w:r w:rsidR="00D417C2">
        <w:rPr>
          <w:rFonts w:cs="Arial"/>
          <w:sz w:val="22"/>
          <w:szCs w:val="22"/>
        </w:rPr>
        <w:t>in Europe a</w:t>
      </w:r>
      <w:r w:rsidR="00E27689">
        <w:rPr>
          <w:rFonts w:cs="Arial"/>
          <w:sz w:val="22"/>
          <w:szCs w:val="22"/>
        </w:rPr>
        <w:t>nd up to more than 90</w:t>
      </w:r>
      <w:r w:rsidR="003F6C6E">
        <w:rPr>
          <w:rFonts w:cs="Arial"/>
          <w:sz w:val="22"/>
          <w:szCs w:val="22"/>
        </w:rPr>
        <w:t xml:space="preserve"> per cent</w:t>
      </w:r>
      <w:r w:rsidR="00E27689">
        <w:rPr>
          <w:rFonts w:cs="Arial"/>
          <w:sz w:val="22"/>
          <w:szCs w:val="22"/>
        </w:rPr>
        <w:t xml:space="preserve"> outside the EU </w:t>
      </w:r>
      <w:r w:rsidR="00D417C2" w:rsidRPr="00D417C2">
        <w:rPr>
          <w:rFonts w:cs="Arial"/>
          <w:sz w:val="22"/>
          <w:szCs w:val="22"/>
        </w:rPr>
        <w:t>between 1980 and 2014</w:t>
      </w:r>
      <w:r w:rsidR="00791680">
        <w:rPr>
          <w:rFonts w:cs="Arial"/>
          <w:sz w:val="22"/>
          <w:szCs w:val="22"/>
          <w:lang w:val="en-GB"/>
        </w:rPr>
        <w:t>.</w:t>
      </w:r>
    </w:p>
    <w:p w14:paraId="10F11F00" w14:textId="77777777" w:rsidR="00B75124" w:rsidRDefault="00B75124" w:rsidP="00B75124">
      <w:pPr>
        <w:pStyle w:val="ListParagraph"/>
        <w:rPr>
          <w:rFonts w:cs="Arial"/>
          <w:sz w:val="22"/>
          <w:szCs w:val="22"/>
          <w:lang w:val="en-GB"/>
        </w:rPr>
      </w:pPr>
    </w:p>
    <w:p w14:paraId="72467B74" w14:textId="504DA89F" w:rsidR="00B75124" w:rsidRPr="00B75124" w:rsidRDefault="00B75124" w:rsidP="00B75124">
      <w:pPr>
        <w:numPr>
          <w:ilvl w:val="0"/>
          <w:numId w:val="2"/>
        </w:numPr>
        <w:contextualSpacing/>
        <w:jc w:val="both"/>
        <w:rPr>
          <w:rFonts w:cs="Arial"/>
          <w:sz w:val="22"/>
          <w:szCs w:val="22"/>
          <w:lang w:val="en-GB"/>
        </w:rPr>
      </w:pPr>
      <w:r w:rsidRPr="00B75124">
        <w:rPr>
          <w:rFonts w:cs="Arial"/>
          <w:sz w:val="22"/>
          <w:szCs w:val="22"/>
          <w:lang w:val="en-GB"/>
        </w:rPr>
        <w:t>Two International Workshops on the European Turtle Dove took place, one for the western flyway in Valsain, Spain, on 19-21 December 2016, and one for the central and eastern flyway in Kecskemét, Hungary, on 16-18 January 2017. The meetings were organized by BirdLife International in the frame</w:t>
      </w:r>
      <w:r w:rsidR="003F6C6E">
        <w:rPr>
          <w:rFonts w:cs="Arial"/>
          <w:sz w:val="22"/>
          <w:szCs w:val="22"/>
          <w:lang w:val="en-GB"/>
        </w:rPr>
        <w:t>work</w:t>
      </w:r>
      <w:r w:rsidRPr="00B75124">
        <w:rPr>
          <w:rFonts w:cs="Arial"/>
          <w:sz w:val="22"/>
          <w:szCs w:val="22"/>
          <w:lang w:val="en-GB"/>
        </w:rPr>
        <w:t xml:space="preserve"> of the </w:t>
      </w:r>
      <w:r w:rsidRPr="00B75124">
        <w:rPr>
          <w:rFonts w:cs="Arial"/>
          <w:sz w:val="22"/>
          <w:szCs w:val="22"/>
        </w:rPr>
        <w:t>Project LIFE EuroSAP (LIFE14 PRE UK 002)</w:t>
      </w:r>
      <w:r w:rsidR="00791680">
        <w:rPr>
          <w:rFonts w:cs="Arial"/>
          <w:sz w:val="22"/>
          <w:szCs w:val="22"/>
          <w:lang w:val="en-GB"/>
        </w:rPr>
        <w:t>.</w:t>
      </w:r>
    </w:p>
    <w:p w14:paraId="52BDF138" w14:textId="3EFB1DFC" w:rsidR="00B75124" w:rsidRPr="005A2E8C" w:rsidRDefault="00B75124" w:rsidP="00B75124">
      <w:pPr>
        <w:contextualSpacing/>
        <w:jc w:val="both"/>
        <w:rPr>
          <w:rFonts w:cs="Arial"/>
          <w:sz w:val="22"/>
          <w:szCs w:val="22"/>
          <w:lang w:val="en-GB"/>
        </w:rPr>
      </w:pPr>
    </w:p>
    <w:p w14:paraId="73CDCF3A" w14:textId="20F53B28" w:rsidR="00BE365A" w:rsidRDefault="00B64FCF" w:rsidP="00BE20B6">
      <w:pPr>
        <w:numPr>
          <w:ilvl w:val="0"/>
          <w:numId w:val="2"/>
        </w:numPr>
        <w:contextualSpacing/>
        <w:jc w:val="both"/>
        <w:rPr>
          <w:rFonts w:cs="Arial"/>
          <w:sz w:val="22"/>
          <w:szCs w:val="22"/>
          <w:lang w:val="en-GB"/>
        </w:rPr>
      </w:pPr>
      <w:r w:rsidRPr="00E27689">
        <w:rPr>
          <w:rFonts w:cs="Arial"/>
          <w:sz w:val="22"/>
          <w:szCs w:val="22"/>
          <w:lang w:val="en-GB"/>
        </w:rPr>
        <w:t xml:space="preserve">The draft Action Plan is appended as Annex 1. Consistently with CMS policy concerning language versions of Species Action Plans, the document is produced only in English </w:t>
      </w:r>
      <w:r w:rsidR="00153C2E">
        <w:rPr>
          <w:rFonts w:cs="Arial"/>
          <w:sz w:val="22"/>
          <w:szCs w:val="22"/>
          <w:lang w:val="en-GB"/>
        </w:rPr>
        <w:t xml:space="preserve">for the time being. Versions in </w:t>
      </w:r>
      <w:r w:rsidRPr="00E27689">
        <w:rPr>
          <w:rFonts w:cs="Arial"/>
          <w:sz w:val="22"/>
          <w:szCs w:val="22"/>
          <w:lang w:val="en-GB"/>
        </w:rPr>
        <w:t>Fren</w:t>
      </w:r>
      <w:r w:rsidR="00153C2E">
        <w:rPr>
          <w:rFonts w:cs="Arial"/>
          <w:sz w:val="22"/>
          <w:szCs w:val="22"/>
          <w:lang w:val="en-GB"/>
        </w:rPr>
        <w:t>ch and Spanish will follow based on the availability of resources</w:t>
      </w:r>
      <w:r w:rsidR="005A2E8C" w:rsidRPr="00E27689">
        <w:rPr>
          <w:rFonts w:cs="Arial"/>
          <w:sz w:val="22"/>
          <w:szCs w:val="22"/>
          <w:lang w:val="en-GB"/>
        </w:rPr>
        <w:t>;</w:t>
      </w:r>
    </w:p>
    <w:p w14:paraId="561841A2" w14:textId="34DDF04C" w:rsidR="00D675FA" w:rsidRPr="00E27689" w:rsidRDefault="00D675FA" w:rsidP="00BE20B6">
      <w:pPr>
        <w:contextualSpacing/>
        <w:jc w:val="both"/>
        <w:rPr>
          <w:rFonts w:cs="Arial"/>
          <w:sz w:val="22"/>
          <w:szCs w:val="22"/>
          <w:lang w:val="en-GB"/>
        </w:rPr>
      </w:pPr>
    </w:p>
    <w:p w14:paraId="7B9AD211" w14:textId="77777777" w:rsidR="00BE3C08" w:rsidRPr="00E27689" w:rsidRDefault="00BE3C08" w:rsidP="00BE20B6">
      <w:pPr>
        <w:jc w:val="both"/>
        <w:rPr>
          <w:rFonts w:cs="Arial"/>
          <w:sz w:val="22"/>
          <w:szCs w:val="22"/>
          <w:u w:val="single"/>
          <w:lang w:val="en-GB"/>
        </w:rPr>
      </w:pPr>
    </w:p>
    <w:p w14:paraId="7D79DDCB" w14:textId="77777777" w:rsidR="007910DD" w:rsidRPr="00E27689" w:rsidRDefault="0090059C" w:rsidP="00BE20B6">
      <w:pPr>
        <w:jc w:val="both"/>
        <w:rPr>
          <w:rFonts w:cs="Arial"/>
          <w:sz w:val="22"/>
          <w:szCs w:val="22"/>
          <w:lang w:val="en-GB"/>
        </w:rPr>
      </w:pPr>
      <w:r w:rsidRPr="00E27689">
        <w:rPr>
          <w:rFonts w:cs="Arial"/>
          <w:sz w:val="22"/>
          <w:szCs w:val="22"/>
          <w:u w:val="single"/>
          <w:lang w:val="en-GB"/>
        </w:rPr>
        <w:t>Recommended actions</w:t>
      </w:r>
    </w:p>
    <w:p w14:paraId="473EAC42" w14:textId="77777777" w:rsidR="007910DD" w:rsidRPr="00E27689" w:rsidRDefault="007910DD" w:rsidP="00BE20B6">
      <w:pPr>
        <w:jc w:val="both"/>
        <w:rPr>
          <w:rFonts w:cs="Arial"/>
          <w:sz w:val="22"/>
          <w:szCs w:val="22"/>
          <w:lang w:val="en-GB"/>
        </w:rPr>
      </w:pPr>
    </w:p>
    <w:p w14:paraId="4A632F07" w14:textId="77777777" w:rsidR="007910DD" w:rsidRPr="00E27689" w:rsidRDefault="007910DD" w:rsidP="00BE20B6">
      <w:pPr>
        <w:numPr>
          <w:ilvl w:val="0"/>
          <w:numId w:val="2"/>
        </w:numPr>
        <w:jc w:val="both"/>
        <w:rPr>
          <w:rFonts w:cs="Arial"/>
          <w:sz w:val="22"/>
          <w:szCs w:val="22"/>
          <w:lang w:val="en-GB"/>
        </w:rPr>
      </w:pPr>
      <w:r w:rsidRPr="00E27689">
        <w:rPr>
          <w:rFonts w:cs="Arial"/>
          <w:sz w:val="22"/>
          <w:szCs w:val="22"/>
          <w:lang w:val="en-GB" w:eastAsia="en-GB"/>
        </w:rPr>
        <w:t xml:space="preserve">The Conference of the Parties is </w:t>
      </w:r>
      <w:r w:rsidR="00691001" w:rsidRPr="00E27689">
        <w:rPr>
          <w:rFonts w:cs="Arial"/>
          <w:sz w:val="22"/>
          <w:szCs w:val="22"/>
          <w:lang w:val="en-GB" w:eastAsia="en-GB"/>
        </w:rPr>
        <w:t>recommended</w:t>
      </w:r>
      <w:r w:rsidRPr="00E27689">
        <w:rPr>
          <w:rFonts w:cs="Arial"/>
          <w:sz w:val="22"/>
          <w:szCs w:val="22"/>
          <w:lang w:val="en-GB" w:eastAsia="en-GB"/>
        </w:rPr>
        <w:t xml:space="preserve"> to</w:t>
      </w:r>
      <w:r w:rsidRPr="00E27689">
        <w:rPr>
          <w:rFonts w:cs="Arial"/>
          <w:sz w:val="22"/>
          <w:szCs w:val="22"/>
          <w:lang w:val="en-GB"/>
        </w:rPr>
        <w:t>:</w:t>
      </w:r>
    </w:p>
    <w:p w14:paraId="5A0FEB38" w14:textId="77777777" w:rsidR="007910DD" w:rsidRPr="00E27689" w:rsidRDefault="007910DD" w:rsidP="00BE20B6">
      <w:pPr>
        <w:jc w:val="both"/>
        <w:rPr>
          <w:rFonts w:cs="Arial"/>
          <w:sz w:val="22"/>
          <w:szCs w:val="22"/>
          <w:lang w:val="en-GB"/>
        </w:rPr>
      </w:pPr>
    </w:p>
    <w:p w14:paraId="05BC5212" w14:textId="5AD4739F" w:rsidR="00C96521" w:rsidRDefault="00C96521" w:rsidP="00BE20B6">
      <w:pPr>
        <w:widowControl/>
        <w:numPr>
          <w:ilvl w:val="0"/>
          <w:numId w:val="3"/>
        </w:numPr>
        <w:autoSpaceDE/>
        <w:adjustRightInd/>
        <w:contextualSpacing/>
        <w:jc w:val="both"/>
        <w:rPr>
          <w:rFonts w:cs="Arial"/>
          <w:sz w:val="22"/>
          <w:szCs w:val="22"/>
          <w:lang w:val="en-GB"/>
        </w:rPr>
        <w:sectPr w:rsidR="00C96521" w:rsidSect="00C96521">
          <w:headerReference w:type="first" r:id="rId15"/>
          <w:footerReference w:type="first" r:id="rId16"/>
          <w:endnotePr>
            <w:numFmt w:val="decimal"/>
          </w:endnotePr>
          <w:pgSz w:w="11905" w:h="16837" w:code="9"/>
          <w:pgMar w:top="1008" w:right="1411" w:bottom="1152" w:left="1411" w:header="706" w:footer="706" w:gutter="0"/>
          <w:cols w:space="720"/>
          <w:noEndnote/>
          <w:titlePg/>
          <w:docGrid w:linePitch="272"/>
        </w:sectPr>
      </w:pPr>
      <w:r w:rsidRPr="00E27689">
        <w:rPr>
          <w:rFonts w:cs="Arial"/>
          <w:sz w:val="22"/>
          <w:szCs w:val="22"/>
          <w:lang w:val="en-GB"/>
        </w:rPr>
        <w:t xml:space="preserve">adopt </w:t>
      </w:r>
      <w:r>
        <w:rPr>
          <w:rFonts w:cs="Arial"/>
          <w:sz w:val="22"/>
          <w:szCs w:val="22"/>
          <w:lang w:val="en-GB"/>
        </w:rPr>
        <w:t xml:space="preserve">the Action Plan included in Annex 1 through </w:t>
      </w:r>
      <w:r w:rsidR="0003375A">
        <w:rPr>
          <w:rFonts w:cs="Arial"/>
          <w:sz w:val="22"/>
          <w:szCs w:val="22"/>
          <w:lang w:val="en-GB"/>
        </w:rPr>
        <w:t>the draft Resolution</w:t>
      </w:r>
      <w:r>
        <w:rPr>
          <w:rFonts w:cs="Arial"/>
          <w:sz w:val="22"/>
          <w:szCs w:val="22"/>
          <w:lang w:val="en-GB"/>
        </w:rPr>
        <w:t xml:space="preserve"> on species action plans for birds, contained in document UNEP/CMS/COP12/Doc.24.1.11</w:t>
      </w:r>
      <w:r w:rsidR="00AC7264" w:rsidRPr="00E27689">
        <w:rPr>
          <w:rFonts w:cs="Arial"/>
          <w:sz w:val="22"/>
          <w:szCs w:val="22"/>
          <w:lang w:val="en-GB"/>
        </w:rPr>
        <w:t>.</w:t>
      </w:r>
    </w:p>
    <w:p w14:paraId="47C07431" w14:textId="243182F2" w:rsidR="007910DD" w:rsidRPr="00CD0FE9" w:rsidRDefault="00C96521" w:rsidP="0003449E">
      <w:pPr>
        <w:widowControl/>
        <w:autoSpaceDE/>
        <w:adjustRightInd/>
        <w:jc w:val="right"/>
        <w:rPr>
          <w:rFonts w:cs="Arial"/>
          <w:b/>
          <w:bCs/>
          <w:caps/>
          <w:sz w:val="22"/>
          <w:szCs w:val="22"/>
          <w:lang w:val="en-GB"/>
        </w:rPr>
      </w:pPr>
      <w:r>
        <w:rPr>
          <w:rFonts w:cs="Arial"/>
          <w:b/>
          <w:caps/>
          <w:sz w:val="22"/>
          <w:szCs w:val="22"/>
          <w:lang w:val="en-GB"/>
        </w:rPr>
        <w:lastRenderedPageBreak/>
        <w:t>Annex 1</w:t>
      </w:r>
    </w:p>
    <w:p w14:paraId="3D3654F7" w14:textId="77777777" w:rsidR="007910DD" w:rsidRPr="00CD0FE9" w:rsidRDefault="007910DD" w:rsidP="007910DD">
      <w:pPr>
        <w:rPr>
          <w:rFonts w:cs="Arial"/>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2835"/>
        <w:gridCol w:w="4606"/>
      </w:tblGrid>
      <w:tr w:rsidR="00C96521" w:rsidRPr="00C96521" w14:paraId="18D17C6B" w14:textId="77777777" w:rsidTr="00C96521">
        <w:tc>
          <w:tcPr>
            <w:tcW w:w="2093" w:type="dxa"/>
            <w:shd w:val="clear" w:color="auto" w:fill="365F91"/>
          </w:tcPr>
          <w:p w14:paraId="1F55E945" w14:textId="77777777" w:rsidR="00C96521" w:rsidRPr="00C96521" w:rsidRDefault="00C96521" w:rsidP="00C96521">
            <w:pPr>
              <w:widowControl/>
              <w:autoSpaceDE/>
              <w:autoSpaceDN/>
              <w:adjustRightInd/>
              <w:spacing w:after="300"/>
              <w:contextualSpacing/>
              <w:jc w:val="center"/>
              <w:rPr>
                <w:rFonts w:eastAsia="MS Gothic"/>
                <w:color w:val="1F497D"/>
                <w:spacing w:val="5"/>
                <w:kern w:val="28"/>
                <w:sz w:val="36"/>
                <w:szCs w:val="52"/>
                <w:lang w:val="en-GB"/>
              </w:rPr>
            </w:pPr>
          </w:p>
        </w:tc>
        <w:tc>
          <w:tcPr>
            <w:tcW w:w="2835" w:type="dxa"/>
            <w:vAlign w:val="center"/>
          </w:tcPr>
          <w:p w14:paraId="3DE2CECA" w14:textId="77777777" w:rsidR="00C96521" w:rsidRPr="00C96521" w:rsidRDefault="00C96521" w:rsidP="00C96521">
            <w:pPr>
              <w:widowControl/>
              <w:autoSpaceDE/>
              <w:autoSpaceDN/>
              <w:adjustRightInd/>
              <w:spacing w:after="300"/>
              <w:contextualSpacing/>
              <w:rPr>
                <w:rFonts w:eastAsia="MS Gothic"/>
                <w:color w:val="1F497D"/>
                <w:spacing w:val="5"/>
                <w:kern w:val="28"/>
                <w:sz w:val="36"/>
                <w:szCs w:val="52"/>
                <w:lang w:val="en-GB"/>
              </w:rPr>
            </w:pPr>
            <w:r w:rsidRPr="00C96521">
              <w:rPr>
                <w:rFonts w:eastAsia="MS Gothic"/>
                <w:color w:val="1F497D"/>
                <w:spacing w:val="5"/>
                <w:kern w:val="28"/>
                <w:sz w:val="36"/>
                <w:szCs w:val="52"/>
                <w:lang w:val="en-GB"/>
              </w:rPr>
              <w:t>DRAFT 1</w:t>
            </w:r>
          </w:p>
        </w:tc>
        <w:tc>
          <w:tcPr>
            <w:tcW w:w="4608" w:type="dxa"/>
          </w:tcPr>
          <w:p w14:paraId="4123E33D" w14:textId="2753267E" w:rsidR="00C96521" w:rsidRPr="00C96521" w:rsidRDefault="00C96521" w:rsidP="00C96521">
            <w:pPr>
              <w:widowControl/>
              <w:autoSpaceDE/>
              <w:autoSpaceDN/>
              <w:adjustRightInd/>
              <w:spacing w:after="300"/>
              <w:contextualSpacing/>
              <w:jc w:val="right"/>
              <w:rPr>
                <w:rFonts w:eastAsia="MS Gothic"/>
                <w:color w:val="1F497D"/>
                <w:spacing w:val="5"/>
                <w:kern w:val="28"/>
                <w:sz w:val="36"/>
                <w:szCs w:val="52"/>
                <w:lang w:val="en-GB"/>
              </w:rPr>
            </w:pPr>
            <w:r w:rsidRPr="00C96521">
              <w:rPr>
                <w:rFonts w:eastAsia="MS Gothic"/>
                <w:noProof/>
                <w:color w:val="1F497D"/>
                <w:spacing w:val="5"/>
                <w:kern w:val="28"/>
                <w:sz w:val="36"/>
                <w:szCs w:val="52"/>
              </w:rPr>
              <w:drawing>
                <wp:inline distT="0" distB="0" distL="0" distR="0" wp14:anchorId="2B1AAF44" wp14:editId="39C28292">
                  <wp:extent cx="1474530" cy="1066800"/>
                  <wp:effectExtent l="19050" t="0" r="0" b="0"/>
                  <wp:docPr id="26" name="Picture 25" descr="LIF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logo.jpg"/>
                          <pic:cNvPicPr/>
                        </pic:nvPicPr>
                        <pic:blipFill>
                          <a:blip r:embed="rId17" cstate="print"/>
                          <a:stretch>
                            <a:fillRect/>
                          </a:stretch>
                        </pic:blipFill>
                        <pic:spPr>
                          <a:xfrm>
                            <a:off x="0" y="0"/>
                            <a:ext cx="1474530" cy="1066800"/>
                          </a:xfrm>
                          <a:prstGeom prst="rect">
                            <a:avLst/>
                          </a:prstGeom>
                        </pic:spPr>
                      </pic:pic>
                    </a:graphicData>
                  </a:graphic>
                </wp:inline>
              </w:drawing>
            </w:r>
          </w:p>
        </w:tc>
      </w:tr>
      <w:tr w:rsidR="00C96521" w:rsidRPr="00C96521" w14:paraId="5D6A3768" w14:textId="77777777" w:rsidTr="00C96521">
        <w:tc>
          <w:tcPr>
            <w:tcW w:w="2093" w:type="dxa"/>
            <w:shd w:val="clear" w:color="auto" w:fill="365F91"/>
          </w:tcPr>
          <w:p w14:paraId="379EE5DF" w14:textId="77777777" w:rsidR="00C96521" w:rsidRPr="00C96521" w:rsidRDefault="00C96521" w:rsidP="00C96521">
            <w:pPr>
              <w:widowControl/>
              <w:autoSpaceDE/>
              <w:autoSpaceDN/>
              <w:adjustRightInd/>
              <w:spacing w:after="300"/>
              <w:contextualSpacing/>
              <w:jc w:val="center"/>
              <w:rPr>
                <w:rFonts w:eastAsia="MS Gothic"/>
                <w:color w:val="1F497D"/>
                <w:spacing w:val="5"/>
                <w:kern w:val="28"/>
                <w:sz w:val="36"/>
                <w:szCs w:val="52"/>
                <w:lang w:val="en-GB"/>
              </w:rPr>
            </w:pPr>
          </w:p>
        </w:tc>
        <w:tc>
          <w:tcPr>
            <w:tcW w:w="7443" w:type="dxa"/>
            <w:gridSpan w:val="2"/>
            <w:tcBorders>
              <w:bottom w:val="single" w:sz="4" w:space="0" w:color="365F91"/>
            </w:tcBorders>
          </w:tcPr>
          <w:p w14:paraId="65E55D0C" w14:textId="77777777" w:rsidR="00C96521" w:rsidRPr="00C96521" w:rsidRDefault="00C96521" w:rsidP="00C96521">
            <w:pPr>
              <w:widowControl/>
              <w:autoSpaceDE/>
              <w:autoSpaceDN/>
              <w:adjustRightInd/>
              <w:rPr>
                <w:rFonts w:ascii="Arial" w:hAnsi="Arial" w:cs="Arial"/>
                <w:sz w:val="20"/>
                <w:lang w:val="en-GB"/>
              </w:rPr>
            </w:pPr>
          </w:p>
          <w:p w14:paraId="2B2F88AD" w14:textId="77777777" w:rsidR="00C96521" w:rsidRPr="00C96521" w:rsidRDefault="00C96521" w:rsidP="00C96521">
            <w:pPr>
              <w:widowControl/>
              <w:autoSpaceDE/>
              <w:autoSpaceDN/>
              <w:adjustRightInd/>
              <w:rPr>
                <w:rFonts w:ascii="Arial" w:hAnsi="Arial" w:cs="Arial"/>
                <w:sz w:val="20"/>
                <w:lang w:val="en-GB"/>
              </w:rPr>
            </w:pPr>
          </w:p>
          <w:p w14:paraId="599B1D3A" w14:textId="77777777" w:rsidR="00C96521" w:rsidRPr="00C96521" w:rsidRDefault="00C96521" w:rsidP="00C96521">
            <w:pPr>
              <w:widowControl/>
              <w:autoSpaceDE/>
              <w:autoSpaceDN/>
              <w:adjustRightInd/>
              <w:rPr>
                <w:rFonts w:ascii="Arial" w:hAnsi="Arial" w:cs="Arial"/>
                <w:sz w:val="20"/>
                <w:lang w:val="en-GB"/>
              </w:rPr>
            </w:pPr>
          </w:p>
          <w:p w14:paraId="2EBD25BE" w14:textId="77777777" w:rsidR="00C96521" w:rsidRPr="00C96521" w:rsidRDefault="00C96521" w:rsidP="00C96521">
            <w:pPr>
              <w:widowControl/>
              <w:autoSpaceDE/>
              <w:autoSpaceDN/>
              <w:adjustRightInd/>
              <w:rPr>
                <w:rFonts w:ascii="Arial" w:hAnsi="Arial" w:cs="Arial"/>
                <w:sz w:val="20"/>
                <w:lang w:val="en-GB"/>
              </w:rPr>
            </w:pPr>
          </w:p>
          <w:p w14:paraId="295DC48A" w14:textId="336543DB" w:rsidR="00C96521" w:rsidRPr="00C96521" w:rsidRDefault="00C96521" w:rsidP="00C96521">
            <w:pPr>
              <w:widowControl/>
              <w:autoSpaceDE/>
              <w:autoSpaceDN/>
              <w:adjustRightInd/>
              <w:spacing w:after="300"/>
              <w:contextualSpacing/>
              <w:rPr>
                <w:rFonts w:ascii="Arial" w:eastAsia="MS Gothic" w:hAnsi="Arial" w:cs="Arial"/>
                <w:color w:val="1F497D"/>
                <w:spacing w:val="5"/>
                <w:kern w:val="28"/>
                <w:sz w:val="36"/>
                <w:szCs w:val="52"/>
                <w:lang w:val="en-GB"/>
              </w:rPr>
            </w:pPr>
            <w:r w:rsidRPr="00C96521">
              <w:rPr>
                <w:rFonts w:ascii="Arial" w:eastAsia="MS Gothic" w:hAnsi="Arial" w:cs="Arial"/>
                <w:color w:val="1F497D"/>
                <w:spacing w:val="5"/>
                <w:kern w:val="28"/>
                <w:sz w:val="36"/>
                <w:szCs w:val="52"/>
                <w:lang w:val="en-GB"/>
              </w:rPr>
              <w:t>International Single Species Action Plan for the Conservation of the European Turtle</w:t>
            </w:r>
            <w:r w:rsidR="003F6C6E">
              <w:rPr>
                <w:rFonts w:ascii="Arial" w:eastAsia="MS Gothic" w:hAnsi="Arial" w:cs="Arial"/>
                <w:color w:val="1F497D"/>
                <w:spacing w:val="5"/>
                <w:kern w:val="28"/>
                <w:sz w:val="36"/>
                <w:szCs w:val="52"/>
                <w:lang w:val="en-GB"/>
              </w:rPr>
              <w:t xml:space="preserve"> Dove</w:t>
            </w:r>
            <w:r w:rsidRPr="00C96521">
              <w:rPr>
                <w:rFonts w:ascii="Arial" w:eastAsia="MS Gothic" w:hAnsi="Arial" w:cs="Arial"/>
                <w:color w:val="1F497D"/>
                <w:spacing w:val="5"/>
                <w:kern w:val="28"/>
                <w:sz w:val="36"/>
                <w:szCs w:val="52"/>
                <w:lang w:val="en-GB"/>
              </w:rPr>
              <w:t xml:space="preserve"> </w:t>
            </w:r>
            <w:r w:rsidRPr="00C96521">
              <w:rPr>
                <w:rFonts w:ascii="Arial" w:eastAsia="MS Gothic" w:hAnsi="Arial" w:cs="Arial"/>
                <w:bCs/>
                <w:i/>
                <w:color w:val="1F497D"/>
                <w:spacing w:val="5"/>
                <w:kern w:val="28"/>
                <w:sz w:val="36"/>
                <w:szCs w:val="52"/>
                <w:lang w:val="en-GB"/>
              </w:rPr>
              <w:t>Streptopelia</w:t>
            </w:r>
            <w:r w:rsidRPr="00C96521">
              <w:rPr>
                <w:rFonts w:ascii="Arial" w:eastAsia="MS Gothic" w:hAnsi="Arial" w:cs="Arial"/>
                <w:i/>
                <w:color w:val="1F497D"/>
                <w:spacing w:val="5"/>
                <w:kern w:val="28"/>
                <w:sz w:val="36"/>
                <w:szCs w:val="52"/>
                <w:lang w:val="en-GB"/>
              </w:rPr>
              <w:t xml:space="preserve"> turtur</w:t>
            </w:r>
            <w:r w:rsidRPr="00C96521">
              <w:rPr>
                <w:rFonts w:ascii="Arial" w:eastAsia="MS Gothic" w:hAnsi="Arial" w:cs="Arial"/>
                <w:color w:val="1F497D"/>
                <w:spacing w:val="5"/>
                <w:kern w:val="28"/>
                <w:sz w:val="36"/>
                <w:szCs w:val="52"/>
                <w:lang w:val="en-GB"/>
              </w:rPr>
              <w:t xml:space="preserve"> (2018 to 2028)</w:t>
            </w:r>
          </w:p>
          <w:p w14:paraId="0D49A5CC" w14:textId="77777777" w:rsidR="00C96521" w:rsidRPr="00C96521" w:rsidRDefault="00C96521" w:rsidP="00C96521">
            <w:pPr>
              <w:widowControl/>
              <w:autoSpaceDE/>
              <w:autoSpaceDN/>
              <w:adjustRightInd/>
              <w:rPr>
                <w:rFonts w:ascii="Arial" w:hAnsi="Arial" w:cs="Arial"/>
                <w:sz w:val="20"/>
                <w:lang w:val="en-GB"/>
              </w:rPr>
            </w:pPr>
          </w:p>
        </w:tc>
      </w:tr>
      <w:tr w:rsidR="00C96521" w:rsidRPr="00C96521" w14:paraId="33A4E87C" w14:textId="77777777" w:rsidTr="00C96521">
        <w:tc>
          <w:tcPr>
            <w:tcW w:w="2093" w:type="dxa"/>
            <w:shd w:val="clear" w:color="auto" w:fill="365F91"/>
          </w:tcPr>
          <w:p w14:paraId="4EDC88BE" w14:textId="77777777" w:rsidR="00C96521" w:rsidRPr="00C96521" w:rsidRDefault="00C96521" w:rsidP="00C96521">
            <w:pPr>
              <w:widowControl/>
              <w:autoSpaceDE/>
              <w:autoSpaceDN/>
              <w:adjustRightInd/>
              <w:spacing w:after="300"/>
              <w:contextualSpacing/>
              <w:jc w:val="center"/>
              <w:rPr>
                <w:rFonts w:eastAsia="MS Gothic"/>
                <w:color w:val="1F497D"/>
                <w:spacing w:val="5"/>
                <w:kern w:val="28"/>
                <w:sz w:val="36"/>
                <w:szCs w:val="52"/>
                <w:lang w:val="en-GB"/>
              </w:rPr>
            </w:pPr>
          </w:p>
        </w:tc>
        <w:tc>
          <w:tcPr>
            <w:tcW w:w="7443" w:type="dxa"/>
            <w:gridSpan w:val="2"/>
            <w:tcBorders>
              <w:top w:val="single" w:sz="4" w:space="0" w:color="365F91"/>
            </w:tcBorders>
          </w:tcPr>
          <w:p w14:paraId="7D76B371" w14:textId="77777777" w:rsidR="00C96521" w:rsidRPr="00C96521" w:rsidRDefault="00C96521" w:rsidP="00C96521">
            <w:pPr>
              <w:widowControl/>
              <w:autoSpaceDE/>
              <w:autoSpaceDN/>
              <w:adjustRightInd/>
              <w:spacing w:after="300"/>
              <w:contextualSpacing/>
              <w:rPr>
                <w:rFonts w:eastAsia="MS Gothic"/>
                <w:color w:val="1F497D"/>
                <w:spacing w:val="5"/>
                <w:kern w:val="28"/>
                <w:sz w:val="36"/>
                <w:szCs w:val="52"/>
                <w:lang w:val="en-GB"/>
              </w:rPr>
            </w:pPr>
          </w:p>
          <w:p w14:paraId="4DCEEEC2" w14:textId="77777777" w:rsidR="00C96521" w:rsidRPr="00C96521" w:rsidRDefault="00C96521" w:rsidP="00C96521">
            <w:pPr>
              <w:widowControl/>
              <w:autoSpaceDE/>
              <w:autoSpaceDN/>
              <w:adjustRightInd/>
              <w:spacing w:after="300"/>
              <w:contextualSpacing/>
              <w:rPr>
                <w:rFonts w:eastAsia="MS Gothic"/>
                <w:color w:val="1F497D"/>
                <w:spacing w:val="5"/>
                <w:kern w:val="28"/>
                <w:sz w:val="36"/>
                <w:szCs w:val="52"/>
                <w:lang w:val="en-GB"/>
              </w:rPr>
            </w:pPr>
            <w:r w:rsidRPr="00C96521">
              <w:rPr>
                <w:rFonts w:eastAsia="MS Gothic"/>
                <w:noProof/>
                <w:color w:val="1F497D"/>
                <w:spacing w:val="5"/>
                <w:kern w:val="28"/>
                <w:sz w:val="36"/>
                <w:szCs w:val="52"/>
              </w:rPr>
              <w:drawing>
                <wp:inline distT="0" distB="0" distL="0" distR="0" wp14:anchorId="3C4F1E65" wp14:editId="424DDD36">
                  <wp:extent cx="4561241" cy="3028950"/>
                  <wp:effectExtent l="19050" t="0" r="0" b="0"/>
                  <wp:docPr id="31" name="Picture 30" descr="TurtleDove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DovePhotos1.JPG"/>
                          <pic:cNvPicPr/>
                        </pic:nvPicPr>
                        <pic:blipFill>
                          <a:blip r:embed="rId18" cstate="print"/>
                          <a:stretch>
                            <a:fillRect/>
                          </a:stretch>
                        </pic:blipFill>
                        <pic:spPr>
                          <a:xfrm>
                            <a:off x="0" y="0"/>
                            <a:ext cx="4561241" cy="3028950"/>
                          </a:xfrm>
                          <a:prstGeom prst="rect">
                            <a:avLst/>
                          </a:prstGeom>
                        </pic:spPr>
                      </pic:pic>
                    </a:graphicData>
                  </a:graphic>
                </wp:inline>
              </w:drawing>
            </w:r>
          </w:p>
          <w:p w14:paraId="16AA7A4C" w14:textId="77777777" w:rsidR="00C96521" w:rsidRPr="00C96521" w:rsidRDefault="00C96521" w:rsidP="00C96521">
            <w:pPr>
              <w:widowControl/>
              <w:autoSpaceDE/>
              <w:autoSpaceDN/>
              <w:adjustRightInd/>
              <w:rPr>
                <w:sz w:val="20"/>
                <w:lang w:val="en-GB"/>
              </w:rPr>
            </w:pPr>
          </w:p>
          <w:p w14:paraId="252265B7" w14:textId="77777777" w:rsidR="00C96521" w:rsidRPr="00C96521" w:rsidRDefault="00C96521" w:rsidP="00C96521">
            <w:pPr>
              <w:widowControl/>
              <w:autoSpaceDE/>
              <w:autoSpaceDN/>
              <w:adjustRightInd/>
              <w:rPr>
                <w:sz w:val="20"/>
                <w:lang w:val="en-GB"/>
              </w:rPr>
            </w:pPr>
          </w:p>
        </w:tc>
      </w:tr>
      <w:tr w:rsidR="00C96521" w:rsidRPr="00C96521" w14:paraId="4EC092F3" w14:textId="77777777" w:rsidTr="00C96521">
        <w:trPr>
          <w:trHeight w:val="2124"/>
        </w:trPr>
        <w:tc>
          <w:tcPr>
            <w:tcW w:w="2093" w:type="dxa"/>
            <w:shd w:val="clear" w:color="auto" w:fill="365F91"/>
            <w:vAlign w:val="bottom"/>
          </w:tcPr>
          <w:p w14:paraId="5877B011" w14:textId="77777777" w:rsidR="00C96521" w:rsidRPr="00C96521" w:rsidRDefault="00C96521" w:rsidP="00C96521">
            <w:pPr>
              <w:widowControl/>
              <w:autoSpaceDE/>
              <w:autoSpaceDN/>
              <w:adjustRightInd/>
              <w:spacing w:after="300"/>
              <w:contextualSpacing/>
              <w:jc w:val="center"/>
              <w:rPr>
                <w:rFonts w:eastAsia="MS Gothic"/>
                <w:color w:val="1F497D"/>
                <w:spacing w:val="5"/>
                <w:kern w:val="28"/>
                <w:sz w:val="36"/>
                <w:szCs w:val="52"/>
                <w:lang w:val="en-GB"/>
              </w:rPr>
            </w:pPr>
          </w:p>
          <w:p w14:paraId="02AA5FE9" w14:textId="77777777" w:rsidR="00C96521" w:rsidRPr="00C96521" w:rsidRDefault="00C96521" w:rsidP="00C96521">
            <w:pPr>
              <w:widowControl/>
              <w:autoSpaceDE/>
              <w:autoSpaceDN/>
              <w:adjustRightInd/>
              <w:rPr>
                <w:sz w:val="20"/>
                <w:lang w:val="en-GB"/>
              </w:rPr>
            </w:pPr>
          </w:p>
          <w:p w14:paraId="5D2E180D" w14:textId="77777777" w:rsidR="00C96521" w:rsidRPr="00C96521" w:rsidRDefault="00C96521" w:rsidP="00C96521">
            <w:pPr>
              <w:widowControl/>
              <w:autoSpaceDE/>
              <w:autoSpaceDN/>
              <w:adjustRightInd/>
              <w:rPr>
                <w:sz w:val="20"/>
                <w:lang w:val="en-GB"/>
              </w:rPr>
            </w:pPr>
          </w:p>
          <w:p w14:paraId="4C5DA395" w14:textId="77777777" w:rsidR="00C96521" w:rsidRPr="00C96521" w:rsidRDefault="00C96521" w:rsidP="00C96521">
            <w:pPr>
              <w:widowControl/>
              <w:autoSpaceDE/>
              <w:autoSpaceDN/>
              <w:adjustRightInd/>
              <w:rPr>
                <w:sz w:val="20"/>
                <w:lang w:val="en-GB"/>
              </w:rPr>
            </w:pPr>
          </w:p>
          <w:p w14:paraId="3F597B72" w14:textId="77777777" w:rsidR="00C96521" w:rsidRPr="00C96521" w:rsidRDefault="00C96521" w:rsidP="00C96521">
            <w:pPr>
              <w:widowControl/>
              <w:autoSpaceDE/>
              <w:autoSpaceDN/>
              <w:adjustRightInd/>
              <w:rPr>
                <w:sz w:val="20"/>
                <w:lang w:val="en-GB"/>
              </w:rPr>
            </w:pPr>
          </w:p>
          <w:p w14:paraId="66E1A8F7" w14:textId="77777777" w:rsidR="00C96521" w:rsidRPr="00C96521" w:rsidRDefault="00C96521" w:rsidP="00C96521">
            <w:pPr>
              <w:widowControl/>
              <w:autoSpaceDE/>
              <w:autoSpaceDN/>
              <w:adjustRightInd/>
              <w:rPr>
                <w:sz w:val="20"/>
                <w:lang w:val="en-GB"/>
              </w:rPr>
            </w:pPr>
          </w:p>
          <w:p w14:paraId="7A1C02CA" w14:textId="77777777" w:rsidR="00C96521" w:rsidRPr="00C96521" w:rsidRDefault="00C96521" w:rsidP="00C96521">
            <w:pPr>
              <w:widowControl/>
              <w:autoSpaceDE/>
              <w:autoSpaceDN/>
              <w:adjustRightInd/>
              <w:rPr>
                <w:sz w:val="20"/>
                <w:lang w:val="en-GB"/>
              </w:rPr>
            </w:pPr>
          </w:p>
          <w:p w14:paraId="1FA3F147" w14:textId="77777777" w:rsidR="00C96521" w:rsidRPr="00C96521" w:rsidRDefault="00C96521" w:rsidP="00C96521">
            <w:pPr>
              <w:widowControl/>
              <w:autoSpaceDE/>
              <w:autoSpaceDN/>
              <w:adjustRightInd/>
              <w:rPr>
                <w:sz w:val="20"/>
                <w:lang w:val="en-GB"/>
              </w:rPr>
            </w:pPr>
          </w:p>
        </w:tc>
        <w:tc>
          <w:tcPr>
            <w:tcW w:w="7443" w:type="dxa"/>
            <w:gridSpan w:val="2"/>
            <w:vAlign w:val="bottom"/>
          </w:tcPr>
          <w:p w14:paraId="6F6BE7DD" w14:textId="77777777" w:rsidR="00C96521" w:rsidRPr="00C96521" w:rsidRDefault="00C96521" w:rsidP="00C96521">
            <w:pPr>
              <w:widowControl/>
              <w:autoSpaceDE/>
              <w:autoSpaceDN/>
              <w:adjustRightInd/>
              <w:spacing w:after="300"/>
              <w:contextualSpacing/>
              <w:jc w:val="right"/>
              <w:rPr>
                <w:rFonts w:eastAsia="MS Gothic"/>
                <w:color w:val="1F497D"/>
                <w:spacing w:val="5"/>
                <w:kern w:val="28"/>
                <w:sz w:val="36"/>
                <w:szCs w:val="52"/>
                <w:lang w:val="en-GB"/>
              </w:rPr>
            </w:pPr>
            <w:r w:rsidRPr="00C96521">
              <w:rPr>
                <w:rFonts w:eastAsia="MS Gothic"/>
                <w:noProof/>
                <w:color w:val="1F497D"/>
                <w:spacing w:val="5"/>
                <w:kern w:val="28"/>
                <w:sz w:val="36"/>
                <w:szCs w:val="52"/>
              </w:rPr>
              <w:drawing>
                <wp:inline distT="0" distB="0" distL="0" distR="0" wp14:anchorId="402C3643" wp14:editId="7B2A736A">
                  <wp:extent cx="1774445" cy="828675"/>
                  <wp:effectExtent l="19050" t="0" r="0" b="0"/>
                  <wp:docPr id="29" name="Picture 28" descr="logo_tcm7-396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cm7-396074.png"/>
                          <pic:cNvPicPr/>
                        </pic:nvPicPr>
                        <pic:blipFill>
                          <a:blip r:embed="rId19" cstate="print"/>
                          <a:stretch>
                            <a:fillRect/>
                          </a:stretch>
                        </pic:blipFill>
                        <pic:spPr>
                          <a:xfrm>
                            <a:off x="0" y="0"/>
                            <a:ext cx="1774445" cy="828675"/>
                          </a:xfrm>
                          <a:prstGeom prst="rect">
                            <a:avLst/>
                          </a:prstGeom>
                        </pic:spPr>
                      </pic:pic>
                    </a:graphicData>
                  </a:graphic>
                </wp:inline>
              </w:drawing>
            </w:r>
            <w:r w:rsidRPr="00C96521">
              <w:rPr>
                <w:rFonts w:eastAsia="MS Gothic"/>
                <w:noProof/>
                <w:color w:val="1F497D"/>
                <w:spacing w:val="5"/>
                <w:kern w:val="28"/>
                <w:sz w:val="36"/>
                <w:szCs w:val="52"/>
              </w:rPr>
              <w:drawing>
                <wp:inline distT="0" distB="0" distL="0" distR="0" wp14:anchorId="269AA9DD" wp14:editId="16733C9C">
                  <wp:extent cx="1466850" cy="956072"/>
                  <wp:effectExtent l="0" t="0" r="0" b="0"/>
                  <wp:docPr id="32" name="Picture 31" descr="Birdlife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lifelogo_0.png"/>
                          <pic:cNvPicPr/>
                        </pic:nvPicPr>
                        <pic:blipFill>
                          <a:blip r:embed="rId20" cstate="print"/>
                          <a:srcRect r="81965"/>
                          <a:stretch>
                            <a:fillRect/>
                          </a:stretch>
                        </pic:blipFill>
                        <pic:spPr>
                          <a:xfrm>
                            <a:off x="0" y="0"/>
                            <a:ext cx="1466850" cy="956072"/>
                          </a:xfrm>
                          <a:prstGeom prst="rect">
                            <a:avLst/>
                          </a:prstGeom>
                        </pic:spPr>
                      </pic:pic>
                    </a:graphicData>
                  </a:graphic>
                </wp:inline>
              </w:drawing>
            </w:r>
            <w:r w:rsidRPr="00C96521">
              <w:rPr>
                <w:rFonts w:eastAsia="MS Gothic"/>
                <w:noProof/>
                <w:color w:val="1F497D"/>
                <w:spacing w:val="5"/>
                <w:kern w:val="28"/>
                <w:sz w:val="36"/>
                <w:szCs w:val="52"/>
              </w:rPr>
              <w:drawing>
                <wp:inline distT="0" distB="0" distL="0" distR="0" wp14:anchorId="5DE8DE6C" wp14:editId="49A9C673">
                  <wp:extent cx="1209675" cy="961019"/>
                  <wp:effectExtent l="19050" t="0" r="9525" b="0"/>
                  <wp:docPr id="33" name="Picture 32" descr="FA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 logo.jpg"/>
                          <pic:cNvPicPr/>
                        </pic:nvPicPr>
                        <pic:blipFill>
                          <a:blip r:embed="rId21" cstate="print"/>
                          <a:stretch>
                            <a:fillRect/>
                          </a:stretch>
                        </pic:blipFill>
                        <pic:spPr>
                          <a:xfrm>
                            <a:off x="0" y="0"/>
                            <a:ext cx="1203364" cy="956005"/>
                          </a:xfrm>
                          <a:prstGeom prst="rect">
                            <a:avLst/>
                          </a:prstGeom>
                        </pic:spPr>
                      </pic:pic>
                    </a:graphicData>
                  </a:graphic>
                </wp:inline>
              </w:drawing>
            </w:r>
          </w:p>
          <w:p w14:paraId="19AAF689" w14:textId="77777777" w:rsidR="00C96521" w:rsidRPr="00C96521" w:rsidRDefault="00C96521" w:rsidP="00C96521">
            <w:pPr>
              <w:widowControl/>
              <w:autoSpaceDE/>
              <w:autoSpaceDN/>
              <w:adjustRightInd/>
              <w:jc w:val="right"/>
              <w:rPr>
                <w:sz w:val="20"/>
                <w:lang w:val="en-GB"/>
              </w:rPr>
            </w:pPr>
            <w:r w:rsidRPr="00C96521">
              <w:rPr>
                <w:noProof/>
                <w:sz w:val="20"/>
              </w:rPr>
              <w:drawing>
                <wp:inline distT="0" distB="0" distL="0" distR="0" wp14:anchorId="112F153A" wp14:editId="056777B5">
                  <wp:extent cx="1816215" cy="894555"/>
                  <wp:effectExtent l="0" t="0" r="0" b="1270"/>
                  <wp:docPr id="5" name="Picture 4" descr="UNEnvironment_Logo_English_Short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nvironment_Logo_English_Short_colour.jpg"/>
                          <pic:cNvPicPr/>
                        </pic:nvPicPr>
                        <pic:blipFill rotWithShape="1">
                          <a:blip r:embed="rId22" cstate="print"/>
                          <a:srcRect t="10349" b="13759"/>
                          <a:stretch/>
                        </pic:blipFill>
                        <pic:spPr bwMode="auto">
                          <a:xfrm>
                            <a:off x="0" y="0"/>
                            <a:ext cx="1819526" cy="896186"/>
                          </a:xfrm>
                          <a:prstGeom prst="rect">
                            <a:avLst/>
                          </a:prstGeom>
                          <a:ln>
                            <a:noFill/>
                          </a:ln>
                          <a:extLst>
                            <a:ext uri="{53640926-AAD7-44D8-BBD7-CCE9431645EC}">
                              <a14:shadowObscured xmlns:a14="http://schemas.microsoft.com/office/drawing/2010/main"/>
                            </a:ext>
                          </a:extLst>
                        </pic:spPr>
                      </pic:pic>
                    </a:graphicData>
                  </a:graphic>
                </wp:inline>
              </w:drawing>
            </w:r>
            <w:r w:rsidRPr="00C96521">
              <w:rPr>
                <w:noProof/>
                <w:sz w:val="20"/>
              </w:rPr>
              <w:drawing>
                <wp:inline distT="0" distB="0" distL="0" distR="0" wp14:anchorId="0CEF3E3D" wp14:editId="2A398CDC">
                  <wp:extent cx="610723" cy="914400"/>
                  <wp:effectExtent l="0" t="0" r="0" b="0"/>
                  <wp:docPr id="97" name="Picture 2" descr="cms_logo_blu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_logo_blue4c.jpg"/>
                          <pic:cNvPicPr/>
                        </pic:nvPicPr>
                        <pic:blipFill rotWithShape="1">
                          <a:blip r:embed="rId23" cstate="print"/>
                          <a:srcRect b="-6904"/>
                          <a:stretch/>
                        </pic:blipFill>
                        <pic:spPr bwMode="auto">
                          <a:xfrm>
                            <a:off x="0" y="0"/>
                            <a:ext cx="611041" cy="9148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2DC9EA" w14:textId="77777777" w:rsidR="00C96521" w:rsidRDefault="00C96521" w:rsidP="00C96521">
      <w:pPr>
        <w:widowControl/>
        <w:autoSpaceDE/>
        <w:autoSpaceDN/>
        <w:adjustRightInd/>
        <w:spacing w:line="276" w:lineRule="auto"/>
        <w:rPr>
          <w:rFonts w:eastAsia="Calibri"/>
          <w:sz w:val="20"/>
          <w:szCs w:val="22"/>
          <w:lang w:val="en-GB" w:eastAsia="ja-JP"/>
        </w:rPr>
        <w:sectPr w:rsidR="00C96521" w:rsidSect="00C96521">
          <w:headerReference w:type="even" r:id="rId24"/>
          <w:headerReference w:type="first" r:id="rId25"/>
          <w:footerReference w:type="first" r:id="rId26"/>
          <w:pgSz w:w="11920" w:h="16840"/>
          <w:pgMar w:top="1276" w:right="1300" w:bottom="920" w:left="1300" w:header="730" w:footer="738" w:gutter="0"/>
          <w:cols w:space="720"/>
          <w:titlePg/>
          <w:docGrid w:linePitch="299"/>
        </w:sectPr>
      </w:pPr>
      <w:r w:rsidRPr="00C96521">
        <w:rPr>
          <w:rFonts w:eastAsia="MS Mincho"/>
          <w:noProof/>
          <w:sz w:val="20"/>
          <w:szCs w:val="22"/>
        </w:rPr>
        <mc:AlternateContent>
          <mc:Choice Requires="wps">
            <w:drawing>
              <wp:anchor distT="0" distB="0" distL="114300" distR="114300" simplePos="0" relativeHeight="251659776" behindDoc="0" locked="0" layoutInCell="1" allowOverlap="1" wp14:anchorId="3A908868" wp14:editId="55CDC14A">
                <wp:simplePos x="0" y="0"/>
                <wp:positionH relativeFrom="column">
                  <wp:posOffset>4318000</wp:posOffset>
                </wp:positionH>
                <wp:positionV relativeFrom="paragraph">
                  <wp:posOffset>3448685</wp:posOffset>
                </wp:positionV>
                <wp:extent cx="1104900" cy="238125"/>
                <wp:effectExtent l="0" t="1905" r="0" b="0"/>
                <wp:wrapNone/>
                <wp:docPr id="8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7E93" w14:textId="77777777" w:rsidR="00B70B7A" w:rsidRPr="00C96521" w:rsidRDefault="00B70B7A" w:rsidP="00C96521">
                            <w:pPr>
                              <w:rPr>
                                <w:color w:val="FFFFFF"/>
                              </w:rPr>
                            </w:pPr>
                            <w:r w:rsidRPr="00C96521">
                              <w:rPr>
                                <w:color w:val="FFFFFF"/>
                              </w:rPr>
                              <w:t>© John Mallord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08868" id="Text Box 99" o:spid="_x0000_s1027" type="#_x0000_t202" style="position:absolute;margin-left:340pt;margin-top:271.55pt;width:87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h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" filled="f" stroked="f">
                <v:textbox>
                  <w:txbxContent>
                    <w:p w14:paraId="6DD97E93" w14:textId="77777777" w:rsidR="00B70B7A" w:rsidRPr="00C96521" w:rsidRDefault="00B70B7A" w:rsidP="00C96521">
                      <w:pPr>
                        <w:rPr>
                          <w:color w:val="FFFFFF"/>
                        </w:rPr>
                      </w:pPr>
                      <w:r w:rsidRPr="00C96521">
                        <w:rPr>
                          <w:color w:val="FFFFFF"/>
                        </w:rPr>
                        <w:t>© John Mallord</w:t>
                      </w:r>
                    </w:p>
                  </w:txbxContent>
                </v:textbox>
              </v:shape>
            </w:pict>
          </mc:Fallback>
        </mc:AlternateContent>
      </w:r>
      <w:r w:rsidRPr="00C96521">
        <w:rPr>
          <w:rFonts w:eastAsia="Calibri"/>
          <w:sz w:val="20"/>
          <w:szCs w:val="22"/>
          <w:lang w:val="en-GB" w:eastAsia="ja-JP"/>
        </w:rPr>
        <w:t xml:space="preserve"> </w:t>
      </w:r>
    </w:p>
    <w:p w14:paraId="3E16A38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lastRenderedPageBreak/>
        <w:t>Adopting Frameworks:</w:t>
      </w:r>
      <w:r w:rsidRPr="00C96521">
        <w:rPr>
          <w:rFonts w:eastAsia="MS Mincho"/>
          <w:spacing w:val="-1"/>
          <w:sz w:val="16"/>
          <w:szCs w:val="16"/>
          <w:lang w:val="en-GB" w:eastAsia="ja-JP"/>
        </w:rPr>
        <w:t xml:space="preserve"> </w:t>
      </w:r>
      <w:r w:rsidRPr="00C96521">
        <w:rPr>
          <w:rFonts w:eastAsia="MS Mincho"/>
          <w:i/>
          <w:spacing w:val="-1"/>
          <w:sz w:val="16"/>
          <w:szCs w:val="16"/>
          <w:lang w:val="en-GB" w:eastAsia="ja-JP"/>
        </w:rPr>
        <w:t>to be completed for final version, depending on timetable.</w:t>
      </w:r>
      <w:r w:rsidRPr="00C96521">
        <w:rPr>
          <w:rFonts w:eastAsia="MS Mincho"/>
          <w:spacing w:val="-1"/>
          <w:sz w:val="16"/>
          <w:szCs w:val="16"/>
          <w:lang w:val="en-GB" w:eastAsia="ja-JP"/>
        </w:rPr>
        <w:t xml:space="preserve"> The Action Plan was prepared through EuroSAP, a LIFE preparatory project, co-financed by the European Commission Directorate General for the Environment, the African-Eurasian Migratory Waterbird Agreement (AEWA), and by each of the project partners, and coordinated by BirdLife International. http://www.birdlife.org/europe-and-central-asia/project/life-eurosap submitted 30-11-2015.</w:t>
      </w:r>
    </w:p>
    <w:p w14:paraId="058C20CD"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6BD31922" w14:textId="77777777" w:rsidR="00C96521" w:rsidRPr="00C96521" w:rsidRDefault="00C96521" w:rsidP="00C96521">
      <w:pPr>
        <w:widowControl/>
        <w:autoSpaceDE/>
        <w:autoSpaceDN/>
        <w:adjustRightInd/>
        <w:spacing w:line="276" w:lineRule="auto"/>
        <w:rPr>
          <w:rFonts w:eastAsia="MS Mincho"/>
          <w:b/>
          <w:spacing w:val="2"/>
          <w:sz w:val="16"/>
          <w:szCs w:val="16"/>
          <w:lang w:val="en-GB" w:eastAsia="ja-JP"/>
        </w:rPr>
      </w:pPr>
      <w:r w:rsidRPr="00C96521">
        <w:rPr>
          <w:rFonts w:eastAsia="MS Mincho"/>
          <w:b/>
          <w:spacing w:val="-1"/>
          <w:sz w:val="16"/>
          <w:szCs w:val="16"/>
          <w:lang w:val="en-GB" w:eastAsia="ja-JP"/>
        </w:rPr>
        <w:t>C</w:t>
      </w:r>
      <w:r w:rsidRPr="00C96521">
        <w:rPr>
          <w:rFonts w:eastAsia="MS Mincho"/>
          <w:b/>
          <w:sz w:val="16"/>
          <w:szCs w:val="16"/>
          <w:lang w:val="en-GB" w:eastAsia="ja-JP"/>
        </w:rPr>
        <w:t>omp</w:t>
      </w:r>
      <w:r w:rsidRPr="00C96521">
        <w:rPr>
          <w:rFonts w:eastAsia="MS Mincho"/>
          <w:b/>
          <w:spacing w:val="1"/>
          <w:sz w:val="16"/>
          <w:szCs w:val="16"/>
          <w:lang w:val="en-GB" w:eastAsia="ja-JP"/>
        </w:rPr>
        <w:t>i</w:t>
      </w:r>
      <w:r w:rsidRPr="00C96521">
        <w:rPr>
          <w:rFonts w:eastAsia="MS Mincho"/>
          <w:b/>
          <w:sz w:val="16"/>
          <w:szCs w:val="16"/>
          <w:lang w:val="en-GB" w:eastAsia="ja-JP"/>
        </w:rPr>
        <w:t xml:space="preserve">lers: </w:t>
      </w:r>
      <w:r w:rsidRPr="00C96521">
        <w:rPr>
          <w:rFonts w:eastAsia="MS Mincho"/>
          <w:b/>
          <w:spacing w:val="2"/>
          <w:sz w:val="16"/>
          <w:szCs w:val="16"/>
          <w:lang w:val="en-GB" w:eastAsia="ja-JP"/>
        </w:rPr>
        <w:t>Ian Fisher</w:t>
      </w:r>
      <w:r w:rsidRPr="00C96521">
        <w:rPr>
          <w:rFonts w:eastAsia="MS Mincho"/>
          <w:b/>
          <w:spacing w:val="2"/>
          <w:sz w:val="16"/>
          <w:szCs w:val="16"/>
          <w:vertAlign w:val="superscript"/>
          <w:lang w:val="en-GB" w:eastAsia="ja-JP"/>
        </w:rPr>
        <w:t>1</w:t>
      </w:r>
      <w:r w:rsidRPr="00C96521">
        <w:rPr>
          <w:rFonts w:eastAsia="MS Mincho"/>
          <w:b/>
          <w:spacing w:val="2"/>
          <w:sz w:val="16"/>
          <w:szCs w:val="16"/>
          <w:lang w:val="en-GB" w:eastAsia="ja-JP"/>
        </w:rPr>
        <w:t xml:space="preserve">, </w:t>
      </w:r>
      <w:r w:rsidRPr="00C96521">
        <w:rPr>
          <w:rFonts w:eastAsia="MS Mincho"/>
          <w:b/>
          <w:spacing w:val="1"/>
          <w:sz w:val="16"/>
          <w:szCs w:val="16"/>
          <w:lang w:val="en-GB" w:eastAsia="ja-JP"/>
        </w:rPr>
        <w:t>Joscelyne Ashpole</w:t>
      </w:r>
      <w:r w:rsidRPr="00C96521">
        <w:rPr>
          <w:rFonts w:eastAsia="MS Mincho"/>
          <w:b/>
          <w:spacing w:val="1"/>
          <w:sz w:val="16"/>
          <w:szCs w:val="16"/>
          <w:vertAlign w:val="superscript"/>
          <w:lang w:val="en-GB" w:eastAsia="ja-JP"/>
        </w:rPr>
        <w:t>1</w:t>
      </w:r>
      <w:r w:rsidRPr="00C96521">
        <w:rPr>
          <w:rFonts w:eastAsia="MS Mincho"/>
          <w:b/>
          <w:spacing w:val="2"/>
          <w:sz w:val="16"/>
          <w:szCs w:val="16"/>
          <w:lang w:val="en-GB" w:eastAsia="ja-JP"/>
        </w:rPr>
        <w:t>, David Scallan</w:t>
      </w:r>
      <w:r w:rsidRPr="00C96521">
        <w:rPr>
          <w:rFonts w:eastAsia="MS Mincho"/>
          <w:b/>
          <w:spacing w:val="2"/>
          <w:sz w:val="16"/>
          <w:szCs w:val="16"/>
          <w:vertAlign w:val="superscript"/>
          <w:lang w:val="en-GB" w:eastAsia="ja-JP"/>
        </w:rPr>
        <w:t>2</w:t>
      </w:r>
      <w:r w:rsidRPr="00C96521">
        <w:rPr>
          <w:rFonts w:eastAsia="MS Mincho"/>
          <w:b/>
          <w:spacing w:val="2"/>
          <w:sz w:val="16"/>
          <w:szCs w:val="16"/>
          <w:lang w:val="en-GB" w:eastAsia="ja-JP"/>
        </w:rPr>
        <w:t>, Carles Carboneras</w:t>
      </w:r>
      <w:r w:rsidRPr="00C96521">
        <w:rPr>
          <w:rFonts w:eastAsia="MS Mincho"/>
          <w:b/>
          <w:spacing w:val="2"/>
          <w:sz w:val="16"/>
          <w:szCs w:val="16"/>
          <w:vertAlign w:val="superscript"/>
          <w:lang w:val="en-GB" w:eastAsia="ja-JP"/>
        </w:rPr>
        <w:t>1</w:t>
      </w:r>
      <w:r w:rsidRPr="00C96521">
        <w:rPr>
          <w:rFonts w:eastAsia="MS Mincho"/>
          <w:b/>
          <w:spacing w:val="2"/>
          <w:sz w:val="16"/>
          <w:szCs w:val="16"/>
          <w:lang w:val="en-GB" w:eastAsia="ja-JP"/>
        </w:rPr>
        <w:t xml:space="preserve"> and Tara Proud</w:t>
      </w:r>
      <w:r w:rsidRPr="00C96521">
        <w:rPr>
          <w:rFonts w:eastAsia="MS Mincho"/>
          <w:b/>
          <w:spacing w:val="2"/>
          <w:sz w:val="16"/>
          <w:szCs w:val="16"/>
          <w:vertAlign w:val="superscript"/>
          <w:lang w:val="en-GB" w:eastAsia="ja-JP"/>
        </w:rPr>
        <w:t>1</w:t>
      </w:r>
    </w:p>
    <w:p w14:paraId="1C782431" w14:textId="77777777" w:rsidR="00C96521" w:rsidRPr="00C96521" w:rsidRDefault="00C96521" w:rsidP="00C96521">
      <w:pPr>
        <w:widowControl/>
        <w:autoSpaceDE/>
        <w:autoSpaceDN/>
        <w:adjustRightInd/>
        <w:spacing w:line="276" w:lineRule="auto"/>
        <w:rPr>
          <w:rFonts w:eastAsia="MS Mincho"/>
          <w:spacing w:val="2"/>
          <w:sz w:val="16"/>
          <w:szCs w:val="16"/>
          <w:lang w:val="en-GB" w:eastAsia="ja-JP"/>
        </w:rPr>
      </w:pPr>
      <w:r w:rsidRPr="00C96521">
        <w:rPr>
          <w:rFonts w:eastAsia="MS Mincho"/>
          <w:spacing w:val="2"/>
          <w:sz w:val="16"/>
          <w:szCs w:val="16"/>
          <w:vertAlign w:val="superscript"/>
          <w:lang w:val="en-GB" w:eastAsia="ja-JP"/>
        </w:rPr>
        <w:t>1</w:t>
      </w:r>
      <w:r w:rsidRPr="00C96521">
        <w:rPr>
          <w:rFonts w:eastAsia="MS Mincho"/>
          <w:spacing w:val="2"/>
          <w:sz w:val="16"/>
          <w:szCs w:val="16"/>
          <w:lang w:val="en-GB" w:eastAsia="ja-JP"/>
        </w:rPr>
        <w:t>RSPB, The Lodge, Sandy, Bedfordshire, SG19 2DL, United Kingdom.</w:t>
      </w:r>
    </w:p>
    <w:p w14:paraId="48112293" w14:textId="77777777" w:rsidR="00C96521" w:rsidRPr="00C96521" w:rsidRDefault="00C96521" w:rsidP="00C96521">
      <w:pPr>
        <w:widowControl/>
        <w:autoSpaceDE/>
        <w:autoSpaceDN/>
        <w:adjustRightInd/>
        <w:spacing w:line="276" w:lineRule="auto"/>
        <w:rPr>
          <w:rFonts w:eastAsia="MS Mincho"/>
          <w:spacing w:val="2"/>
          <w:sz w:val="16"/>
          <w:szCs w:val="16"/>
          <w:lang w:val="en-GB" w:eastAsia="ja-JP"/>
        </w:rPr>
      </w:pPr>
      <w:r w:rsidRPr="00C96521">
        <w:rPr>
          <w:rFonts w:eastAsia="MS Mincho"/>
          <w:spacing w:val="2"/>
          <w:sz w:val="16"/>
          <w:szCs w:val="16"/>
          <w:vertAlign w:val="superscript"/>
          <w:lang w:val="en-GB" w:eastAsia="ja-JP"/>
        </w:rPr>
        <w:t>2</w:t>
      </w:r>
      <w:r w:rsidRPr="00C96521">
        <w:rPr>
          <w:rFonts w:eastAsia="MS Mincho"/>
          <w:spacing w:val="2"/>
          <w:sz w:val="16"/>
          <w:szCs w:val="16"/>
          <w:lang w:val="en-GB" w:eastAsia="ja-JP"/>
        </w:rPr>
        <w:t>The European Federation of Associations for Hunting and Conservation (FACE), Rue F. Pelletier 82, 1030 Brussels, Belgium.</w:t>
      </w:r>
    </w:p>
    <w:p w14:paraId="546832C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3C70B9CF" w14:textId="7A534B1D" w:rsidR="00C96521" w:rsidRPr="00C96521" w:rsidRDefault="00C96521" w:rsidP="00C96521">
      <w:pPr>
        <w:widowControl/>
        <w:autoSpaceDE/>
        <w:autoSpaceDN/>
        <w:adjustRightInd/>
        <w:spacing w:line="276" w:lineRule="auto"/>
        <w:rPr>
          <w:rFonts w:cs="Arial"/>
          <w:sz w:val="16"/>
          <w:szCs w:val="16"/>
          <w:lang w:val="en-GB" w:eastAsia="en-GB"/>
        </w:rPr>
      </w:pPr>
      <w:r w:rsidRPr="00C96521">
        <w:rPr>
          <w:rFonts w:eastAsia="MS Mincho"/>
          <w:b/>
          <w:spacing w:val="1"/>
          <w:sz w:val="16"/>
          <w:szCs w:val="16"/>
          <w:lang w:val="en-GB" w:eastAsia="ja-JP"/>
        </w:rPr>
        <w:t>Contributors:</w:t>
      </w:r>
      <w:r w:rsidRPr="00C96521">
        <w:rPr>
          <w:rFonts w:eastAsia="MS Mincho"/>
          <w:spacing w:val="1"/>
          <w:sz w:val="16"/>
          <w:szCs w:val="16"/>
          <w:lang w:val="en-GB" w:eastAsia="ja-JP"/>
        </w:rPr>
        <w:t xml:space="preserve"> </w:t>
      </w:r>
      <w:r w:rsidRPr="00C96521">
        <w:rPr>
          <w:rFonts w:cs="Arial"/>
          <w:sz w:val="16"/>
          <w:szCs w:val="16"/>
          <w:lang w:val="en-GB" w:eastAsia="en-GB"/>
        </w:rPr>
        <w:t xml:space="preserve">Júlia Almeida (Instituto da Conservação da Natureza e das Florestas, Portugal), Alessandro Andreotti (ISPRA, Italy), </w:t>
      </w:r>
      <w:r w:rsidRPr="00C96521">
        <w:rPr>
          <w:rFonts w:eastAsia="MS Mincho" w:cs="Arial"/>
          <w:spacing w:val="1"/>
          <w:sz w:val="16"/>
          <w:szCs w:val="16"/>
          <w:lang w:val="en-GB" w:eastAsia="ja-JP"/>
        </w:rPr>
        <w:t xml:space="preserve">Džiugas Anuškevicius (Protected Area Strategy Division, Lithuania), Jean-Pierre Arnauduc (Chasseurs de France, FACE), </w:t>
      </w:r>
      <w:r w:rsidRPr="00C96521">
        <w:rPr>
          <w:rFonts w:cs="Arial"/>
          <w:sz w:val="16"/>
          <w:szCs w:val="16"/>
          <w:lang w:val="en-GB" w:eastAsia="en-GB"/>
        </w:rPr>
        <w:t xml:space="preserve">Beatriz Arroyo López (Instituto de Investigacion en Recursos Cinegeticos, Spain), </w:t>
      </w:r>
      <w:r w:rsidRPr="00C96521">
        <w:rPr>
          <w:rFonts w:eastAsia="MS Mincho" w:cs="Arial"/>
          <w:sz w:val="16"/>
          <w:szCs w:val="16"/>
          <w:lang w:val="en-GB" w:eastAsia="en-GB"/>
        </w:rPr>
        <w:t xml:space="preserve">Zeynel Arslangündogdu (Forestry Department, Istanbul University, Turkey), Marita Arvela (DG ENV.D3 Nature Protection Unit), </w:t>
      </w:r>
      <w:r w:rsidRPr="00C96521">
        <w:rPr>
          <w:rFonts w:cs="Arial"/>
          <w:sz w:val="16"/>
          <w:szCs w:val="16"/>
          <w:lang w:val="en-GB" w:eastAsia="en-GB"/>
        </w:rPr>
        <w:t xml:space="preserve">Juan Carlos Atienza (SEO/BirdLife, Spain), Ainars Aunins (University of Latvia), </w:t>
      </w:r>
      <w:r w:rsidRPr="00C96521">
        <w:rPr>
          <w:rFonts w:eastAsia="MS Mincho" w:cs="Arial"/>
          <w:sz w:val="16"/>
          <w:szCs w:val="16"/>
          <w:lang w:val="en-GB" w:eastAsia="en-GB"/>
        </w:rPr>
        <w:t xml:space="preserve">Raffael Ayé (BirdLife Switzerland), </w:t>
      </w:r>
      <w:r w:rsidRPr="00C96521">
        <w:rPr>
          <w:rFonts w:cs="Arial"/>
          <w:sz w:val="16"/>
          <w:szCs w:val="16"/>
          <w:lang w:val="en-GB" w:eastAsia="en-GB"/>
        </w:rPr>
        <w:t xml:space="preserve">Miguel Aymerich Huyghues-Despointes (Dirección General de Calidad y Evaluación Ambiental y Medio Natural, Spain), Ali El Ayoubi (Service de la Cynégétique et de la Pisciculture Continentale, Morocco), Dimitrios E Bakaloudis (Aristotle University of Thessaloniki, Greece), Attila Bankovics (Hungarian Natural History Museum), Nicholas Barbara (BirdLife Malta), Sanja Barišić (Institute of Ornithology CASA, Croatia), Christos Barboutis (HOS, BirdLife Greece), Clive R Barlow (Birds of The Gambia), Mikis Bastian (natur&amp;ëmwelt, BirdLife Luxembourg), Oscar Beltrán (Oficina Nacional de Caza, Spain), Ettayib Bensaci (ANAO, Algeria), </w:t>
      </w:r>
      <w:r w:rsidRPr="00C96521">
        <w:rPr>
          <w:rFonts w:eastAsia="MS Mincho" w:cs="Arial"/>
          <w:spacing w:val="1"/>
          <w:sz w:val="16"/>
          <w:szCs w:val="16"/>
          <w:lang w:val="en-GB" w:eastAsia="ja-JP"/>
        </w:rPr>
        <w:t xml:space="preserve">Andrej Bibic (Sector for Nature Conservation, Slovenia), </w:t>
      </w:r>
      <w:r w:rsidRPr="00C96521">
        <w:rPr>
          <w:rFonts w:eastAsia="MS Mincho" w:cs="Arial"/>
          <w:sz w:val="16"/>
          <w:szCs w:val="16"/>
          <w:lang w:val="en-GB" w:eastAsia="en-GB"/>
        </w:rPr>
        <w:t xml:space="preserve">Olivier Bibier (AEMLAP), </w:t>
      </w:r>
      <w:r w:rsidRPr="00C96521">
        <w:rPr>
          <w:rFonts w:eastAsia="MS Mincho" w:cs="Arial"/>
          <w:spacing w:val="1"/>
          <w:sz w:val="16"/>
          <w:szCs w:val="16"/>
          <w:lang w:val="en-GB" w:eastAsia="ja-JP"/>
        </w:rPr>
        <w:t xml:space="preserve">Gilles Biver (Department of Environment, Ministry of Sustainable Development and Infrastructure, Luxembourg), </w:t>
      </w:r>
      <w:r w:rsidRPr="00C96521">
        <w:rPr>
          <w:rFonts w:cs="Arial"/>
          <w:sz w:val="16"/>
          <w:szCs w:val="16"/>
          <w:lang w:val="en-GB" w:eastAsia="en-GB"/>
        </w:rPr>
        <w:t xml:space="preserve">Jules Bos (Vogelbescherming Nederland, BirdLife Netherlands), </w:t>
      </w:r>
      <w:r w:rsidRPr="00C96521">
        <w:rPr>
          <w:rFonts w:eastAsia="MS Mincho" w:cs="Arial"/>
          <w:sz w:val="16"/>
          <w:szCs w:val="16"/>
          <w:lang w:val="en-GB" w:eastAsia="en-GB"/>
        </w:rPr>
        <w:t xml:space="preserve">Willem van den Bossche (BirdLife Europe Secretariat), Pamela Braham (RSPB, BirdLife UK), Micheál Ó Briain (DG ENV.D3 Nature Protection Unit), </w:t>
      </w:r>
      <w:r w:rsidRPr="00C96521">
        <w:rPr>
          <w:rFonts w:cs="Arial"/>
          <w:sz w:val="16"/>
          <w:szCs w:val="16"/>
          <w:lang w:val="en-GB" w:eastAsia="en-GB"/>
        </w:rPr>
        <w:t xml:space="preserve">Joost Brouwer (Brouwer Consultancy, West African Bird Database), Stephen Brown (GCT, </w:t>
      </w:r>
      <w:r w:rsidR="00BE5EF4">
        <w:rPr>
          <w:rFonts w:cs="Arial"/>
          <w:sz w:val="16"/>
          <w:szCs w:val="16"/>
          <w:lang w:val="en-GB" w:eastAsia="en-GB"/>
        </w:rPr>
        <w:t>t</w:t>
      </w:r>
      <w:r w:rsidRPr="00C96521">
        <w:rPr>
          <w:rFonts w:cs="Arial"/>
          <w:sz w:val="16"/>
          <w:szCs w:val="16"/>
          <w:lang w:val="en-GB" w:eastAsia="en-GB"/>
        </w:rPr>
        <w:t xml:space="preserve">he Gambia), </w:t>
      </w:r>
      <w:r w:rsidRPr="00C96521">
        <w:rPr>
          <w:rFonts w:eastAsia="MS Mincho" w:cs="Arial"/>
          <w:sz w:val="16"/>
          <w:szCs w:val="16"/>
          <w:lang w:val="en-GB" w:eastAsia="en-GB"/>
        </w:rPr>
        <w:t xml:space="preserve">Ariel Brunner (BirdLife Europe Secretariat), </w:t>
      </w:r>
      <w:r w:rsidRPr="00C96521">
        <w:rPr>
          <w:rFonts w:cs="Arial"/>
          <w:sz w:val="16"/>
          <w:szCs w:val="16"/>
          <w:lang w:val="en-GB" w:eastAsia="en-GB"/>
        </w:rPr>
        <w:t xml:space="preserve">Ivan Budinski (BIOM, BirdLife Croatia), Sebastian Bugariu (SOR, BirdLife Romania), Malte Busch (Dachverband Deutscher Avifaunisten, Germany), Sara Cabezas (SEO/BirdLife, Spain), Wendy Cain (RSPB, BirdLife UK), </w:t>
      </w:r>
      <w:r w:rsidRPr="00C96521">
        <w:rPr>
          <w:rFonts w:eastAsia="MS Mincho" w:cs="Arial"/>
          <w:sz w:val="16"/>
          <w:szCs w:val="16"/>
          <w:lang w:val="en-GB" w:eastAsia="en-GB"/>
        </w:rPr>
        <w:t xml:space="preserve">Carles Carboneras (RSPB, BirdLife UK), </w:t>
      </w:r>
      <w:r w:rsidRPr="00C96521">
        <w:rPr>
          <w:rFonts w:cs="Arial"/>
          <w:sz w:val="16"/>
          <w:szCs w:val="16"/>
          <w:lang w:val="en-GB" w:eastAsia="en-GB"/>
        </w:rPr>
        <w:t xml:space="preserve">Elisabetta de Carli (MITO2000, Italy), Gonçalo Nuno Carrasqueira Lopes (Instituto da Conservação da Natureza e das Florestas, Portugal), Ana Carricondo (SEO/BirdLife, Spain), Elaine Caruana (Maltese Government Wild Birds Unit), Claudio Celada (LIPU, BirdLife Italy), Tomasz Chodkiewicz (OTOP, BirdLife Poland), Jacques Comolet-Tirman (Muséum National d'Histoire Naturelle, France), Carole Cook (RSPB, BirdLife UK), Alexandre Czajkowski (OMPO, France), Zoltán Czirák (Ministry of Agriculture, Hungary), Ivana Czocherova (BirdLife Slovakia), Mohamed Dakki (GREPOM, BirdLife Morocco), Bernard Deceuninck (LPO, France), </w:t>
      </w:r>
      <w:r w:rsidRPr="00C96521">
        <w:rPr>
          <w:rFonts w:eastAsia="MS Mincho" w:cs="Arial"/>
          <w:spacing w:val="1"/>
          <w:sz w:val="16"/>
          <w:szCs w:val="16"/>
          <w:lang w:val="en-GB" w:eastAsia="ja-JP"/>
        </w:rPr>
        <w:t xml:space="preserve">Miro Demko (SOS, BirdLife Slovakia), </w:t>
      </w:r>
      <w:r w:rsidRPr="00C96521">
        <w:rPr>
          <w:rFonts w:cs="Arial"/>
          <w:sz w:val="16"/>
          <w:szCs w:val="16"/>
          <w:lang w:val="en-GB" w:eastAsia="en-GB"/>
        </w:rPr>
        <w:t xml:space="preserve">Abdoulaye Diallo (AMCFE, Mali), Djibril Diallo (Nature Maritanie, BirdLife Mauritania), Susana Dias (CEABN/InBIO, University of Lisbon, Portugal), Gerald Driessens (Natuurpunt, BirdLife Belgium, Flanders), </w:t>
      </w:r>
      <w:r w:rsidRPr="00C96521">
        <w:rPr>
          <w:rFonts w:eastAsia="MS Mincho" w:cs="Arial"/>
          <w:sz w:val="16"/>
          <w:szCs w:val="16"/>
          <w:lang w:val="en-GB" w:eastAsia="en-GB"/>
        </w:rPr>
        <w:t xml:space="preserve">Jenny Dunn (RSPB, BirdLife UK), </w:t>
      </w:r>
      <w:r w:rsidRPr="00C96521">
        <w:rPr>
          <w:rFonts w:cs="Arial"/>
          <w:sz w:val="16"/>
          <w:szCs w:val="16"/>
          <w:lang w:val="en-GB" w:eastAsia="en-GB"/>
        </w:rPr>
        <w:t xml:space="preserve">Eugenio Duprè (ISPRA, Italy), Michael Dvorak (BirdLife Österreich, BirdLife Austria), Ali El Ayoubi (Service de la Cynégétique et de la Pisciculture Continentale, Morocco), Jaanus Elts (EOS, BirdLife Estonia), Cyril Eraud (ONCFS, France), </w:t>
      </w:r>
      <w:r w:rsidRPr="00C96521">
        <w:rPr>
          <w:rFonts w:eastAsia="MS Mincho" w:cs="Arial"/>
          <w:sz w:val="16"/>
          <w:szCs w:val="16"/>
          <w:lang w:val="en-GB" w:eastAsia="en-GB"/>
        </w:rPr>
        <w:t xml:space="preserve">Levent Erkol (Doğa Derneği, BirdLife Turkey), </w:t>
      </w:r>
      <w:r w:rsidRPr="00C96521">
        <w:rPr>
          <w:rFonts w:cs="Arial"/>
          <w:sz w:val="16"/>
          <w:szCs w:val="16"/>
          <w:lang w:val="en-GB" w:eastAsia="en-GB"/>
        </w:rPr>
        <w:t>Virginia Escandell (SEO/BirdLife, Spain), Yves Ferrand (ONCFS, France), Nick Folkard (RSPB, BirdLife UK), Lorenzo Fornasari (MITO2000, Italy), Nagy Gergö Gábor (</w:t>
      </w:r>
      <w:r w:rsidRPr="00C96521">
        <w:rPr>
          <w:rFonts w:eastAsia="MS Mincho" w:cs="Arial"/>
          <w:spacing w:val="1"/>
          <w:sz w:val="16"/>
          <w:szCs w:val="16"/>
          <w:lang w:val="en-GB" w:eastAsia="ja-JP"/>
        </w:rPr>
        <w:t>Department of Nature Conservation,</w:t>
      </w:r>
      <w:r w:rsidRPr="00C96521">
        <w:rPr>
          <w:rFonts w:cs="Arial"/>
          <w:sz w:val="16"/>
          <w:szCs w:val="16"/>
          <w:lang w:val="en-GB" w:eastAsia="en-GB"/>
        </w:rPr>
        <w:t xml:space="preserve"> Ministry of Agriculture, Hungary), </w:t>
      </w:r>
      <w:r w:rsidRPr="00C96521">
        <w:rPr>
          <w:rFonts w:eastAsia="MS Mincho" w:cs="Arial"/>
          <w:spacing w:val="1"/>
          <w:sz w:val="16"/>
          <w:szCs w:val="16"/>
          <w:lang w:val="en-GB" w:eastAsia="ja-JP"/>
        </w:rPr>
        <w:t xml:space="preserve">Valeri Georgiev (National Nature Protection Service, Ministry of Environment and Water, Bulgaria), </w:t>
      </w:r>
      <w:r w:rsidRPr="00C96521">
        <w:rPr>
          <w:rFonts w:eastAsia="MS Mincho" w:cs="Arial"/>
          <w:sz w:val="16"/>
          <w:szCs w:val="16"/>
          <w:lang w:val="en-GB" w:eastAsia="en-GB"/>
        </w:rPr>
        <w:t xml:space="preserve">Nabegh Ghazal Asswad (SSCW, BirdLife Syria), </w:t>
      </w:r>
      <w:r w:rsidRPr="00C96521">
        <w:rPr>
          <w:rFonts w:cs="Arial"/>
          <w:sz w:val="16"/>
          <w:szCs w:val="16"/>
          <w:lang w:val="en-GB" w:eastAsia="en-GB"/>
        </w:rPr>
        <w:t xml:space="preserve">Gabriella Göcző (MME, BirdLife Hungary), Sergei Golovkin (Maltese Government Wild Birds Unit), </w:t>
      </w:r>
      <w:r w:rsidRPr="00C96521">
        <w:rPr>
          <w:rFonts w:eastAsia="MS Mincho" w:cs="Arial"/>
          <w:sz w:val="16"/>
          <w:szCs w:val="16"/>
          <w:lang w:val="en-GB" w:eastAsia="en-GB"/>
        </w:rPr>
        <w:t xml:space="preserve">Igor Gorban (Ivan Franko Lviv National University, Ukraine), Richard Gregory (RSPB, BirdLife UK), </w:t>
      </w:r>
      <w:r w:rsidRPr="00C96521">
        <w:rPr>
          <w:rFonts w:eastAsia="MS Mincho" w:cs="Arial"/>
          <w:spacing w:val="1"/>
          <w:sz w:val="16"/>
          <w:szCs w:val="16"/>
          <w:lang w:val="en-GB" w:eastAsia="ja-JP"/>
        </w:rPr>
        <w:t xml:space="preserve">Phil Grice (Natural England, UK), </w:t>
      </w:r>
      <w:r w:rsidRPr="00C96521">
        <w:rPr>
          <w:rFonts w:cs="Arial"/>
          <w:color w:val="000000"/>
          <w:sz w:val="16"/>
          <w:szCs w:val="16"/>
          <w:lang w:val="en-GB" w:eastAsia="ja-JP"/>
        </w:rPr>
        <w:t>Vitalie Grimalschi (</w:t>
      </w:r>
      <w:r w:rsidRPr="00C96521">
        <w:rPr>
          <w:rFonts w:eastAsia="MS Mincho" w:cs="Arial"/>
          <w:color w:val="000000"/>
          <w:sz w:val="16"/>
          <w:szCs w:val="16"/>
          <w:lang w:eastAsia="ja-JP"/>
        </w:rPr>
        <w:t xml:space="preserve">Society for Bird and Nature Protection, Moldova), </w:t>
      </w:r>
      <w:r w:rsidRPr="00C96521">
        <w:rPr>
          <w:rFonts w:cs="Arial"/>
          <w:sz w:val="16"/>
          <w:szCs w:val="16"/>
          <w:lang w:val="en-GB" w:eastAsia="en-GB"/>
        </w:rPr>
        <w:t xml:space="preserve">Marco Gustin (LIPU, BirdLife Italy), Haris Hadjistyllis (Cyprus Game and Fauna Service), </w:t>
      </w:r>
      <w:r w:rsidRPr="00C96521">
        <w:rPr>
          <w:rFonts w:eastAsia="MS Mincho" w:cs="Arial"/>
          <w:sz w:val="16"/>
          <w:szCs w:val="16"/>
          <w:lang w:val="en-GB" w:eastAsia="en-GB"/>
        </w:rPr>
        <w:t>Phillip Hall</w:t>
      </w:r>
      <w:r w:rsidRPr="00C96521">
        <w:rPr>
          <w:rFonts w:cs="Arial"/>
          <w:sz w:val="16"/>
          <w:szCs w:val="16"/>
          <w:lang w:val="en-GB" w:eastAsia="en-GB"/>
        </w:rPr>
        <w:t xml:space="preserve">, Gergő Halmos (MME, BirdLife Hungary), Saâd Hanane (Forest Research Centre/High Commission For Water, Forests and Combating Desertification, Morocco), </w:t>
      </w:r>
      <w:r w:rsidRPr="00C96521">
        <w:rPr>
          <w:rFonts w:eastAsia="MS Mincho" w:cs="Arial"/>
          <w:sz w:val="16"/>
          <w:szCs w:val="16"/>
          <w:lang w:val="en-GB" w:eastAsia="en-GB"/>
        </w:rPr>
        <w:t xml:space="preserve">Kate Hand (RSPB, BirdLife UK), Sarah Harris (BTO, UK), </w:t>
      </w:r>
      <w:r w:rsidRPr="00C96521">
        <w:rPr>
          <w:rFonts w:cs="Arial"/>
          <w:sz w:val="16"/>
          <w:szCs w:val="16"/>
          <w:lang w:val="en-GB" w:eastAsia="en-GB"/>
        </w:rPr>
        <w:t xml:space="preserve">Ohad Hatsofe (Israel Nature and Parks Authority), Eli Haviv (SPNI, BirdLife Israel), Jan Havlíček (Department of Zoology, University of South Bohemia, Czech Republic), </w:t>
      </w:r>
      <w:r w:rsidRPr="00C96521">
        <w:rPr>
          <w:rFonts w:eastAsia="MS Mincho" w:cs="Arial"/>
          <w:sz w:val="16"/>
          <w:szCs w:val="16"/>
          <w:lang w:val="en-GB" w:eastAsia="en-GB"/>
        </w:rPr>
        <w:t xml:space="preserve">Guidara Hela Selman (Point focal Tunisie CMS/ AEWA), Borja Heredia (CMS), </w:t>
      </w:r>
      <w:r w:rsidRPr="00C96521">
        <w:rPr>
          <w:rFonts w:cs="Arial"/>
          <w:sz w:val="16"/>
          <w:szCs w:val="16"/>
          <w:lang w:val="en-GB" w:eastAsia="en-GB"/>
        </w:rPr>
        <w:t xml:space="preserve">Sebastian J Hidalgo de Trucios (Research Group on Wildlife, Game Resources, and Biodiversity (GIRFCB), University of Extremadura, Spain), </w:t>
      </w:r>
      <w:r w:rsidRPr="00C96521">
        <w:rPr>
          <w:rFonts w:eastAsia="MS Mincho" w:cs="Arial"/>
          <w:spacing w:val="1"/>
          <w:sz w:val="16"/>
          <w:szCs w:val="16"/>
          <w:lang w:val="en-GB" w:eastAsia="ja-JP"/>
        </w:rPr>
        <w:t xml:space="preserve">Iben Hove Sørensen (Danish Hunters Association), </w:t>
      </w:r>
      <w:r w:rsidRPr="00C96521">
        <w:rPr>
          <w:rFonts w:eastAsia="MS Mincho" w:cs="Arial"/>
          <w:sz w:val="16"/>
          <w:szCs w:val="16"/>
          <w:lang w:val="en-GB" w:eastAsia="en-GB"/>
        </w:rPr>
        <w:t xml:space="preserve">David Howell (CMS), </w:t>
      </w:r>
      <w:r w:rsidRPr="00C96521">
        <w:rPr>
          <w:rFonts w:cs="Arial"/>
          <w:sz w:val="16"/>
          <w:szCs w:val="16"/>
          <w:lang w:val="en-GB" w:eastAsia="en-GB"/>
        </w:rPr>
        <w:t xml:space="preserve">Iordan Hristov (BSPB, BirdLife Bulgaria), Sevinj Humbatova (Baku State University, Azerbaijan), Miguel Aymerich Huyghues-Despointes (Dirección General de Calidad y Evaluación Ambiental y Medio Natural, Spain), Petar Iankov (BSPB, BirdLife Bulgaria), Christina Ieronymidou (BirdLife Cyprus), Shadi Indary (Institute of the Environment, University of Balamand, Lebanon), Nidal Issa (LPO, France), José Manuel Jaquotot Saenz de Miera (Dirección General de Desarrollo Rural y Política Forestal, Spain), </w:t>
      </w:r>
      <w:r w:rsidRPr="00C96521">
        <w:rPr>
          <w:rFonts w:eastAsia="MS Mincho" w:cs="Arial"/>
          <w:spacing w:val="1"/>
          <w:sz w:val="16"/>
          <w:szCs w:val="16"/>
          <w:lang w:val="en-GB" w:eastAsia="ja-JP"/>
        </w:rPr>
        <w:t xml:space="preserve">Ciaran O'Keeffe (Department of Arts, Heritage, Regional, Rural and Gaeltacht Affairs, Ireland), Primož Kmecl (DOPPS, BirdLife Slovenia), Heikki Korpelainen (Department of Agricultural Sciences, University of Helsinki, Finland), </w:t>
      </w:r>
      <w:r w:rsidRPr="00C96521">
        <w:rPr>
          <w:rFonts w:cs="Arial"/>
          <w:sz w:val="16"/>
          <w:szCs w:val="16"/>
          <w:lang w:val="en-GB" w:eastAsia="en-GB"/>
        </w:rPr>
        <w:t xml:space="preserve">Petras Kurlavicius (Lietuvos Edukologijos Universitetas, Lithuania), Nicolás López-Jiménez (SEO/BirdLife), Habitat Solomon Jallow (WABSA, The Gambia), Frederic Jiguet (Muséum National d'Histoire Naturelle, France), Lamin Jobaate (WABSA, The Gambia), Sven Kapelj (BIOM, BirdLife Croatia), Mohamed Lamin Kassama (WABSA, The Gambia), Nicos Kassinis (Cyprus Game and Fauna Service), Primož Kmecl (DOPPS, BirdLife Slovenia), Jelena Kralj (Institute of Ornithology CASA, Croatia), </w:t>
      </w:r>
      <w:r w:rsidRPr="00C96521">
        <w:rPr>
          <w:rFonts w:eastAsia="MS Mincho" w:cs="Arial"/>
          <w:spacing w:val="1"/>
          <w:sz w:val="16"/>
          <w:szCs w:val="16"/>
          <w:lang w:val="en-GB" w:eastAsia="ja-JP"/>
        </w:rPr>
        <w:t xml:space="preserve">Pavlína Kuncová (Department of Species Protection and Implementation of International Commitments, Ministry of Environment, Czech Republic), </w:t>
      </w:r>
      <w:r w:rsidRPr="00C96521">
        <w:rPr>
          <w:rFonts w:eastAsia="MS Mincho" w:cs="Arial"/>
          <w:sz w:val="16"/>
          <w:szCs w:val="16"/>
          <w:lang w:val="en-GB" w:eastAsia="en-GB"/>
        </w:rPr>
        <w:t xml:space="preserve">Tatiana Kuzmenko (USPB, BirdLife Ukraine), Ganna Kuzo (USPB, BirdLife Ukraine), </w:t>
      </w:r>
      <w:r w:rsidRPr="00C96521">
        <w:rPr>
          <w:rFonts w:cs="Arial"/>
          <w:sz w:val="16"/>
          <w:szCs w:val="16"/>
          <w:lang w:val="en-GB" w:eastAsia="en-GB"/>
        </w:rPr>
        <w:t xml:space="preserve">Lars Lachman (NABU, BirdLife Germany), Peter Lebersorger (Zentralstelle Österreichischer Landesjagdverbände, Austria), Domingos Leitão (SPEA, BirdLife Portugal), Teemu Lehtiniemi (BirdLife Finland), Siamion Levy (APB, BirdLife Belarus), </w:t>
      </w:r>
      <w:r w:rsidRPr="00C96521">
        <w:rPr>
          <w:rFonts w:eastAsia="MS Mincho" w:cs="Arial"/>
          <w:spacing w:val="1"/>
          <w:sz w:val="16"/>
          <w:szCs w:val="16"/>
          <w:lang w:val="en-GB" w:eastAsia="ja-JP"/>
        </w:rPr>
        <w:t xml:space="preserve">Sandrine Liegeois (Department of Nature and Forests, Belgium), </w:t>
      </w:r>
      <w:r w:rsidRPr="00C96521">
        <w:rPr>
          <w:rFonts w:cs="Arial"/>
          <w:sz w:val="16"/>
          <w:szCs w:val="16"/>
          <w:lang w:val="en-GB" w:eastAsia="en-GB"/>
        </w:rPr>
        <w:t xml:space="preserve">Hervé Lormée (ONCFS, France), Gábor Magyar (Kiskunsági Nemzeti Park, Hungary), Maija Marsh (RSPB, BirdLife UK), Benjamin Metzger (NABU, BirdLife Germany), </w:t>
      </w:r>
      <w:r w:rsidRPr="00C96521">
        <w:rPr>
          <w:rFonts w:eastAsia="MS Mincho" w:cs="Arial"/>
          <w:spacing w:val="1"/>
          <w:sz w:val="16"/>
          <w:szCs w:val="16"/>
          <w:lang w:val="en-GB" w:eastAsia="ja-JP"/>
        </w:rPr>
        <w:t xml:space="preserve">Jakub Milczarek (Nature Conservation Department, Ministry of the Environment, Poland), </w:t>
      </w:r>
      <w:r w:rsidRPr="00C96521">
        <w:rPr>
          <w:rFonts w:cs="Arial"/>
          <w:sz w:val="16"/>
          <w:szCs w:val="16"/>
          <w:lang w:val="en-GB" w:eastAsia="en-GB"/>
        </w:rPr>
        <w:t xml:space="preserve">Alexander Mischenko (Russian Society for Bird Conservation and Study, Birds Russia), Juan Carlos del Moral (SEO/BirdLife, Spain), Lara Moreno Zárate (Instituto de Investigacion en Recursos Cinegeticos, Spain), </w:t>
      </w:r>
      <w:r w:rsidRPr="00C96521">
        <w:rPr>
          <w:rFonts w:eastAsia="MS Mincho" w:cs="Arial"/>
          <w:sz w:val="16"/>
          <w:szCs w:val="16"/>
          <w:lang w:val="en-GB" w:eastAsia="en-GB"/>
        </w:rPr>
        <w:t xml:space="preserve">Tony Morris (RSPB, BirdLife UK), </w:t>
      </w:r>
      <w:r w:rsidRPr="00C96521">
        <w:rPr>
          <w:rFonts w:cs="Arial"/>
          <w:sz w:val="16"/>
          <w:szCs w:val="16"/>
          <w:lang w:val="en-GB" w:eastAsia="en-GB"/>
        </w:rPr>
        <w:t xml:space="preserve">Yves Muller (LPO, SEOF, France), </w:t>
      </w:r>
      <w:r w:rsidRPr="00C96521">
        <w:rPr>
          <w:rFonts w:eastAsia="MS Mincho" w:cs="Arial"/>
          <w:sz w:val="16"/>
          <w:szCs w:val="16"/>
          <w:lang w:val="en-GB" w:eastAsia="en-GB"/>
        </w:rPr>
        <w:t>Wim Mullié (Fondation Agir pour l'</w:t>
      </w:r>
      <w:r w:rsidR="00BE5EF4">
        <w:rPr>
          <w:rFonts w:eastAsia="MS Mincho" w:cs="Arial"/>
          <w:sz w:val="16"/>
          <w:szCs w:val="16"/>
          <w:lang w:val="en-GB" w:eastAsia="en-GB"/>
        </w:rPr>
        <w:t>É</w:t>
      </w:r>
      <w:r w:rsidRPr="00C96521">
        <w:rPr>
          <w:rFonts w:eastAsia="MS Mincho" w:cs="Arial"/>
          <w:sz w:val="16"/>
          <w:szCs w:val="16"/>
          <w:lang w:val="en-GB" w:eastAsia="en-GB"/>
        </w:rPr>
        <w:t xml:space="preserve">ducation et la Santé), </w:t>
      </w:r>
      <w:r w:rsidRPr="00C96521">
        <w:rPr>
          <w:rFonts w:cs="Arial"/>
          <w:sz w:val="16"/>
          <w:szCs w:val="16"/>
          <w:lang w:val="en-GB" w:eastAsia="en-GB"/>
        </w:rPr>
        <w:t xml:space="preserve">Károly Nagy (MME, BirdLife Hungary), Renno Nellis (Eestimaa Looduse Fond, Estonia), Maxim Nemtchinov (APB, BirdLife Belarus), </w:t>
      </w:r>
      <w:r w:rsidRPr="00C96521">
        <w:rPr>
          <w:rFonts w:eastAsia="MS Mincho" w:cs="Arial"/>
          <w:sz w:val="16"/>
          <w:szCs w:val="16"/>
          <w:lang w:val="en-GB" w:eastAsia="en-GB"/>
        </w:rPr>
        <w:t xml:space="preserve">Alex Ngari (BirdLife Africa Secretariat/AEMLAP), </w:t>
      </w:r>
      <w:r w:rsidRPr="00C96521">
        <w:rPr>
          <w:rFonts w:cs="Arial"/>
          <w:sz w:val="16"/>
          <w:szCs w:val="16"/>
          <w:lang w:val="en-GB" w:eastAsia="en-GB"/>
        </w:rPr>
        <w:t xml:space="preserve">Ebrima Njie (University of the Gambia), Modou Njie (WABSA, </w:t>
      </w:r>
      <w:r w:rsidR="00BE5EF4">
        <w:rPr>
          <w:rFonts w:cs="Arial"/>
          <w:sz w:val="16"/>
          <w:szCs w:val="16"/>
          <w:lang w:val="en-GB" w:eastAsia="en-GB"/>
        </w:rPr>
        <w:t>t</w:t>
      </w:r>
      <w:r w:rsidRPr="00C96521">
        <w:rPr>
          <w:rFonts w:cs="Arial"/>
          <w:sz w:val="16"/>
          <w:szCs w:val="16"/>
          <w:lang w:val="en-GB" w:eastAsia="en-GB"/>
        </w:rPr>
        <w:t xml:space="preserve">he Gambia), </w:t>
      </w:r>
      <w:r w:rsidRPr="00C96521">
        <w:rPr>
          <w:rFonts w:eastAsia="MS Mincho" w:cs="Arial"/>
          <w:sz w:val="16"/>
          <w:szCs w:val="16"/>
          <w:lang w:val="en-GB" w:eastAsia="en-GB"/>
        </w:rPr>
        <w:t xml:space="preserve">David Noble </w:t>
      </w:r>
      <w:r w:rsidRPr="00C96521">
        <w:rPr>
          <w:rFonts w:eastAsia="MS Mincho" w:cs="Arial"/>
          <w:sz w:val="16"/>
          <w:szCs w:val="16"/>
          <w:lang w:val="en-GB" w:eastAsia="en-GB"/>
        </w:rPr>
        <w:lastRenderedPageBreak/>
        <w:t xml:space="preserve">(BTO, UK), </w:t>
      </w:r>
      <w:r w:rsidRPr="00C96521">
        <w:rPr>
          <w:rFonts w:cs="Arial"/>
          <w:sz w:val="16"/>
          <w:szCs w:val="16"/>
          <w:lang w:val="en-GB" w:eastAsia="en-GB"/>
        </w:rPr>
        <w:t xml:space="preserve">Timme Nyegaard (DOF, BirdLife Denmark), Jorge F Orueta (SEO/BirdLife, Spain), Panicos Panayides (Cyprus Game and Fauna Service, Ministry of the Interior), Jean-Yves Paquet (Ornithological Society Aves, Belgium), </w:t>
      </w:r>
      <w:r w:rsidRPr="00C96521">
        <w:rPr>
          <w:rFonts w:eastAsia="MS Mincho" w:cs="Arial"/>
          <w:sz w:val="16"/>
          <w:szCs w:val="16"/>
          <w:lang w:val="en-GB" w:eastAsia="en-GB"/>
        </w:rPr>
        <w:t xml:space="preserve">Will Peach (RSPB, BirdLife UK), </w:t>
      </w:r>
      <w:r w:rsidRPr="00C96521">
        <w:rPr>
          <w:rFonts w:cs="Arial"/>
          <w:sz w:val="16"/>
          <w:szCs w:val="16"/>
          <w:lang w:val="en-GB" w:eastAsia="en-GB"/>
        </w:rPr>
        <w:t xml:space="preserve">Yoav Perlman (SPNI, BirdLife Israel), Danae Portolou (HOS, BirdLife Greece), Petra Quillfeldt (Justus Liebig Universität Gießen, Germany), Ghassan Ramadan Jaradi (SPNL, BirdLife Lebanon), </w:t>
      </w:r>
      <w:r w:rsidRPr="00C96521">
        <w:rPr>
          <w:rFonts w:eastAsia="MS Mincho" w:cs="Arial"/>
          <w:sz w:val="16"/>
          <w:szCs w:val="16"/>
          <w:lang w:val="en-GB" w:eastAsia="en-GB"/>
        </w:rPr>
        <w:t xml:space="preserve">Iván Ramírez (BirdLife Europe Secretariat), </w:t>
      </w:r>
      <w:r w:rsidRPr="00C96521">
        <w:rPr>
          <w:rFonts w:cs="Arial"/>
          <w:sz w:val="16"/>
          <w:szCs w:val="16"/>
          <w:lang w:val="en-GB" w:eastAsia="en-GB"/>
        </w:rPr>
        <w:t xml:space="preserve">Liutauras Raudonikis (LOD, BirdLife Lithuania), </w:t>
      </w:r>
      <w:r w:rsidRPr="00C96521">
        <w:rPr>
          <w:rFonts w:eastAsia="MS Mincho" w:cs="Arial"/>
          <w:sz w:val="16"/>
          <w:szCs w:val="16"/>
          <w:lang w:val="en-GB" w:eastAsia="en-GB"/>
        </w:rPr>
        <w:t xml:space="preserve">Sami Rebah (AAO, BirdLife Tunisia), </w:t>
      </w:r>
      <w:r w:rsidRPr="00C96521">
        <w:rPr>
          <w:rFonts w:eastAsia="MS Mincho" w:cs="Arial"/>
          <w:spacing w:val="1"/>
          <w:sz w:val="16"/>
          <w:szCs w:val="16"/>
          <w:lang w:val="en-GB" w:eastAsia="ja-JP"/>
        </w:rPr>
        <w:t xml:space="preserve">Wilmar J. Remmelts (Department of Nature and Biodiversity, Ministry of Economic Affairs, Netherlands), </w:t>
      </w:r>
      <w:r w:rsidRPr="00C96521">
        <w:rPr>
          <w:rFonts w:cs="Arial"/>
          <w:sz w:val="16"/>
          <w:szCs w:val="16"/>
          <w:lang w:val="en-GB" w:eastAsia="en-GB"/>
        </w:rPr>
        <w:t xml:space="preserve">Jozef Ridzoň (SOS, BirdLife Slovakia), </w:t>
      </w:r>
      <w:r w:rsidRPr="00C96521">
        <w:rPr>
          <w:rFonts w:eastAsia="MS Mincho" w:cs="Arial"/>
          <w:spacing w:val="1"/>
          <w:sz w:val="16"/>
          <w:szCs w:val="16"/>
          <w:lang w:val="en-GB" w:eastAsia="ja-JP"/>
        </w:rPr>
        <w:t xml:space="preserve">Lars Rudfeld (Nature Planning and Biodiversity, Ministry of Environment, Denmark), </w:t>
      </w:r>
      <w:r w:rsidRPr="00C96521">
        <w:rPr>
          <w:rFonts w:cs="Arial"/>
          <w:sz w:val="16"/>
          <w:szCs w:val="16"/>
          <w:lang w:val="en-GB" w:eastAsia="en-GB"/>
        </w:rPr>
        <w:t xml:space="preserve">Milan Ružić (Bird Protection and Study Society of Serbia, BirdLife Serbia), Malang Saar (Nature Communautés-Développement, Senegal), Lamin Sanyang (WABSA, </w:t>
      </w:r>
      <w:r w:rsidR="00BE5EF4">
        <w:rPr>
          <w:rFonts w:cs="Arial"/>
          <w:sz w:val="16"/>
          <w:szCs w:val="16"/>
          <w:lang w:val="en-GB" w:eastAsia="en-GB"/>
        </w:rPr>
        <w:t>t</w:t>
      </w:r>
      <w:r w:rsidRPr="00C96521">
        <w:rPr>
          <w:rFonts w:cs="Arial"/>
          <w:sz w:val="16"/>
          <w:szCs w:val="16"/>
          <w:lang w:val="en-GB" w:eastAsia="en-GB"/>
        </w:rPr>
        <w:t xml:space="preserve">he Gambia), Darko Saveljic (Center for Protection and Research of Birds of Montenegro), Abdoulie Sawo (DPWM, The Gambia), </w:t>
      </w:r>
      <w:r w:rsidRPr="00C96521">
        <w:rPr>
          <w:rFonts w:eastAsia="MS Mincho" w:cs="Arial"/>
          <w:sz w:val="16"/>
          <w:szCs w:val="16"/>
          <w:lang w:val="en-GB" w:eastAsia="en-GB"/>
        </w:rPr>
        <w:t xml:space="preserve">David Scallan (FACE), </w:t>
      </w:r>
      <w:r w:rsidRPr="00C96521">
        <w:rPr>
          <w:rFonts w:cs="Arial"/>
          <w:sz w:val="16"/>
          <w:szCs w:val="16"/>
          <w:lang w:val="en-GB" w:eastAsia="en-GB"/>
        </w:rPr>
        <w:t xml:space="preserve">András Schmidt (Ministry of Agriculture, Hungary), </w:t>
      </w:r>
      <w:r w:rsidRPr="00C96521">
        <w:rPr>
          <w:rFonts w:eastAsia="MS Mincho" w:cs="Arial"/>
          <w:sz w:val="16"/>
          <w:szCs w:val="16"/>
          <w:lang w:val="en-GB" w:eastAsia="en-GB"/>
        </w:rPr>
        <w:t xml:space="preserve">Hans Schmidt (Swiss Ornithological Institute), Tilman Schneider (CMS), </w:t>
      </w:r>
      <w:r w:rsidRPr="00C96521">
        <w:rPr>
          <w:rFonts w:eastAsia="MS Mincho" w:cs="Arial"/>
          <w:spacing w:val="1"/>
          <w:sz w:val="16"/>
          <w:szCs w:val="16"/>
          <w:lang w:val="en-GB" w:eastAsia="ja-JP"/>
        </w:rPr>
        <w:t xml:space="preserve">David Schonberg-Alm (Research and Assessment Department, Swedish Environmental Protection Agency), </w:t>
      </w:r>
      <w:r w:rsidRPr="00C96521">
        <w:rPr>
          <w:rFonts w:eastAsia="MS Mincho" w:cs="Arial"/>
          <w:sz w:val="16"/>
          <w:szCs w:val="16"/>
          <w:lang w:val="en-GB" w:eastAsia="en-GB"/>
        </w:rPr>
        <w:t xml:space="preserve">Martin Schuck (BirdLife Switzerland), </w:t>
      </w:r>
      <w:r w:rsidRPr="00C96521">
        <w:rPr>
          <w:rFonts w:cs="Arial"/>
          <w:sz w:val="16"/>
          <w:szCs w:val="16"/>
          <w:lang w:val="en-GB" w:eastAsia="en-GB"/>
        </w:rPr>
        <w:t>Lorenzo Serra (ISPRA, Italy), Moussa Sissoko (Direction Nationale des Eaux et Forêts, Mali), Kyriakos Skordas (Hunting Federation of Macedonia and Thrace), Jana Skorpilosa (CSO, BirdLife Czech Republic), Michele Sorrenti (</w:t>
      </w:r>
      <w:r w:rsidRPr="00C96521">
        <w:rPr>
          <w:rFonts w:eastAsia="MS Mincho" w:cs="Arial"/>
          <w:color w:val="000000"/>
          <w:sz w:val="16"/>
          <w:szCs w:val="16"/>
          <w:lang w:val="en-GB" w:eastAsia="ja-JP"/>
        </w:rPr>
        <w:t>Migratory Bird Office, Federazione Italiana della Caccia</w:t>
      </w:r>
      <w:r w:rsidRPr="00C96521">
        <w:rPr>
          <w:rFonts w:cs="Arial"/>
          <w:sz w:val="16"/>
          <w:szCs w:val="16"/>
          <w:lang w:val="en-GB" w:eastAsia="en-GB"/>
        </w:rPr>
        <w:t xml:space="preserve">, Italy), Svetoslav Spasov (BSPB, BirdLife Bulgaria), Fernando Spina (ISPRA, Italy), Anton Spiteri Shaw (Maltese Government), </w:t>
      </w:r>
      <w:r w:rsidRPr="00C96521">
        <w:rPr>
          <w:rFonts w:eastAsia="MS Mincho" w:cs="Arial"/>
          <w:sz w:val="16"/>
          <w:szCs w:val="16"/>
          <w:lang w:val="en-GB" w:eastAsia="en-GB"/>
        </w:rPr>
        <w:t xml:space="preserve">Anna Staneva (BirdLife Europe Secretariat), </w:t>
      </w:r>
      <w:r w:rsidRPr="00C96521">
        <w:rPr>
          <w:rFonts w:eastAsia="MS Mincho" w:cs="Arial"/>
          <w:spacing w:val="1"/>
          <w:sz w:val="16"/>
          <w:szCs w:val="16"/>
          <w:lang w:val="en-GB" w:eastAsia="ja-JP"/>
        </w:rPr>
        <w:t xml:space="preserve">Gita Strode (Nature Conservation Department, Latvia), </w:t>
      </w:r>
      <w:r w:rsidRPr="00C96521">
        <w:rPr>
          <w:rFonts w:cs="Arial"/>
          <w:sz w:val="16"/>
          <w:szCs w:val="16"/>
          <w:lang w:val="en-GB" w:eastAsia="en-GB"/>
        </w:rPr>
        <w:t xml:space="preserve">Imrich Šuba (Slovenský poľovnícky zväz, Slovakia), Elchin Sultanov (AOS, BirdLife Azerbaijan), Evgeny Syroechkovskiy (Russian Society for Bird Conservation and Study, Birds Russia), Zoltán Szabo (Babeş-Bolyai University, Romania), Tibor Szép (University of Nyíregyháza, Hungary), </w:t>
      </w:r>
      <w:r w:rsidRPr="00C96521">
        <w:rPr>
          <w:rFonts w:eastAsia="MS Mincho" w:cs="Arial"/>
          <w:sz w:val="16"/>
          <w:szCs w:val="16"/>
          <w:lang w:val="en-GB" w:eastAsia="en-GB"/>
        </w:rPr>
        <w:t xml:space="preserve">José Tavares (Vulture Conservation Foundation), Peter Taylor (RSPB, BirdLife UK), </w:t>
      </w:r>
      <w:r w:rsidRPr="00C96521">
        <w:rPr>
          <w:rFonts w:cs="Arial"/>
          <w:sz w:val="16"/>
          <w:szCs w:val="16"/>
          <w:lang w:val="en-GB" w:eastAsia="en-GB"/>
        </w:rPr>
        <w:t>Guido Tellini Florenzano (MITO2000, Italy), Joaquim Teodósio (SPEA, BirdLife Portugal), Norbert Teufelbauer (BirdLife Österreich, BirdLife Austria), Béla Tokody (MME, BirdLife Hungary</w:t>
      </w:r>
      <w:r w:rsidRPr="00C96521">
        <w:rPr>
          <w:rFonts w:eastAsia="MS Mincho" w:cs="Arial"/>
          <w:color w:val="000000"/>
          <w:sz w:val="16"/>
          <w:szCs w:val="16"/>
          <w:lang w:val="en-GB" w:eastAsia="ja-JP"/>
        </w:rPr>
        <w:t xml:space="preserve">), </w:t>
      </w:r>
      <w:r w:rsidRPr="00C96521">
        <w:rPr>
          <w:rFonts w:cs="Arial"/>
          <w:sz w:val="16"/>
          <w:szCs w:val="16"/>
          <w:lang w:val="en-GB" w:eastAsia="en-GB"/>
        </w:rPr>
        <w:t xml:space="preserve">Sven Trautmann (Dachverband Deutscher Avifaunisten), Chris van Turnhout (Sovon Dutch Centre for Field Ornithology), Vesna Tutiš (Institute of Ornithology CASA, Croatia), Marco Valentini (Ministerio dell'Ambiente, Italy), </w:t>
      </w:r>
      <w:r w:rsidRPr="00C96521">
        <w:rPr>
          <w:rFonts w:eastAsia="MS Mincho" w:cs="Arial"/>
          <w:spacing w:val="1"/>
          <w:sz w:val="16"/>
          <w:szCs w:val="16"/>
          <w:lang w:val="en-GB" w:eastAsia="ja-JP"/>
        </w:rPr>
        <w:t xml:space="preserve">Michiel Vandegehuchte (Nature Agency, Belgium), </w:t>
      </w:r>
      <w:r w:rsidRPr="00C96521">
        <w:rPr>
          <w:rFonts w:cs="Arial"/>
          <w:sz w:val="16"/>
          <w:szCs w:val="16"/>
          <w:lang w:val="en-GB" w:eastAsia="en-GB"/>
        </w:rPr>
        <w:t xml:space="preserve">Zdeněk Vermouszck (CSO, BirdLife Czech Republic), Alexandre Vintchevski (APB, BirdLife Belarus), </w:t>
      </w:r>
      <w:r w:rsidRPr="00C96521">
        <w:rPr>
          <w:rFonts w:eastAsia="MS Mincho" w:cs="Arial"/>
          <w:sz w:val="16"/>
          <w:szCs w:val="16"/>
          <w:lang w:val="en-GB" w:eastAsia="en-GB"/>
        </w:rPr>
        <w:t xml:space="preserve">Tim Wacher (Zoological Society of London, UK), </w:t>
      </w:r>
      <w:r w:rsidRPr="00C96521">
        <w:rPr>
          <w:rFonts w:eastAsia="MS Mincho" w:cs="Arial"/>
          <w:spacing w:val="1"/>
          <w:sz w:val="16"/>
          <w:szCs w:val="16"/>
          <w:lang w:val="en-GB" w:eastAsia="ja-JP"/>
        </w:rPr>
        <w:t>Josette Zerafa (Policy Department and Programme Implementation Directorate, Malta).</w:t>
      </w:r>
    </w:p>
    <w:p w14:paraId="4B9518E8"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31E96CE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t>Date of adoption:</w:t>
      </w:r>
      <w:r w:rsidRPr="00C96521">
        <w:rPr>
          <w:rFonts w:eastAsia="MS Mincho"/>
          <w:spacing w:val="1"/>
          <w:sz w:val="16"/>
          <w:szCs w:val="16"/>
          <w:lang w:val="en-GB" w:eastAsia="ja-JP"/>
        </w:rPr>
        <w:t xml:space="preserve"> in preparation.</w:t>
      </w:r>
    </w:p>
    <w:p w14:paraId="63038D9E"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1A5CCCFA"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t>Lifespan of Plan:</w:t>
      </w:r>
      <w:r w:rsidRPr="00C96521">
        <w:rPr>
          <w:rFonts w:eastAsia="MS Mincho"/>
          <w:spacing w:val="1"/>
          <w:sz w:val="16"/>
          <w:szCs w:val="16"/>
          <w:lang w:val="en-GB" w:eastAsia="ja-JP"/>
        </w:rPr>
        <w:t xml:space="preserve"> this International Species Action Plan should be reviewed and updated every 10 years (first revision in 2028).</w:t>
      </w:r>
    </w:p>
    <w:p w14:paraId="75305FD8"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5BD9D72E" w14:textId="77777777" w:rsidR="00C96521" w:rsidRPr="00C96521" w:rsidRDefault="00C96521" w:rsidP="00C96521">
      <w:pPr>
        <w:widowControl/>
        <w:autoSpaceDE/>
        <w:autoSpaceDN/>
        <w:adjustRightInd/>
        <w:spacing w:line="276" w:lineRule="auto"/>
        <w:rPr>
          <w:rFonts w:eastAsia="MS Mincho"/>
          <w:b/>
          <w:spacing w:val="1"/>
          <w:sz w:val="16"/>
          <w:szCs w:val="16"/>
          <w:lang w:val="en-GB" w:eastAsia="ja-JP"/>
        </w:rPr>
      </w:pPr>
      <w:r w:rsidRPr="00C96521">
        <w:rPr>
          <w:rFonts w:eastAsia="MS Mincho"/>
          <w:b/>
          <w:spacing w:val="1"/>
          <w:sz w:val="16"/>
          <w:szCs w:val="16"/>
          <w:lang w:val="en-GB" w:eastAsia="ja-JP"/>
        </w:rPr>
        <w:t xml:space="preserve">Milestones in the production of the Plan: </w:t>
      </w:r>
    </w:p>
    <w:p w14:paraId="4F20E75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spacing w:val="1"/>
          <w:sz w:val="16"/>
          <w:szCs w:val="16"/>
          <w:lang w:val="en-GB" w:eastAsia="ja-JP"/>
        </w:rPr>
        <w:t xml:space="preserve">Development of Species Status Report (Fisher </w:t>
      </w:r>
      <w:r w:rsidRPr="00C96521">
        <w:rPr>
          <w:rFonts w:eastAsia="MS Mincho"/>
          <w:i/>
          <w:spacing w:val="1"/>
          <w:sz w:val="16"/>
          <w:szCs w:val="16"/>
          <w:lang w:val="en-GB" w:eastAsia="ja-JP"/>
        </w:rPr>
        <w:t>et al</w:t>
      </w:r>
      <w:r w:rsidRPr="00C96521">
        <w:rPr>
          <w:rFonts w:eastAsia="MS Mincho"/>
          <w:spacing w:val="1"/>
          <w:sz w:val="16"/>
          <w:szCs w:val="16"/>
          <w:lang w:val="en-GB" w:eastAsia="ja-JP"/>
        </w:rPr>
        <w:t xml:space="preserve"> 2016a): June to December 2016.</w:t>
      </w:r>
    </w:p>
    <w:p w14:paraId="3C57B019"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spacing w:val="1"/>
          <w:sz w:val="16"/>
          <w:szCs w:val="16"/>
          <w:lang w:val="en-GB" w:eastAsia="ja-JP"/>
        </w:rPr>
        <w:t xml:space="preserve">Review of existing EU Species Management Plan (Fisher </w:t>
      </w:r>
      <w:r w:rsidRPr="00C96521">
        <w:rPr>
          <w:rFonts w:eastAsia="MS Mincho"/>
          <w:i/>
          <w:spacing w:val="1"/>
          <w:sz w:val="16"/>
          <w:szCs w:val="16"/>
          <w:lang w:val="en-GB" w:eastAsia="ja-JP"/>
        </w:rPr>
        <w:t>et al</w:t>
      </w:r>
      <w:r w:rsidRPr="00C96521">
        <w:rPr>
          <w:rFonts w:eastAsia="MS Mincho"/>
          <w:spacing w:val="1"/>
          <w:sz w:val="16"/>
          <w:szCs w:val="16"/>
          <w:lang w:val="en-GB" w:eastAsia="ja-JP"/>
        </w:rPr>
        <w:t xml:space="preserve"> 2016b): June to November 2016.</w:t>
      </w:r>
    </w:p>
    <w:p w14:paraId="0B0B9177"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spacing w:val="1"/>
          <w:sz w:val="16"/>
          <w:szCs w:val="16"/>
          <w:lang w:val="en-GB" w:eastAsia="ja-JP"/>
        </w:rPr>
        <w:t>Stakeholder workshop for western flyway: 19-21 December 2016, Valsain, Spain.</w:t>
      </w:r>
    </w:p>
    <w:p w14:paraId="55D848A9"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spacing w:val="1"/>
          <w:sz w:val="16"/>
          <w:szCs w:val="16"/>
          <w:lang w:val="en-GB" w:eastAsia="ja-JP"/>
        </w:rPr>
        <w:t>Stakeholder workshop for central and eastern flyway: 16-18 January 2017, Kecskemét, Hungary.</w:t>
      </w:r>
    </w:p>
    <w:p w14:paraId="656871B4"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spacing w:val="1"/>
          <w:sz w:val="16"/>
          <w:szCs w:val="16"/>
          <w:lang w:val="en-GB" w:eastAsia="ja-JP"/>
        </w:rPr>
        <w:t>First draft: April 2017, circulated to the Expert Group on the Birds and Habitats Directive (NADEG) and experts across the species Range States.</w:t>
      </w:r>
    </w:p>
    <w:p w14:paraId="72DEFF52"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6FF5F36F"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t>Recommended citation:</w:t>
      </w:r>
      <w:r w:rsidRPr="00C96521">
        <w:rPr>
          <w:rFonts w:eastAsia="MS Mincho"/>
          <w:spacing w:val="1"/>
          <w:sz w:val="16"/>
          <w:szCs w:val="16"/>
          <w:lang w:val="en-GB" w:eastAsia="ja-JP"/>
        </w:rPr>
        <w:t xml:space="preserve"> </w:t>
      </w:r>
      <w:r w:rsidRPr="00C96521">
        <w:rPr>
          <w:rFonts w:eastAsia="MS Mincho"/>
          <w:i/>
          <w:spacing w:val="1"/>
          <w:sz w:val="16"/>
          <w:szCs w:val="16"/>
          <w:lang w:val="en-GB" w:eastAsia="ja-JP"/>
        </w:rPr>
        <w:t>to be determined.</w:t>
      </w:r>
    </w:p>
    <w:p w14:paraId="4988D2E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210F98D9" w14:textId="19B7A906"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t>Picture on the front cover:</w:t>
      </w:r>
      <w:r w:rsidRPr="00C96521">
        <w:rPr>
          <w:rFonts w:eastAsia="MS Mincho"/>
          <w:spacing w:val="1"/>
          <w:sz w:val="16"/>
          <w:szCs w:val="16"/>
          <w:lang w:val="en-GB" w:eastAsia="ja-JP"/>
        </w:rPr>
        <w:t xml:space="preserve"> Turtle</w:t>
      </w:r>
      <w:r w:rsidR="00BE5EF4">
        <w:rPr>
          <w:rFonts w:eastAsia="MS Mincho"/>
          <w:spacing w:val="1"/>
          <w:sz w:val="16"/>
          <w:szCs w:val="16"/>
          <w:lang w:val="en-GB" w:eastAsia="ja-JP"/>
        </w:rPr>
        <w:t xml:space="preserve"> D</w:t>
      </w:r>
      <w:r w:rsidRPr="00C96521">
        <w:rPr>
          <w:rFonts w:eastAsia="MS Mincho"/>
          <w:spacing w:val="1"/>
          <w:sz w:val="16"/>
          <w:szCs w:val="16"/>
          <w:lang w:val="en-GB" w:eastAsia="ja-JP"/>
        </w:rPr>
        <w:t>ove (</w:t>
      </w:r>
      <w:r w:rsidRPr="00C96521">
        <w:rPr>
          <w:rFonts w:eastAsia="MS Mincho"/>
          <w:i/>
          <w:spacing w:val="1"/>
          <w:sz w:val="16"/>
          <w:szCs w:val="16"/>
          <w:lang w:val="en-GB" w:eastAsia="ja-JP"/>
        </w:rPr>
        <w:t>Streptopelia turtur</w:t>
      </w:r>
      <w:r w:rsidRPr="00C96521">
        <w:rPr>
          <w:rFonts w:eastAsia="MS Mincho"/>
          <w:spacing w:val="1"/>
          <w:sz w:val="16"/>
          <w:szCs w:val="16"/>
          <w:lang w:val="en-GB" w:eastAsia="ja-JP"/>
        </w:rPr>
        <w:t>) © Dmitry Yakubovich.</w:t>
      </w:r>
    </w:p>
    <w:p w14:paraId="6E6787C2"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14D00FE5"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t>Disclaimer:</w:t>
      </w:r>
      <w:r w:rsidRPr="00C96521">
        <w:rPr>
          <w:rFonts w:eastAsia="MS Mincho"/>
          <w:spacing w:val="1"/>
          <w:sz w:val="16"/>
          <w:szCs w:val="16"/>
          <w:lang w:val="en-GB" w:eastAsia="ja-JP"/>
        </w:rPr>
        <w:t xml:space="preserve"> the designation employed and the presentation of the material in this document do not imply the expression of any opinion whatsoever on the part of UNEP/CMS, UNEP/AEWA and other project partners concerning the legal status of any State, territory, city or area, or of its authorities, or concerning the delimitation of their frontiers and boundaries.</w:t>
      </w:r>
    </w:p>
    <w:p w14:paraId="0CFE85C2"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1B5E147B"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0344849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4F37F7A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1258BB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6E3D4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31BD6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73C3F35" w14:textId="65931B94" w:rsidR="00C96521" w:rsidRPr="00C96521" w:rsidRDefault="00C96521" w:rsidP="00C96521">
      <w:pPr>
        <w:widowControl/>
        <w:autoSpaceDE/>
        <w:autoSpaceDN/>
        <w:adjustRightInd/>
        <w:spacing w:line="276" w:lineRule="auto"/>
        <w:jc w:val="center"/>
        <w:rPr>
          <w:rFonts w:eastAsia="MS Mincho"/>
          <w:i/>
          <w:iCs/>
          <w:sz w:val="20"/>
          <w:szCs w:val="22"/>
          <w:lang w:val="en-GB" w:eastAsia="ja-JP"/>
        </w:rPr>
      </w:pPr>
      <w:r w:rsidRPr="00C96521">
        <w:rPr>
          <w:rFonts w:eastAsia="MS Mincho"/>
          <w:i/>
          <w:iCs/>
          <w:sz w:val="20"/>
          <w:szCs w:val="22"/>
          <w:lang w:val="en-GB" w:eastAsia="ja-JP"/>
        </w:rPr>
        <w:t xml:space="preserve">In 1947, Aldo Leopold wrote in his </w:t>
      </w:r>
      <w:r w:rsidRPr="00C96521">
        <w:rPr>
          <w:rFonts w:eastAsia="MS Mincho"/>
          <w:iCs/>
          <w:sz w:val="20"/>
          <w:szCs w:val="22"/>
          <w:lang w:val="en-GB" w:eastAsia="ja-JP"/>
        </w:rPr>
        <w:t>On a Monument to the Pigeon</w:t>
      </w:r>
      <w:r w:rsidRPr="00C96521">
        <w:rPr>
          <w:rFonts w:eastAsia="MS Mincho"/>
          <w:i/>
          <w:iCs/>
          <w:sz w:val="20"/>
          <w:szCs w:val="22"/>
          <w:lang w:val="en-GB" w:eastAsia="ja-JP"/>
        </w:rPr>
        <w:t>: “Men still live who, in their youth, remember pigeons; trees still live who, in their youth, were shaken by a living wind. But a few decades hence only the oldest oaks will remember, and at long last only the hills will know” (Leopold, 1953). He was referring to the passenger pigeon of North America, once numbering over 3 billion individuals, but now extinct through a lethal combination of causes early in the 20</w:t>
      </w:r>
      <w:r w:rsidRPr="00177BBB">
        <w:rPr>
          <w:rFonts w:eastAsia="MS Mincho"/>
          <w:i/>
          <w:iCs/>
          <w:sz w:val="20"/>
          <w:szCs w:val="22"/>
          <w:vertAlign w:val="superscript"/>
          <w:lang w:val="en-GB" w:eastAsia="ja-JP"/>
        </w:rPr>
        <w:t>th</w:t>
      </w:r>
      <w:r w:rsidR="003F6C6E">
        <w:rPr>
          <w:rFonts w:eastAsia="MS Mincho"/>
          <w:i/>
          <w:iCs/>
          <w:sz w:val="20"/>
          <w:szCs w:val="22"/>
          <w:lang w:val="en-GB" w:eastAsia="ja-JP"/>
        </w:rPr>
        <w:t xml:space="preserve"> </w:t>
      </w:r>
      <w:r w:rsidRPr="00C96521">
        <w:rPr>
          <w:rFonts w:eastAsia="MS Mincho"/>
          <w:i/>
          <w:iCs/>
          <w:sz w:val="20"/>
          <w:szCs w:val="22"/>
          <w:lang w:val="en-GB" w:eastAsia="ja-JP"/>
        </w:rPr>
        <w:t>century. With rapid declines across much of its range, the time for action for the turtle-dove is now...before it is too late.</w:t>
      </w:r>
    </w:p>
    <w:p w14:paraId="5D51BAD4" w14:textId="77777777" w:rsidR="00C96521" w:rsidRPr="00C96521" w:rsidRDefault="00C96521" w:rsidP="00C96521">
      <w:pPr>
        <w:widowControl/>
        <w:autoSpaceDE/>
        <w:autoSpaceDN/>
        <w:adjustRightInd/>
        <w:spacing w:line="276" w:lineRule="auto"/>
        <w:jc w:val="center"/>
        <w:rPr>
          <w:rFonts w:eastAsia="MS Mincho"/>
          <w:sz w:val="20"/>
          <w:szCs w:val="22"/>
          <w:lang w:val="en-GB" w:eastAsia="ja-JP"/>
        </w:rPr>
        <w:sectPr w:rsidR="00C96521" w:rsidRPr="00C96521" w:rsidSect="00C96521">
          <w:headerReference w:type="default" r:id="rId27"/>
          <w:headerReference w:type="first" r:id="rId28"/>
          <w:pgSz w:w="11920" w:h="16840"/>
          <w:pgMar w:top="1276" w:right="1300" w:bottom="920" w:left="1300" w:header="730" w:footer="738" w:gutter="0"/>
          <w:cols w:space="720"/>
          <w:titlePg/>
          <w:docGrid w:linePitch="299"/>
        </w:sectPr>
      </w:pPr>
    </w:p>
    <w:sdt>
      <w:sdtPr>
        <w:rPr>
          <w:rFonts w:eastAsia="MS Mincho"/>
          <w:sz w:val="22"/>
          <w:szCs w:val="22"/>
          <w:lang w:val="en-GB" w:eastAsia="ja-JP"/>
        </w:rPr>
        <w:id w:val="22497032"/>
        <w:docPartObj>
          <w:docPartGallery w:val="Table of Contents"/>
          <w:docPartUnique/>
        </w:docPartObj>
      </w:sdtPr>
      <w:sdtEndPr>
        <w:rPr>
          <w:sz w:val="20"/>
        </w:rPr>
      </w:sdtEndPr>
      <w:sdtContent>
        <w:p w14:paraId="23794A7B" w14:textId="77777777" w:rsidR="00C96521" w:rsidRPr="00C96521" w:rsidRDefault="00C96521" w:rsidP="00C96521">
          <w:pPr>
            <w:keepNext/>
            <w:keepLines/>
            <w:widowControl/>
            <w:autoSpaceDE/>
            <w:autoSpaceDN/>
            <w:adjustRightInd/>
            <w:spacing w:before="480" w:line="276" w:lineRule="auto"/>
            <w:rPr>
              <w:rFonts w:eastAsia="MS Gothic"/>
              <w:b/>
              <w:bCs/>
              <w:color w:val="365F91"/>
              <w:sz w:val="32"/>
              <w:szCs w:val="28"/>
              <w:lang w:val="en-GB" w:eastAsia="ja-JP"/>
            </w:rPr>
          </w:pPr>
          <w:r w:rsidRPr="00C96521">
            <w:rPr>
              <w:rFonts w:eastAsia="MS Gothic"/>
              <w:b/>
              <w:bCs/>
              <w:color w:val="365F91"/>
              <w:sz w:val="32"/>
              <w:szCs w:val="28"/>
              <w:lang w:val="en-GB" w:eastAsia="ja-JP"/>
            </w:rPr>
            <w:t>Contents</w:t>
          </w:r>
        </w:p>
        <w:p w14:paraId="7F2B26F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5840E6E" w14:textId="56A317C9" w:rsidR="00C96521" w:rsidRPr="00C96521" w:rsidRDefault="00C96521"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r w:rsidRPr="00C96521">
            <w:rPr>
              <w:rFonts w:eastAsia="MS Mincho"/>
              <w:b/>
              <w:sz w:val="20"/>
              <w:szCs w:val="22"/>
              <w:lang w:val="en-GB" w:eastAsia="ja-JP"/>
            </w:rPr>
            <w:fldChar w:fldCharType="begin"/>
          </w:r>
          <w:r w:rsidRPr="00C96521">
            <w:rPr>
              <w:rFonts w:eastAsia="MS Mincho"/>
              <w:b/>
              <w:sz w:val="20"/>
              <w:szCs w:val="22"/>
              <w:lang w:val="en-GB" w:eastAsia="ja-JP"/>
            </w:rPr>
            <w:instrText xml:space="preserve"> TOC \o "1-3" \h \z \u </w:instrText>
          </w:r>
          <w:r w:rsidRPr="00C96521">
            <w:rPr>
              <w:rFonts w:eastAsia="MS Mincho"/>
              <w:b/>
              <w:sz w:val="20"/>
              <w:szCs w:val="22"/>
              <w:lang w:val="en-GB" w:eastAsia="ja-JP"/>
            </w:rPr>
            <w:fldChar w:fldCharType="separate"/>
          </w:r>
          <w:hyperlink w:anchor="_Toc478646889" w:history="1">
            <w:r w:rsidRPr="00C96521">
              <w:rPr>
                <w:rFonts w:eastAsia="MS Mincho"/>
                <w:b/>
                <w:noProof/>
                <w:sz w:val="20"/>
                <w:szCs w:val="22"/>
                <w:u w:val="single"/>
                <w:lang w:val="en-GB" w:eastAsia="ja-JP"/>
              </w:rPr>
              <w:t>1 - Basic Data</w:t>
            </w:r>
            <w:r w:rsidRPr="00C96521">
              <w:rPr>
                <w:rFonts w:eastAsia="MS Mincho"/>
                <w:b/>
                <w:noProof/>
                <w:webHidden/>
                <w:sz w:val="20"/>
                <w:szCs w:val="22"/>
                <w:lang w:val="en-GB" w:eastAsia="ja-JP"/>
              </w:rPr>
              <w:tab/>
            </w:r>
            <w:r w:rsidRPr="00C96521">
              <w:rPr>
                <w:rFonts w:eastAsia="MS Mincho"/>
                <w:b/>
                <w:noProof/>
                <w:webHidden/>
                <w:sz w:val="20"/>
                <w:szCs w:val="22"/>
                <w:lang w:val="en-GB" w:eastAsia="ja-JP"/>
              </w:rPr>
              <w:fldChar w:fldCharType="begin"/>
            </w:r>
            <w:r w:rsidRPr="00C96521">
              <w:rPr>
                <w:rFonts w:eastAsia="MS Mincho"/>
                <w:b/>
                <w:noProof/>
                <w:webHidden/>
                <w:sz w:val="20"/>
                <w:szCs w:val="22"/>
                <w:lang w:val="en-GB" w:eastAsia="ja-JP"/>
              </w:rPr>
              <w:instrText xml:space="preserve"> PAGEREF _Toc478646889 \h </w:instrText>
            </w:r>
            <w:r w:rsidRPr="00C96521">
              <w:rPr>
                <w:rFonts w:eastAsia="MS Mincho"/>
                <w:b/>
                <w:noProof/>
                <w:webHidden/>
                <w:sz w:val="20"/>
                <w:szCs w:val="22"/>
                <w:lang w:val="en-GB" w:eastAsia="ja-JP"/>
              </w:rPr>
            </w:r>
            <w:r w:rsidRPr="00C96521">
              <w:rPr>
                <w:rFonts w:eastAsia="MS Mincho"/>
                <w:b/>
                <w:noProof/>
                <w:webHidden/>
                <w:sz w:val="20"/>
                <w:szCs w:val="22"/>
                <w:lang w:val="en-GB" w:eastAsia="ja-JP"/>
              </w:rPr>
              <w:fldChar w:fldCharType="separate"/>
            </w:r>
            <w:r w:rsidR="00517734">
              <w:rPr>
                <w:rFonts w:eastAsia="MS Mincho"/>
                <w:b/>
                <w:noProof/>
                <w:webHidden/>
                <w:sz w:val="20"/>
                <w:szCs w:val="22"/>
                <w:lang w:val="en-GB" w:eastAsia="ja-JP"/>
              </w:rPr>
              <w:t>9</w:t>
            </w:r>
            <w:r w:rsidRPr="00C96521">
              <w:rPr>
                <w:rFonts w:eastAsia="MS Mincho"/>
                <w:b/>
                <w:noProof/>
                <w:webHidden/>
                <w:sz w:val="20"/>
                <w:szCs w:val="22"/>
                <w:lang w:val="en-GB" w:eastAsia="ja-JP"/>
              </w:rPr>
              <w:fldChar w:fldCharType="end"/>
            </w:r>
          </w:hyperlink>
        </w:p>
        <w:p w14:paraId="262A6D4D" w14:textId="6803F7AD"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890" w:history="1">
            <w:r w:rsidR="00C96521" w:rsidRPr="00C96521">
              <w:rPr>
                <w:rFonts w:eastAsia="MS Mincho"/>
                <w:noProof/>
                <w:sz w:val="20"/>
                <w:szCs w:val="22"/>
                <w:u w:val="single"/>
                <w:lang w:val="en-GB" w:eastAsia="ja-JP"/>
              </w:rPr>
              <w:t>Taxonomy and bio-geographic populations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_Toc478646890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9</w:t>
            </w:r>
            <w:r w:rsidR="00C96521" w:rsidRPr="00C96521">
              <w:rPr>
                <w:rFonts w:eastAsia="MS Mincho"/>
                <w:noProof/>
                <w:webHidden/>
                <w:sz w:val="20"/>
                <w:szCs w:val="22"/>
                <w:lang w:val="en-GB" w:eastAsia="ja-JP"/>
              </w:rPr>
              <w:fldChar w:fldCharType="end"/>
            </w:r>
          </w:hyperlink>
        </w:p>
        <w:p w14:paraId="44AFE68F" w14:textId="1CA2DCE5"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891" w:history="1">
            <w:r w:rsidR="00C96521" w:rsidRPr="00C96521">
              <w:rPr>
                <w:rFonts w:eastAsia="MS Mincho"/>
                <w:noProof/>
                <w:sz w:val="20"/>
                <w:szCs w:val="22"/>
                <w:u w:val="single"/>
                <w:lang w:val="en-GB" w:eastAsia="ja-JP"/>
              </w:rPr>
              <w:t>Relevant policy and legislation</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_Toc478646891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11</w:t>
            </w:r>
            <w:r w:rsidR="00C96521" w:rsidRPr="00C96521">
              <w:rPr>
                <w:rFonts w:eastAsia="MS Mincho"/>
                <w:noProof/>
                <w:webHidden/>
                <w:sz w:val="20"/>
                <w:szCs w:val="22"/>
                <w:lang w:val="en-GB" w:eastAsia="ja-JP"/>
              </w:rPr>
              <w:fldChar w:fldCharType="end"/>
            </w:r>
          </w:hyperlink>
        </w:p>
        <w:p w14:paraId="2B2CCFA5" w14:textId="53B00FB0" w:rsidR="00C96521" w:rsidRPr="00C96521" w:rsidRDefault="00517734"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892" w:history="1">
            <w:r w:rsidR="00C96521" w:rsidRPr="00C96521">
              <w:rPr>
                <w:rFonts w:eastAsia="MS Mincho"/>
                <w:noProof/>
                <w:sz w:val="20"/>
                <w:szCs w:val="22"/>
                <w:u w:val="single"/>
                <w:lang w:val="en-GB" w:eastAsia="ja-JP"/>
              </w:rPr>
              <w:t>International conservation status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_Toc478646892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11</w:t>
            </w:r>
            <w:r w:rsidR="00C96521" w:rsidRPr="00C96521">
              <w:rPr>
                <w:rFonts w:eastAsia="MS Mincho"/>
                <w:noProof/>
                <w:webHidden/>
                <w:sz w:val="20"/>
                <w:szCs w:val="22"/>
                <w:lang w:val="en-GB" w:eastAsia="ja-JP"/>
              </w:rPr>
              <w:fldChar w:fldCharType="end"/>
            </w:r>
          </w:hyperlink>
        </w:p>
        <w:p w14:paraId="7126C2A8" w14:textId="2BE46354" w:rsidR="00C96521" w:rsidRPr="00C96521" w:rsidRDefault="00517734"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893" w:history="1">
            <w:r w:rsidR="00C96521" w:rsidRPr="00C96521">
              <w:rPr>
                <w:rFonts w:eastAsia="MS Mincho"/>
                <w:noProof/>
                <w:sz w:val="20"/>
                <w:szCs w:val="22"/>
                <w:u w:val="single"/>
                <w:lang w:val="en-GB" w:eastAsia="ja-JP"/>
              </w:rPr>
              <w:t>International and European protection policy and legislation</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_Toc478646893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12</w:t>
            </w:r>
            <w:r w:rsidR="00C96521" w:rsidRPr="00C96521">
              <w:rPr>
                <w:rFonts w:eastAsia="MS Mincho"/>
                <w:noProof/>
                <w:webHidden/>
                <w:sz w:val="20"/>
                <w:szCs w:val="22"/>
                <w:lang w:val="en-GB" w:eastAsia="ja-JP"/>
              </w:rPr>
              <w:fldChar w:fldCharType="end"/>
            </w:r>
          </w:hyperlink>
        </w:p>
        <w:p w14:paraId="77069F70" w14:textId="291EEE37" w:rsidR="00C96521" w:rsidRPr="00C96521" w:rsidRDefault="00517734"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894" w:history="1">
            <w:r w:rsidR="00C96521" w:rsidRPr="00C96521">
              <w:rPr>
                <w:rFonts w:eastAsia="MS Mincho"/>
                <w:noProof/>
                <w:sz w:val="20"/>
                <w:szCs w:val="22"/>
                <w:u w:val="single"/>
                <w:lang w:val="en-GB" w:eastAsia="ja-JP"/>
              </w:rPr>
              <w:t>Other relevant international policy and legislation</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_Toc478646894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12</w:t>
            </w:r>
            <w:r w:rsidR="00C96521" w:rsidRPr="00C96521">
              <w:rPr>
                <w:rFonts w:eastAsia="MS Mincho"/>
                <w:noProof/>
                <w:webHidden/>
                <w:sz w:val="20"/>
                <w:szCs w:val="22"/>
                <w:lang w:val="en-GB" w:eastAsia="ja-JP"/>
              </w:rPr>
              <w:fldChar w:fldCharType="end"/>
            </w:r>
          </w:hyperlink>
        </w:p>
        <w:p w14:paraId="541F87FE" w14:textId="44610169" w:rsidR="00C96521" w:rsidRPr="00C96521" w:rsidRDefault="00517734"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895" w:history="1">
            <w:r w:rsidR="00C96521" w:rsidRPr="00C96521">
              <w:rPr>
                <w:rFonts w:eastAsia="MS Mincho"/>
                <w:noProof/>
                <w:sz w:val="20"/>
                <w:szCs w:val="22"/>
                <w:u w:val="single"/>
                <w:lang w:val="en-GB" w:eastAsia="ja-JP"/>
              </w:rPr>
              <w:t>National policies and legislation</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_Toc478646895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13</w:t>
            </w:r>
            <w:r w:rsidR="00C96521" w:rsidRPr="00C96521">
              <w:rPr>
                <w:rFonts w:eastAsia="MS Mincho"/>
                <w:noProof/>
                <w:webHidden/>
                <w:sz w:val="20"/>
                <w:szCs w:val="22"/>
                <w:lang w:val="en-GB" w:eastAsia="ja-JP"/>
              </w:rPr>
              <w:fldChar w:fldCharType="end"/>
            </w:r>
          </w:hyperlink>
        </w:p>
        <w:p w14:paraId="58B1024C" w14:textId="3DDED323" w:rsidR="00C96521" w:rsidRPr="00C96521" w:rsidRDefault="00517734"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896" w:history="1">
            <w:r w:rsidR="00C96521" w:rsidRPr="00C96521">
              <w:rPr>
                <w:rFonts w:eastAsia="MS Mincho"/>
                <w:noProof/>
                <w:sz w:val="20"/>
                <w:szCs w:val="22"/>
                <w:u w:val="single"/>
                <w:lang w:val="en-GB" w:eastAsia="ja-JP"/>
              </w:rPr>
              <w:t>Regulated use and management of the species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_Toc478646896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13</w:t>
            </w:r>
            <w:r w:rsidR="00C96521" w:rsidRPr="00C96521">
              <w:rPr>
                <w:rFonts w:eastAsia="MS Mincho"/>
                <w:noProof/>
                <w:webHidden/>
                <w:sz w:val="20"/>
                <w:szCs w:val="22"/>
                <w:lang w:val="en-GB" w:eastAsia="ja-JP"/>
              </w:rPr>
              <w:fldChar w:fldCharType="end"/>
            </w:r>
          </w:hyperlink>
        </w:p>
        <w:p w14:paraId="19B21473" w14:textId="204D9B4C" w:rsidR="00C96521" w:rsidRPr="00C96521" w:rsidRDefault="00517734"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897" w:history="1">
            <w:r w:rsidR="00C96521" w:rsidRPr="00C96521">
              <w:rPr>
                <w:rFonts w:eastAsia="MS Mincho"/>
                <w:b/>
                <w:noProof/>
                <w:sz w:val="20"/>
                <w:szCs w:val="22"/>
                <w:u w:val="single"/>
                <w:lang w:val="en-GB" w:eastAsia="ja-JP"/>
              </w:rPr>
              <w:t>2 - FRAMEWORK FOR ACTION</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_Toc478646897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Pr>
                <w:rFonts w:eastAsia="MS Mincho"/>
                <w:b/>
                <w:noProof/>
                <w:webHidden/>
                <w:sz w:val="20"/>
                <w:szCs w:val="22"/>
                <w:lang w:val="en-GB" w:eastAsia="ja-JP"/>
              </w:rPr>
              <w:t>16</w:t>
            </w:r>
            <w:r w:rsidR="00C96521" w:rsidRPr="00C96521">
              <w:rPr>
                <w:rFonts w:eastAsia="MS Mincho"/>
                <w:b/>
                <w:noProof/>
                <w:webHidden/>
                <w:sz w:val="20"/>
                <w:szCs w:val="22"/>
                <w:lang w:val="en-GB" w:eastAsia="ja-JP"/>
              </w:rPr>
              <w:fldChar w:fldCharType="end"/>
            </w:r>
          </w:hyperlink>
        </w:p>
        <w:p w14:paraId="5FC73666" w14:textId="5804B8B5"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898" w:history="1">
            <w:r w:rsidR="00C96521" w:rsidRPr="00C96521">
              <w:rPr>
                <w:rFonts w:eastAsia="MS Mincho"/>
                <w:noProof/>
                <w:sz w:val="20"/>
                <w:szCs w:val="22"/>
                <w:u w:val="single"/>
                <w:lang w:val="en-GB" w:eastAsia="ja-JP"/>
              </w:rPr>
              <w:t>Goal</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_Toc478646898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16</w:t>
            </w:r>
            <w:r w:rsidR="00C96521" w:rsidRPr="00C96521">
              <w:rPr>
                <w:rFonts w:eastAsia="MS Mincho"/>
                <w:noProof/>
                <w:webHidden/>
                <w:sz w:val="20"/>
                <w:szCs w:val="22"/>
                <w:lang w:val="en-GB" w:eastAsia="ja-JP"/>
              </w:rPr>
              <w:fldChar w:fldCharType="end"/>
            </w:r>
          </w:hyperlink>
        </w:p>
        <w:p w14:paraId="787ED0DA" w14:textId="4AFCD9EB"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899" w:history="1">
            <w:r w:rsidR="00C96521" w:rsidRPr="00C96521">
              <w:rPr>
                <w:rFonts w:eastAsia="MS Mincho"/>
                <w:noProof/>
                <w:sz w:val="20"/>
                <w:szCs w:val="22"/>
                <w:u w:val="single"/>
                <w:lang w:val="en-GB" w:eastAsia="ja-JP"/>
              </w:rPr>
              <w:t>High Level Objective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_Toc478646899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16</w:t>
            </w:r>
            <w:r w:rsidR="00C96521" w:rsidRPr="00C96521">
              <w:rPr>
                <w:rFonts w:eastAsia="MS Mincho"/>
                <w:noProof/>
                <w:webHidden/>
                <w:sz w:val="20"/>
                <w:szCs w:val="22"/>
                <w:lang w:val="en-GB" w:eastAsia="ja-JP"/>
              </w:rPr>
              <w:fldChar w:fldCharType="end"/>
            </w:r>
          </w:hyperlink>
        </w:p>
        <w:p w14:paraId="341F2751" w14:textId="14789883"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0" w:history="1">
            <w:r w:rsidR="00C96521" w:rsidRPr="00C96521">
              <w:rPr>
                <w:rFonts w:eastAsia="MS Mincho"/>
                <w:noProof/>
                <w:sz w:val="20"/>
                <w:szCs w:val="22"/>
                <w:u w:val="single"/>
                <w:lang w:val="en-GB" w:eastAsia="ja-JP"/>
              </w:rPr>
              <w:t>Results and actions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_Toc478646900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16</w:t>
            </w:r>
            <w:r w:rsidR="00C96521" w:rsidRPr="00C96521">
              <w:rPr>
                <w:rFonts w:eastAsia="MS Mincho"/>
                <w:noProof/>
                <w:webHidden/>
                <w:sz w:val="20"/>
                <w:szCs w:val="22"/>
                <w:lang w:val="en-GB" w:eastAsia="ja-JP"/>
              </w:rPr>
              <w:fldChar w:fldCharType="end"/>
            </w:r>
          </w:hyperlink>
        </w:p>
        <w:p w14:paraId="2A342C76" w14:textId="47C07AEA" w:rsidR="00C96521" w:rsidRPr="00C96521" w:rsidRDefault="00517734"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01" w:history="1">
            <w:r w:rsidR="00C96521" w:rsidRPr="00C96521">
              <w:rPr>
                <w:rFonts w:eastAsia="MS Mincho"/>
                <w:b/>
                <w:noProof/>
                <w:sz w:val="20"/>
                <w:szCs w:val="22"/>
                <w:u w:val="single"/>
                <w:lang w:val="en-GB" w:eastAsia="ja-JP"/>
              </w:rPr>
              <w:t>Annex 1 - BIOLOGICAL ASSESSMENT</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_Toc478646901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Pr>
                <w:rFonts w:eastAsia="MS Mincho"/>
                <w:b/>
                <w:noProof/>
                <w:webHidden/>
                <w:sz w:val="20"/>
                <w:szCs w:val="22"/>
                <w:lang w:val="en-GB" w:eastAsia="ja-JP"/>
              </w:rPr>
              <w:t>38</w:t>
            </w:r>
            <w:r w:rsidR="00C96521" w:rsidRPr="00C96521">
              <w:rPr>
                <w:rFonts w:eastAsia="MS Mincho"/>
                <w:b/>
                <w:noProof/>
                <w:webHidden/>
                <w:sz w:val="20"/>
                <w:szCs w:val="22"/>
                <w:lang w:val="en-GB" w:eastAsia="ja-JP"/>
              </w:rPr>
              <w:fldChar w:fldCharType="end"/>
            </w:r>
          </w:hyperlink>
        </w:p>
        <w:p w14:paraId="2E9A8322" w14:textId="0D4CB079"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2" w:history="1">
            <w:r w:rsidR="00C96521" w:rsidRPr="00C96521">
              <w:rPr>
                <w:rFonts w:eastAsia="MS Mincho"/>
                <w:noProof/>
                <w:sz w:val="20"/>
                <w:szCs w:val="22"/>
                <w:u w:val="single"/>
                <w:lang w:val="en-GB" w:eastAsia="ja-JP"/>
              </w:rPr>
              <w:t>Distribution throughout the annual cycle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_Toc478646902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38</w:t>
            </w:r>
            <w:r w:rsidR="00C96521" w:rsidRPr="00C96521">
              <w:rPr>
                <w:rFonts w:eastAsia="MS Mincho"/>
                <w:noProof/>
                <w:webHidden/>
                <w:sz w:val="20"/>
                <w:szCs w:val="22"/>
                <w:lang w:val="en-GB" w:eastAsia="ja-JP"/>
              </w:rPr>
              <w:fldChar w:fldCharType="end"/>
            </w:r>
          </w:hyperlink>
        </w:p>
        <w:p w14:paraId="78A58823" w14:textId="6B791DF0"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3" w:history="1">
            <w:r w:rsidR="00C96521" w:rsidRPr="00C96521">
              <w:rPr>
                <w:rFonts w:eastAsia="MS Mincho"/>
                <w:noProof/>
                <w:sz w:val="20"/>
                <w:szCs w:val="22"/>
                <w:u w:val="single"/>
                <w:lang w:val="en-GB" w:eastAsia="ja-JP"/>
              </w:rPr>
              <w:t>Habitat requirements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_Toc478646903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41</w:t>
            </w:r>
            <w:r w:rsidR="00C96521" w:rsidRPr="00C96521">
              <w:rPr>
                <w:rFonts w:eastAsia="MS Mincho"/>
                <w:noProof/>
                <w:webHidden/>
                <w:sz w:val="20"/>
                <w:szCs w:val="22"/>
                <w:lang w:val="en-GB" w:eastAsia="ja-JP"/>
              </w:rPr>
              <w:fldChar w:fldCharType="end"/>
            </w:r>
          </w:hyperlink>
        </w:p>
        <w:p w14:paraId="0164B04A" w14:textId="2D756C14"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4" w:history="1">
            <w:r w:rsidR="00C96521" w:rsidRPr="00C96521">
              <w:rPr>
                <w:rFonts w:eastAsia="MS Mincho"/>
                <w:noProof/>
                <w:sz w:val="20"/>
                <w:szCs w:val="22"/>
                <w:u w:val="single"/>
                <w:lang w:val="en-GB" w:eastAsia="ja-JP"/>
              </w:rPr>
              <w:t>Breakdown of turtle-dove habitat use across Europe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_Toc478646904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42</w:t>
            </w:r>
            <w:r w:rsidR="00C96521" w:rsidRPr="00C96521">
              <w:rPr>
                <w:rFonts w:eastAsia="MS Mincho"/>
                <w:noProof/>
                <w:webHidden/>
                <w:sz w:val="20"/>
                <w:szCs w:val="22"/>
                <w:lang w:val="en-GB" w:eastAsia="ja-JP"/>
              </w:rPr>
              <w:fldChar w:fldCharType="end"/>
            </w:r>
          </w:hyperlink>
        </w:p>
        <w:p w14:paraId="0ECBA6E1" w14:textId="407D9867"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5" w:history="1">
            <w:r w:rsidR="00C96521" w:rsidRPr="00C96521">
              <w:rPr>
                <w:rFonts w:eastAsia="MS Mincho"/>
                <w:noProof/>
                <w:sz w:val="20"/>
                <w:szCs w:val="22"/>
                <w:u w:val="single"/>
                <w:lang w:val="en-GB" w:eastAsia="ja-JP"/>
              </w:rPr>
              <w:t>Survival and productivity</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_Toc478646905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46</w:t>
            </w:r>
            <w:r w:rsidR="00C96521" w:rsidRPr="00C96521">
              <w:rPr>
                <w:rFonts w:eastAsia="MS Mincho"/>
                <w:noProof/>
                <w:webHidden/>
                <w:sz w:val="20"/>
                <w:szCs w:val="22"/>
                <w:lang w:val="en-GB" w:eastAsia="ja-JP"/>
              </w:rPr>
              <w:fldChar w:fldCharType="end"/>
            </w:r>
          </w:hyperlink>
        </w:p>
        <w:p w14:paraId="35CDCEB8" w14:textId="6AAE76A8"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6" w:history="1">
            <w:r w:rsidR="00C96521" w:rsidRPr="00C96521">
              <w:rPr>
                <w:rFonts w:eastAsia="MS Mincho"/>
                <w:noProof/>
                <w:sz w:val="20"/>
                <w:szCs w:val="22"/>
                <w:u w:val="single"/>
                <w:lang w:val="en-GB" w:eastAsia="ja-JP"/>
              </w:rPr>
              <w:t>Population size and trend</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_Toc478646906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48</w:t>
            </w:r>
            <w:r w:rsidR="00C96521" w:rsidRPr="00C96521">
              <w:rPr>
                <w:rFonts w:eastAsia="MS Mincho"/>
                <w:noProof/>
                <w:webHidden/>
                <w:sz w:val="20"/>
                <w:szCs w:val="22"/>
                <w:lang w:val="en-GB" w:eastAsia="ja-JP"/>
              </w:rPr>
              <w:fldChar w:fldCharType="end"/>
            </w:r>
          </w:hyperlink>
        </w:p>
        <w:p w14:paraId="33804B0A" w14:textId="38CF9B9B"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7" w:history="1">
            <w:r w:rsidR="00C96521" w:rsidRPr="00C96521">
              <w:rPr>
                <w:rFonts w:eastAsia="MS Mincho"/>
                <w:noProof/>
                <w:sz w:val="20"/>
                <w:szCs w:val="22"/>
                <w:u w:val="single"/>
                <w:lang w:val="en-GB" w:eastAsia="ja-JP"/>
              </w:rPr>
              <w:t>Breakdown of turtle-dove population trends across Europe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_Toc478646907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58</w:t>
            </w:r>
            <w:r w:rsidR="00C96521" w:rsidRPr="00C96521">
              <w:rPr>
                <w:rFonts w:eastAsia="MS Mincho"/>
                <w:noProof/>
                <w:webHidden/>
                <w:sz w:val="20"/>
                <w:szCs w:val="22"/>
                <w:lang w:val="en-GB" w:eastAsia="ja-JP"/>
              </w:rPr>
              <w:fldChar w:fldCharType="end"/>
            </w:r>
          </w:hyperlink>
        </w:p>
        <w:p w14:paraId="5BCB86DD" w14:textId="5495FD01" w:rsidR="00C96521" w:rsidRPr="00C96521" w:rsidRDefault="00517734"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08" w:history="1">
            <w:r w:rsidR="00C96521" w:rsidRPr="00C96521">
              <w:rPr>
                <w:rFonts w:eastAsia="MS Mincho"/>
                <w:b/>
                <w:noProof/>
                <w:sz w:val="20"/>
                <w:szCs w:val="22"/>
                <w:u w:val="single"/>
                <w:lang w:val="en-GB" w:eastAsia="ja-JP"/>
              </w:rPr>
              <w:t>Annex 2: PROBLEM ANALYSIS</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_Toc478646908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Pr>
                <w:rFonts w:eastAsia="MS Mincho"/>
                <w:b/>
                <w:noProof/>
                <w:webHidden/>
                <w:sz w:val="20"/>
                <w:szCs w:val="22"/>
                <w:lang w:val="en-GB" w:eastAsia="ja-JP"/>
              </w:rPr>
              <w:t>64</w:t>
            </w:r>
            <w:r w:rsidR="00C96521" w:rsidRPr="00C96521">
              <w:rPr>
                <w:rFonts w:eastAsia="MS Mincho"/>
                <w:b/>
                <w:noProof/>
                <w:webHidden/>
                <w:sz w:val="20"/>
                <w:szCs w:val="22"/>
                <w:lang w:val="en-GB" w:eastAsia="ja-JP"/>
              </w:rPr>
              <w:fldChar w:fldCharType="end"/>
            </w:r>
          </w:hyperlink>
        </w:p>
        <w:p w14:paraId="2A01AA06" w14:textId="49343534"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9" w:history="1">
            <w:r w:rsidR="00C96521" w:rsidRPr="00C96521">
              <w:rPr>
                <w:rFonts w:eastAsia="MS Mincho"/>
                <w:noProof/>
                <w:sz w:val="20"/>
                <w:szCs w:val="22"/>
                <w:u w:val="single"/>
                <w:lang w:val="en-GB" w:eastAsia="ja-JP"/>
              </w:rPr>
              <w:t>General overview</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_Toc478646909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64</w:t>
            </w:r>
            <w:r w:rsidR="00C96521" w:rsidRPr="00C96521">
              <w:rPr>
                <w:rFonts w:eastAsia="MS Mincho"/>
                <w:noProof/>
                <w:webHidden/>
                <w:sz w:val="20"/>
                <w:szCs w:val="22"/>
                <w:lang w:val="en-GB" w:eastAsia="ja-JP"/>
              </w:rPr>
              <w:fldChar w:fldCharType="end"/>
            </w:r>
          </w:hyperlink>
        </w:p>
        <w:p w14:paraId="1CE46493" w14:textId="12F0DF2B"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10" w:history="1">
            <w:r w:rsidR="00C96521" w:rsidRPr="00C96521">
              <w:rPr>
                <w:rFonts w:eastAsia="MS Mincho"/>
                <w:noProof/>
                <w:sz w:val="20"/>
                <w:szCs w:val="22"/>
                <w:u w:val="single"/>
                <w:lang w:val="en-GB" w:eastAsia="ja-JP"/>
              </w:rPr>
              <w:t>Habitat loss/modification</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_Toc478646910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64</w:t>
            </w:r>
            <w:r w:rsidR="00C96521" w:rsidRPr="00C96521">
              <w:rPr>
                <w:rFonts w:eastAsia="MS Mincho"/>
                <w:noProof/>
                <w:webHidden/>
                <w:sz w:val="20"/>
                <w:szCs w:val="22"/>
                <w:lang w:val="en-GB" w:eastAsia="ja-JP"/>
              </w:rPr>
              <w:fldChar w:fldCharType="end"/>
            </w:r>
          </w:hyperlink>
        </w:p>
        <w:p w14:paraId="00F31E51" w14:textId="5E1F8EEC"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11" w:history="1">
            <w:r w:rsidR="00C96521" w:rsidRPr="00C96521">
              <w:rPr>
                <w:rFonts w:eastAsia="MS Mincho"/>
                <w:noProof/>
                <w:sz w:val="20"/>
                <w:szCs w:val="22"/>
                <w:u w:val="single"/>
                <w:lang w:val="en-GB" w:eastAsia="ja-JP"/>
              </w:rPr>
              <w:t>Illegal killing</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_Toc478646911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67</w:t>
            </w:r>
            <w:r w:rsidR="00C96521" w:rsidRPr="00C96521">
              <w:rPr>
                <w:rFonts w:eastAsia="MS Mincho"/>
                <w:noProof/>
                <w:webHidden/>
                <w:sz w:val="20"/>
                <w:szCs w:val="22"/>
                <w:lang w:val="en-GB" w:eastAsia="ja-JP"/>
              </w:rPr>
              <w:fldChar w:fldCharType="end"/>
            </w:r>
          </w:hyperlink>
        </w:p>
        <w:p w14:paraId="09DEC4C6" w14:textId="4D2A5B80"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12" w:history="1">
            <w:r w:rsidR="00C96521" w:rsidRPr="00C96521">
              <w:rPr>
                <w:rFonts w:eastAsia="MS Mincho"/>
                <w:noProof/>
                <w:sz w:val="20"/>
                <w:szCs w:val="22"/>
                <w:u w:val="single"/>
                <w:lang w:val="en-GB" w:eastAsia="ja-JP"/>
              </w:rPr>
              <w:t>Hunting</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_Toc478646912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68</w:t>
            </w:r>
            <w:r w:rsidR="00C96521" w:rsidRPr="00C96521">
              <w:rPr>
                <w:rFonts w:eastAsia="MS Mincho"/>
                <w:noProof/>
                <w:webHidden/>
                <w:sz w:val="20"/>
                <w:szCs w:val="22"/>
                <w:lang w:val="en-GB" w:eastAsia="ja-JP"/>
              </w:rPr>
              <w:fldChar w:fldCharType="end"/>
            </w:r>
          </w:hyperlink>
        </w:p>
        <w:p w14:paraId="422F8E03" w14:textId="75634D09"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13" w:history="1">
            <w:r w:rsidR="00C96521" w:rsidRPr="00C96521">
              <w:rPr>
                <w:rFonts w:eastAsia="MS Mincho"/>
                <w:noProof/>
                <w:sz w:val="20"/>
                <w:szCs w:val="22"/>
                <w:u w:val="single"/>
                <w:lang w:val="en-GB" w:eastAsia="ja-JP"/>
              </w:rPr>
              <w:t>Other threats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_Toc478646913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75</w:t>
            </w:r>
            <w:r w:rsidR="00C96521" w:rsidRPr="00C96521">
              <w:rPr>
                <w:rFonts w:eastAsia="MS Mincho"/>
                <w:noProof/>
                <w:webHidden/>
                <w:sz w:val="20"/>
                <w:szCs w:val="22"/>
                <w:lang w:val="en-GB" w:eastAsia="ja-JP"/>
              </w:rPr>
              <w:fldChar w:fldCharType="end"/>
            </w:r>
          </w:hyperlink>
        </w:p>
        <w:p w14:paraId="3567E344" w14:textId="7DC6446D" w:rsidR="00C96521" w:rsidRPr="00C96521" w:rsidRDefault="00517734"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914" w:history="1">
            <w:r w:rsidR="00C96521" w:rsidRPr="00C96521">
              <w:rPr>
                <w:rFonts w:eastAsia="MS Mincho"/>
                <w:noProof/>
                <w:sz w:val="20"/>
                <w:szCs w:val="22"/>
                <w:u w:val="single"/>
                <w:lang w:val="en-GB" w:eastAsia="ja-JP"/>
              </w:rPr>
              <w:t>Pesticides, agricultural chemicals and lead shot</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_Toc478646914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75</w:t>
            </w:r>
            <w:r w:rsidR="00C96521" w:rsidRPr="00C96521">
              <w:rPr>
                <w:rFonts w:eastAsia="MS Mincho"/>
                <w:noProof/>
                <w:webHidden/>
                <w:sz w:val="20"/>
                <w:szCs w:val="22"/>
                <w:lang w:val="en-GB" w:eastAsia="ja-JP"/>
              </w:rPr>
              <w:fldChar w:fldCharType="end"/>
            </w:r>
          </w:hyperlink>
        </w:p>
        <w:p w14:paraId="6D868583" w14:textId="2AEC5F42" w:rsidR="00C96521" w:rsidRPr="00C96521" w:rsidRDefault="00517734"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915" w:history="1">
            <w:r w:rsidR="00C96521" w:rsidRPr="00C96521">
              <w:rPr>
                <w:rFonts w:eastAsia="MS Mincho"/>
                <w:noProof/>
                <w:sz w:val="20"/>
                <w:szCs w:val="22"/>
                <w:u w:val="single"/>
                <w:lang w:val="en-GB" w:eastAsia="ja-JP"/>
              </w:rPr>
              <w:t>Drought and climate change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_Toc478646915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76</w:t>
            </w:r>
            <w:r w:rsidR="00C96521" w:rsidRPr="00C96521">
              <w:rPr>
                <w:rFonts w:eastAsia="MS Mincho"/>
                <w:noProof/>
                <w:webHidden/>
                <w:sz w:val="20"/>
                <w:szCs w:val="22"/>
                <w:lang w:val="en-GB" w:eastAsia="ja-JP"/>
              </w:rPr>
              <w:fldChar w:fldCharType="end"/>
            </w:r>
          </w:hyperlink>
        </w:p>
        <w:p w14:paraId="5CBCDC50" w14:textId="6648255A" w:rsidR="00C96521" w:rsidRPr="00C96521" w:rsidRDefault="00517734"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916" w:history="1">
            <w:r w:rsidR="00C96521" w:rsidRPr="00C96521">
              <w:rPr>
                <w:rFonts w:eastAsia="MS Mincho"/>
                <w:noProof/>
                <w:sz w:val="20"/>
                <w:szCs w:val="22"/>
                <w:u w:val="single"/>
                <w:lang w:val="en-GB" w:eastAsia="ja-JP"/>
              </w:rPr>
              <w:t xml:space="preserve">Competition with </w:t>
            </w:r>
            <w:r w:rsidR="00BE5EF4">
              <w:rPr>
                <w:rFonts w:eastAsia="MS Mincho"/>
                <w:noProof/>
                <w:sz w:val="20"/>
                <w:szCs w:val="22"/>
                <w:u w:val="single"/>
                <w:lang w:val="en-GB" w:eastAsia="ja-JP"/>
              </w:rPr>
              <w:t>C</w:t>
            </w:r>
            <w:r w:rsidR="00C96521" w:rsidRPr="00C96521">
              <w:rPr>
                <w:rFonts w:eastAsia="MS Mincho"/>
                <w:noProof/>
                <w:sz w:val="20"/>
                <w:szCs w:val="22"/>
                <w:u w:val="single"/>
                <w:lang w:val="en-GB" w:eastAsia="ja-JP"/>
              </w:rPr>
              <w:t xml:space="preserve">ollared </w:t>
            </w:r>
            <w:r w:rsidR="00BE5EF4">
              <w:rPr>
                <w:rFonts w:eastAsia="MS Mincho"/>
                <w:noProof/>
                <w:sz w:val="20"/>
                <w:szCs w:val="22"/>
                <w:u w:val="single"/>
                <w:lang w:val="en-GB" w:eastAsia="ja-JP"/>
              </w:rPr>
              <w:t>D</w:t>
            </w:r>
            <w:r w:rsidR="00C96521" w:rsidRPr="00C96521">
              <w:rPr>
                <w:rFonts w:eastAsia="MS Mincho"/>
                <w:noProof/>
                <w:sz w:val="20"/>
                <w:szCs w:val="22"/>
                <w:u w:val="single"/>
                <w:lang w:val="en-GB" w:eastAsia="ja-JP"/>
              </w:rPr>
              <w:t>ove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_Toc478646916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76</w:t>
            </w:r>
            <w:r w:rsidR="00C96521" w:rsidRPr="00C96521">
              <w:rPr>
                <w:rFonts w:eastAsia="MS Mincho"/>
                <w:noProof/>
                <w:webHidden/>
                <w:sz w:val="20"/>
                <w:szCs w:val="22"/>
                <w:lang w:val="en-GB" w:eastAsia="ja-JP"/>
              </w:rPr>
              <w:fldChar w:fldCharType="end"/>
            </w:r>
          </w:hyperlink>
        </w:p>
        <w:p w14:paraId="545CCE4A" w14:textId="099202C4" w:rsidR="00C96521" w:rsidRPr="00C96521" w:rsidRDefault="00517734"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917" w:history="1">
            <w:r w:rsidR="00C96521" w:rsidRPr="00C96521">
              <w:rPr>
                <w:rFonts w:eastAsia="MS Mincho"/>
                <w:noProof/>
                <w:sz w:val="20"/>
                <w:szCs w:val="22"/>
                <w:u w:val="single"/>
                <w:shd w:val="clear" w:color="auto" w:fill="FFFFFF"/>
                <w:lang w:val="en-GB" w:eastAsia="ja-JP"/>
              </w:rPr>
              <w:t>Disease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_Toc478646917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77</w:t>
            </w:r>
            <w:r w:rsidR="00C96521" w:rsidRPr="00C96521">
              <w:rPr>
                <w:rFonts w:eastAsia="MS Mincho"/>
                <w:noProof/>
                <w:webHidden/>
                <w:sz w:val="20"/>
                <w:szCs w:val="22"/>
                <w:lang w:val="en-GB" w:eastAsia="ja-JP"/>
              </w:rPr>
              <w:fldChar w:fldCharType="end"/>
            </w:r>
          </w:hyperlink>
        </w:p>
        <w:p w14:paraId="0762D5F0" w14:textId="02E31BC9"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18" w:history="1">
            <w:r w:rsidR="00C96521" w:rsidRPr="00C96521">
              <w:rPr>
                <w:rFonts w:eastAsia="MS Mincho"/>
                <w:noProof/>
                <w:sz w:val="20"/>
                <w:szCs w:val="22"/>
                <w:u w:val="single"/>
                <w:lang w:val="en-GB" w:eastAsia="ja-JP"/>
              </w:rPr>
              <w:t>Problem tree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_Toc478646918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78</w:t>
            </w:r>
            <w:r w:rsidR="00C96521" w:rsidRPr="00C96521">
              <w:rPr>
                <w:rFonts w:eastAsia="MS Mincho"/>
                <w:noProof/>
                <w:webHidden/>
                <w:sz w:val="20"/>
                <w:szCs w:val="22"/>
                <w:lang w:val="en-GB" w:eastAsia="ja-JP"/>
              </w:rPr>
              <w:fldChar w:fldCharType="end"/>
            </w:r>
          </w:hyperlink>
        </w:p>
        <w:p w14:paraId="75B5FE9F" w14:textId="6B0200D3" w:rsidR="00C96521" w:rsidRPr="00C96521" w:rsidRDefault="00517734"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19" w:history="1">
            <w:r w:rsidR="00C96521" w:rsidRPr="00C96521">
              <w:rPr>
                <w:rFonts w:eastAsia="MS Mincho"/>
                <w:b/>
                <w:noProof/>
                <w:sz w:val="20"/>
                <w:szCs w:val="22"/>
                <w:u w:val="single"/>
                <w:lang w:val="en-GB" w:eastAsia="ja-JP"/>
              </w:rPr>
              <w:t>Annex 3: JUSTIFICATION OF CONSERVATION and/or MANAGEMENT OBJECTIVES</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_Toc478646919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Pr>
                <w:rFonts w:eastAsia="MS Mincho"/>
                <w:b/>
                <w:noProof/>
                <w:webHidden/>
                <w:sz w:val="20"/>
                <w:szCs w:val="22"/>
                <w:lang w:val="en-GB" w:eastAsia="ja-JP"/>
              </w:rPr>
              <w:t>79</w:t>
            </w:r>
            <w:r w:rsidR="00C96521" w:rsidRPr="00C96521">
              <w:rPr>
                <w:rFonts w:eastAsia="MS Mincho"/>
                <w:b/>
                <w:noProof/>
                <w:webHidden/>
                <w:sz w:val="20"/>
                <w:szCs w:val="22"/>
                <w:lang w:val="en-GB" w:eastAsia="ja-JP"/>
              </w:rPr>
              <w:fldChar w:fldCharType="end"/>
            </w:r>
          </w:hyperlink>
        </w:p>
        <w:p w14:paraId="61F620EE" w14:textId="14895600"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20" w:history="1">
            <w:r w:rsidR="00C96521" w:rsidRPr="00C96521">
              <w:rPr>
                <w:rFonts w:eastAsia="MS Mincho"/>
                <w:noProof/>
                <w:sz w:val="20"/>
                <w:szCs w:val="22"/>
                <w:u w:val="single"/>
                <w:lang w:val="en-GB" w:eastAsia="ja-JP"/>
              </w:rPr>
              <w:t>Habitat Creation and Management for Turtle</w:t>
            </w:r>
            <w:r w:rsidR="00BE5EF4">
              <w:rPr>
                <w:rFonts w:eastAsia="MS Mincho"/>
                <w:noProof/>
                <w:sz w:val="20"/>
                <w:szCs w:val="22"/>
                <w:u w:val="single"/>
                <w:lang w:val="en-GB" w:eastAsia="ja-JP"/>
              </w:rPr>
              <w:t xml:space="preserve"> D</w:t>
            </w:r>
            <w:r w:rsidR="00C96521" w:rsidRPr="00C96521">
              <w:rPr>
                <w:rFonts w:eastAsia="MS Mincho"/>
                <w:noProof/>
                <w:sz w:val="20"/>
                <w:szCs w:val="22"/>
                <w:u w:val="single"/>
                <w:lang w:val="en-GB" w:eastAsia="ja-JP"/>
              </w:rPr>
              <w:t>oves on the European Breeding Grounds: case studies of option research, development and deployment from the UK</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_Toc478646920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79</w:t>
            </w:r>
            <w:r w:rsidR="00C96521" w:rsidRPr="00C96521">
              <w:rPr>
                <w:rFonts w:eastAsia="MS Mincho"/>
                <w:noProof/>
                <w:webHidden/>
                <w:sz w:val="20"/>
                <w:szCs w:val="22"/>
                <w:lang w:val="en-GB" w:eastAsia="ja-JP"/>
              </w:rPr>
              <w:fldChar w:fldCharType="end"/>
            </w:r>
          </w:hyperlink>
        </w:p>
        <w:p w14:paraId="3A5A3E60" w14:textId="01FF2BB5"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21" w:history="1">
            <w:r w:rsidR="00C96521" w:rsidRPr="00C96521">
              <w:rPr>
                <w:rFonts w:eastAsia="MS Mincho"/>
                <w:noProof/>
                <w:sz w:val="20"/>
                <w:szCs w:val="22"/>
                <w:u w:val="single"/>
                <w:lang w:val="en-GB" w:eastAsia="ja-JP"/>
              </w:rPr>
              <w:t>Sample Countryside Stewardship Management Plan for SP9 Threatened Species Supplement</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_Toc478646921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88</w:t>
            </w:r>
            <w:r w:rsidR="00C96521" w:rsidRPr="00C96521">
              <w:rPr>
                <w:rFonts w:eastAsia="MS Mincho"/>
                <w:noProof/>
                <w:webHidden/>
                <w:sz w:val="20"/>
                <w:szCs w:val="22"/>
                <w:lang w:val="en-GB" w:eastAsia="ja-JP"/>
              </w:rPr>
              <w:fldChar w:fldCharType="end"/>
            </w:r>
          </w:hyperlink>
        </w:p>
        <w:p w14:paraId="3317C2A4" w14:textId="6CD43DA3" w:rsidR="00C96521" w:rsidRPr="00C96521" w:rsidRDefault="00517734"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22" w:history="1">
            <w:r w:rsidR="00C96521" w:rsidRPr="00C96521">
              <w:rPr>
                <w:rFonts w:eastAsia="MS Mincho"/>
                <w:b/>
                <w:noProof/>
                <w:sz w:val="20"/>
                <w:szCs w:val="22"/>
                <w:u w:val="single"/>
                <w:lang w:val="en-GB" w:eastAsia="ja-JP"/>
              </w:rPr>
              <w:t>Annex 4: ADAPTIVE HARVEST MANAGEMENT PLAN</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_Toc478646922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Pr>
                <w:rFonts w:eastAsia="MS Mincho"/>
                <w:b/>
                <w:noProof/>
                <w:webHidden/>
                <w:sz w:val="20"/>
                <w:szCs w:val="22"/>
                <w:lang w:val="en-GB" w:eastAsia="ja-JP"/>
              </w:rPr>
              <w:t>91</w:t>
            </w:r>
            <w:r w:rsidR="00C96521" w:rsidRPr="00C96521">
              <w:rPr>
                <w:rFonts w:eastAsia="MS Mincho"/>
                <w:b/>
                <w:noProof/>
                <w:webHidden/>
                <w:sz w:val="20"/>
                <w:szCs w:val="22"/>
                <w:lang w:val="en-GB" w:eastAsia="ja-JP"/>
              </w:rPr>
              <w:fldChar w:fldCharType="end"/>
            </w:r>
          </w:hyperlink>
        </w:p>
        <w:p w14:paraId="3192D848" w14:textId="2B2908DC" w:rsidR="00C96521" w:rsidRPr="00C96521" w:rsidRDefault="00517734"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23" w:history="1">
            <w:r w:rsidR="00C96521" w:rsidRPr="00C96521">
              <w:rPr>
                <w:rFonts w:eastAsia="MS Mincho"/>
                <w:noProof/>
                <w:sz w:val="20"/>
                <w:szCs w:val="22"/>
                <w:u w:val="single"/>
                <w:lang w:val="en-GB" w:eastAsia="ja-JP"/>
              </w:rPr>
              <w:t xml:space="preserve">Estimating hunting sustainability of </w:t>
            </w:r>
            <w:r w:rsidR="00BE5EF4">
              <w:rPr>
                <w:rFonts w:eastAsia="MS Mincho"/>
                <w:noProof/>
                <w:sz w:val="20"/>
                <w:szCs w:val="22"/>
                <w:u w:val="single"/>
                <w:lang w:val="en-GB" w:eastAsia="ja-JP"/>
              </w:rPr>
              <w:t>T</w:t>
            </w:r>
            <w:r w:rsidR="00C96521" w:rsidRPr="00C96521">
              <w:rPr>
                <w:rFonts w:eastAsia="MS Mincho"/>
                <w:noProof/>
                <w:sz w:val="20"/>
                <w:szCs w:val="22"/>
                <w:u w:val="single"/>
                <w:lang w:val="en-GB" w:eastAsia="ja-JP"/>
              </w:rPr>
              <w:t xml:space="preserve">urtle </w:t>
            </w:r>
            <w:r w:rsidR="00BE5EF4">
              <w:rPr>
                <w:rFonts w:eastAsia="MS Mincho"/>
                <w:noProof/>
                <w:sz w:val="20"/>
                <w:szCs w:val="22"/>
                <w:u w:val="single"/>
                <w:lang w:val="en-GB" w:eastAsia="ja-JP"/>
              </w:rPr>
              <w:t>D</w:t>
            </w:r>
            <w:r w:rsidR="00C96521" w:rsidRPr="00C96521">
              <w:rPr>
                <w:rFonts w:eastAsia="MS Mincho"/>
                <w:noProof/>
                <w:sz w:val="20"/>
                <w:szCs w:val="22"/>
                <w:u w:val="single"/>
                <w:lang w:val="en-GB" w:eastAsia="ja-JP"/>
              </w:rPr>
              <w:t>oves using the western flyway: a first approach based on the use of demographic invariants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_Toc478646923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Pr>
                <w:rFonts w:eastAsia="MS Mincho"/>
                <w:noProof/>
                <w:webHidden/>
                <w:sz w:val="20"/>
                <w:szCs w:val="22"/>
                <w:lang w:val="en-GB" w:eastAsia="ja-JP"/>
              </w:rPr>
              <w:t>91</w:t>
            </w:r>
            <w:r w:rsidR="00C96521" w:rsidRPr="00C96521">
              <w:rPr>
                <w:rFonts w:eastAsia="MS Mincho"/>
                <w:noProof/>
                <w:webHidden/>
                <w:sz w:val="20"/>
                <w:szCs w:val="22"/>
                <w:lang w:val="en-GB" w:eastAsia="ja-JP"/>
              </w:rPr>
              <w:fldChar w:fldCharType="end"/>
            </w:r>
          </w:hyperlink>
        </w:p>
        <w:p w14:paraId="69801FAA" w14:textId="6CAF6E20" w:rsidR="00C96521" w:rsidRPr="00C96521" w:rsidRDefault="00517734"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24" w:history="1">
            <w:r w:rsidR="00C96521" w:rsidRPr="00C96521">
              <w:rPr>
                <w:rFonts w:eastAsia="MS Mincho"/>
                <w:b/>
                <w:noProof/>
                <w:sz w:val="20"/>
                <w:szCs w:val="22"/>
                <w:u w:val="single"/>
                <w:lang w:val="en-GB" w:eastAsia="ja-JP"/>
              </w:rPr>
              <w:t>Annex 5: REFERENCES</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_Toc478646924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Pr>
                <w:rFonts w:eastAsia="MS Mincho"/>
                <w:b/>
                <w:noProof/>
                <w:webHidden/>
                <w:sz w:val="20"/>
                <w:szCs w:val="22"/>
                <w:lang w:val="en-GB" w:eastAsia="ja-JP"/>
              </w:rPr>
              <w:t>98</w:t>
            </w:r>
            <w:r w:rsidR="00C96521" w:rsidRPr="00C96521">
              <w:rPr>
                <w:rFonts w:eastAsia="MS Mincho"/>
                <w:b/>
                <w:noProof/>
                <w:webHidden/>
                <w:sz w:val="20"/>
                <w:szCs w:val="22"/>
                <w:lang w:val="en-GB" w:eastAsia="ja-JP"/>
              </w:rPr>
              <w:fldChar w:fldCharType="end"/>
            </w:r>
          </w:hyperlink>
        </w:p>
        <w:p w14:paraId="734BB0F8" w14:textId="7BB3CD7E" w:rsidR="00C96521" w:rsidRPr="00C96521" w:rsidRDefault="00517734"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25" w:history="1">
            <w:r w:rsidR="00C96521" w:rsidRPr="00C96521">
              <w:rPr>
                <w:rFonts w:eastAsia="MS Mincho"/>
                <w:b/>
                <w:noProof/>
                <w:sz w:val="20"/>
                <w:szCs w:val="22"/>
                <w:u w:val="single"/>
                <w:lang w:val="en-GB" w:eastAsia="ja-JP"/>
              </w:rPr>
              <w:t>Annex 6: LIST OF ACRONYMS/ABBREVIATIONS</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_Toc478646925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Pr>
                <w:rFonts w:eastAsia="MS Mincho"/>
                <w:b/>
                <w:noProof/>
                <w:webHidden/>
                <w:sz w:val="20"/>
                <w:szCs w:val="22"/>
                <w:lang w:val="en-GB" w:eastAsia="ja-JP"/>
              </w:rPr>
              <w:t>114</w:t>
            </w:r>
            <w:r w:rsidR="00C96521" w:rsidRPr="00C96521">
              <w:rPr>
                <w:rFonts w:eastAsia="MS Mincho"/>
                <w:b/>
                <w:noProof/>
                <w:webHidden/>
                <w:sz w:val="20"/>
                <w:szCs w:val="22"/>
                <w:lang w:val="en-GB" w:eastAsia="ja-JP"/>
              </w:rPr>
              <w:fldChar w:fldCharType="end"/>
            </w:r>
          </w:hyperlink>
        </w:p>
        <w:p w14:paraId="39D10FBB" w14:textId="02BA9A42" w:rsidR="00C96521" w:rsidRPr="00C96521" w:rsidRDefault="00517734"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26" w:history="1">
            <w:r w:rsidR="00C96521" w:rsidRPr="00C96521">
              <w:rPr>
                <w:rFonts w:eastAsia="MS Mincho"/>
                <w:b/>
                <w:noProof/>
                <w:sz w:val="20"/>
                <w:szCs w:val="22"/>
                <w:u w:val="single"/>
                <w:lang w:val="en-GB" w:eastAsia="ja-JP"/>
              </w:rPr>
              <w:t xml:space="preserve">Annex 7 - EUROPEAN </w:t>
            </w:r>
            <w:r w:rsidR="00526B63">
              <w:rPr>
                <w:rFonts w:eastAsia="MS Mincho"/>
                <w:b/>
                <w:noProof/>
                <w:sz w:val="20"/>
                <w:szCs w:val="22"/>
                <w:u w:val="single"/>
                <w:lang w:val="en-GB" w:eastAsia="ja-JP"/>
              </w:rPr>
              <w:t xml:space="preserve">UNION </w:t>
            </w:r>
            <w:r w:rsidR="00C96521" w:rsidRPr="00C96521">
              <w:rPr>
                <w:rFonts w:eastAsia="MS Mincho"/>
                <w:b/>
                <w:noProof/>
                <w:sz w:val="20"/>
                <w:szCs w:val="22"/>
                <w:u w:val="single"/>
                <w:lang w:val="en-GB" w:eastAsia="ja-JP"/>
              </w:rPr>
              <w:t>MEMBER STATES</w:t>
            </w:r>
            <w:r w:rsidR="00BE5EF4">
              <w:rPr>
                <w:rFonts w:eastAsia="MS Mincho"/>
                <w:b/>
                <w:noProof/>
                <w:sz w:val="20"/>
                <w:szCs w:val="22"/>
                <w:u w:val="single"/>
                <w:lang w:val="en-GB" w:eastAsia="ja-JP"/>
              </w:rPr>
              <w:t>’</w:t>
            </w:r>
            <w:r w:rsidR="00C96521" w:rsidRPr="00C96521">
              <w:rPr>
                <w:rFonts w:eastAsia="MS Mincho"/>
                <w:b/>
                <w:noProof/>
                <w:sz w:val="20"/>
                <w:szCs w:val="22"/>
                <w:u w:val="single"/>
                <w:lang w:val="en-GB" w:eastAsia="ja-JP"/>
              </w:rPr>
              <w:t xml:space="preserve"> CODES</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_Toc478646926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Pr>
                <w:rFonts w:eastAsia="MS Mincho"/>
                <w:b/>
                <w:noProof/>
                <w:webHidden/>
                <w:sz w:val="20"/>
                <w:szCs w:val="22"/>
                <w:lang w:val="en-GB" w:eastAsia="ja-JP"/>
              </w:rPr>
              <w:t>115</w:t>
            </w:r>
            <w:r w:rsidR="00C96521" w:rsidRPr="00C96521">
              <w:rPr>
                <w:rFonts w:eastAsia="MS Mincho"/>
                <w:b/>
                <w:noProof/>
                <w:webHidden/>
                <w:sz w:val="20"/>
                <w:szCs w:val="22"/>
                <w:lang w:val="en-GB" w:eastAsia="ja-JP"/>
              </w:rPr>
              <w:fldChar w:fldCharType="end"/>
            </w:r>
          </w:hyperlink>
        </w:p>
        <w:p w14:paraId="245559AB" w14:textId="5B8FF24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fldChar w:fldCharType="end"/>
          </w:r>
        </w:p>
      </w:sdtContent>
    </w:sdt>
    <w:p w14:paraId="795DBBB3" w14:textId="77777777" w:rsidR="00C96521" w:rsidRPr="00C96521" w:rsidRDefault="00C96521" w:rsidP="00C96521">
      <w:pPr>
        <w:widowControl/>
        <w:autoSpaceDE/>
        <w:autoSpaceDN/>
        <w:adjustRightInd/>
        <w:spacing w:line="276" w:lineRule="auto"/>
        <w:rPr>
          <w:rFonts w:eastAsia="MS Mincho"/>
          <w:b/>
          <w:color w:val="FF0000"/>
          <w:sz w:val="20"/>
          <w:szCs w:val="22"/>
          <w:lang w:val="en-GB" w:eastAsia="ja-JP"/>
        </w:rPr>
      </w:pPr>
    </w:p>
    <w:p w14:paraId="1BF6C647"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TABLES</w:t>
      </w:r>
    </w:p>
    <w:p w14:paraId="65215C3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BDAD22A" w14:textId="314AB391" w:rsidR="00C96521" w:rsidRPr="00C96521" w:rsidRDefault="00C96521" w:rsidP="00C96521">
      <w:pPr>
        <w:widowControl/>
        <w:autoSpaceDE/>
        <w:autoSpaceDN/>
        <w:adjustRightInd/>
        <w:spacing w:line="276" w:lineRule="auto"/>
        <w:rPr>
          <w:rFonts w:eastAsia="Calibri"/>
          <w:sz w:val="20"/>
          <w:szCs w:val="22"/>
          <w:lang w:val="en-GB" w:eastAsia="ja-JP"/>
        </w:rPr>
      </w:pPr>
      <w:r w:rsidRPr="00C96521">
        <w:rPr>
          <w:rFonts w:eastAsia="Calibri"/>
          <w:sz w:val="20"/>
          <w:szCs w:val="22"/>
          <w:lang w:val="en-GB" w:eastAsia="ja-JP"/>
        </w:rPr>
        <w:t xml:space="preserve">Table 1. Range States for the European </w:t>
      </w:r>
      <w:r w:rsidR="00BE5EF4">
        <w:rPr>
          <w:rFonts w:eastAsia="Calibri"/>
          <w:sz w:val="20"/>
          <w:szCs w:val="22"/>
          <w:lang w:val="en-GB" w:eastAsia="ja-JP"/>
        </w:rPr>
        <w:t>T</w:t>
      </w:r>
      <w:r w:rsidRPr="00C96521">
        <w:rPr>
          <w:rFonts w:eastAsia="Calibri"/>
          <w:sz w:val="20"/>
          <w:szCs w:val="22"/>
          <w:lang w:val="en-GB" w:eastAsia="ja-JP"/>
        </w:rPr>
        <w:t>urtle</w:t>
      </w:r>
      <w:r w:rsidR="00BE5EF4">
        <w:rPr>
          <w:rFonts w:eastAsia="Calibri"/>
          <w:sz w:val="20"/>
          <w:szCs w:val="22"/>
          <w:lang w:val="en-GB" w:eastAsia="ja-JP"/>
        </w:rPr>
        <w:t xml:space="preserve"> D</w:t>
      </w:r>
      <w:r w:rsidRPr="00C96521">
        <w:rPr>
          <w:rFonts w:eastAsia="Calibri"/>
          <w:sz w:val="20"/>
          <w:szCs w:val="22"/>
          <w:lang w:val="en-GB" w:eastAsia="ja-JP"/>
        </w:rPr>
        <w:t>dove covered by the Action Plan (page 8).</w:t>
      </w:r>
    </w:p>
    <w:p w14:paraId="24BD7398" w14:textId="77777777" w:rsidR="00C96521" w:rsidRPr="00C96521" w:rsidRDefault="00C96521" w:rsidP="00C96521">
      <w:pPr>
        <w:widowControl/>
        <w:autoSpaceDE/>
        <w:autoSpaceDN/>
        <w:adjustRightInd/>
        <w:spacing w:line="276" w:lineRule="auto"/>
        <w:rPr>
          <w:rFonts w:eastAsia="Calibri"/>
          <w:sz w:val="20"/>
          <w:szCs w:val="22"/>
          <w:lang w:val="en-GB" w:eastAsia="ja-JP"/>
        </w:rPr>
      </w:pPr>
    </w:p>
    <w:p w14:paraId="13085BFF"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Table </w:t>
      </w:r>
      <w:r w:rsidRPr="00C96521">
        <w:rPr>
          <w:rFonts w:eastAsia="MS Mincho"/>
          <w:sz w:val="20"/>
          <w:szCs w:val="22"/>
          <w:lang w:val="en-GB" w:eastAsia="ja-JP"/>
        </w:rPr>
        <w:t>2. Breeding population size and trend by country/territory (page 46).</w:t>
      </w:r>
    </w:p>
    <w:p w14:paraId="42BE0DF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029BB42"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Table </w:t>
      </w:r>
      <w:r w:rsidRPr="00C96521">
        <w:rPr>
          <w:rFonts w:eastAsia="MS Mincho"/>
          <w:sz w:val="20"/>
          <w:szCs w:val="22"/>
          <w:lang w:val="en-GB" w:eastAsia="ja-JP"/>
        </w:rPr>
        <w:t>3. Migrating and non-breeding populations by country/territory (page 48).</w:t>
      </w:r>
    </w:p>
    <w:p w14:paraId="2C018B4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247D989" w14:textId="00CDC540" w:rsidR="00C96521" w:rsidRPr="00C96521" w:rsidRDefault="00C96521" w:rsidP="00C96521">
      <w:pPr>
        <w:widowControl/>
        <w:autoSpaceDE/>
        <w:autoSpaceDN/>
        <w:adjustRightInd/>
        <w:rPr>
          <w:rFonts w:eastAsia="MS Mincho" w:cs="Arial"/>
          <w:sz w:val="20"/>
          <w:szCs w:val="22"/>
          <w:lang w:val="en-GB" w:eastAsia="ja-JP"/>
        </w:rPr>
      </w:pPr>
      <w:r w:rsidRPr="00C96521">
        <w:rPr>
          <w:rFonts w:eastAsia="Calibri"/>
          <w:sz w:val="20"/>
          <w:szCs w:val="22"/>
          <w:lang w:val="en-GB" w:eastAsia="ja-JP"/>
        </w:rPr>
        <w:t xml:space="preserve">Table </w:t>
      </w:r>
      <w:r w:rsidRPr="00C96521">
        <w:rPr>
          <w:rFonts w:eastAsia="MS Mincho" w:cs="Arial"/>
          <w:sz w:val="20"/>
          <w:szCs w:val="20"/>
          <w:lang w:val="en-GB" w:eastAsia="ja-JP"/>
        </w:rPr>
        <w:t>4. Turtle</w:t>
      </w:r>
      <w:r w:rsidR="003574BE">
        <w:rPr>
          <w:rFonts w:eastAsia="MS Mincho" w:cs="Arial"/>
          <w:sz w:val="20"/>
          <w:szCs w:val="20"/>
          <w:lang w:val="en-GB" w:eastAsia="ja-JP"/>
        </w:rPr>
        <w:t xml:space="preserve"> D</w:t>
      </w:r>
      <w:r w:rsidRPr="00C96521">
        <w:rPr>
          <w:rFonts w:eastAsia="MS Mincho" w:cs="Arial"/>
          <w:sz w:val="20"/>
          <w:szCs w:val="20"/>
          <w:lang w:val="en-GB" w:eastAsia="ja-JP"/>
        </w:rPr>
        <w:t xml:space="preserve">ove bag numbers and protection/hunting details across </w:t>
      </w:r>
      <w:r w:rsidR="003574BE">
        <w:rPr>
          <w:rFonts w:eastAsia="MS Mincho" w:cs="Arial"/>
          <w:sz w:val="20"/>
          <w:szCs w:val="20"/>
          <w:lang w:val="en-GB" w:eastAsia="ja-JP"/>
        </w:rPr>
        <w:t>R</w:t>
      </w:r>
      <w:r w:rsidRPr="00C96521">
        <w:rPr>
          <w:rFonts w:eastAsia="MS Mincho" w:cs="Arial"/>
          <w:sz w:val="20"/>
          <w:szCs w:val="20"/>
          <w:lang w:val="en-GB" w:eastAsia="ja-JP"/>
        </w:rPr>
        <w:t xml:space="preserve">ange </w:t>
      </w:r>
      <w:r w:rsidR="003574BE">
        <w:rPr>
          <w:rFonts w:eastAsia="MS Mincho" w:cs="Arial"/>
          <w:sz w:val="20"/>
          <w:szCs w:val="20"/>
          <w:lang w:val="en-GB" w:eastAsia="ja-JP"/>
        </w:rPr>
        <w:t>S</w:t>
      </w:r>
      <w:r w:rsidRPr="00C96521">
        <w:rPr>
          <w:rFonts w:eastAsia="MS Mincho" w:cs="Arial"/>
          <w:sz w:val="20"/>
          <w:szCs w:val="20"/>
          <w:lang w:val="en-GB" w:eastAsia="ja-JP"/>
        </w:rPr>
        <w:t>tates within Europe, Central Asia and Africa (page 66).</w:t>
      </w:r>
    </w:p>
    <w:p w14:paraId="29713AF5" w14:textId="77777777" w:rsidR="00C96521" w:rsidRPr="00C96521" w:rsidRDefault="00C96521" w:rsidP="00C96521">
      <w:pPr>
        <w:widowControl/>
        <w:autoSpaceDE/>
        <w:autoSpaceDN/>
        <w:adjustRightInd/>
        <w:rPr>
          <w:rFonts w:eastAsia="MS Mincho" w:cs="Arial"/>
          <w:sz w:val="20"/>
          <w:szCs w:val="20"/>
          <w:lang w:val="en-GB" w:eastAsia="ja-JP"/>
        </w:rPr>
      </w:pPr>
    </w:p>
    <w:p w14:paraId="77EF88D7" w14:textId="4705DD7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Table </w:t>
      </w:r>
      <w:r w:rsidRPr="00C96521">
        <w:rPr>
          <w:rFonts w:eastAsia="MS Mincho"/>
          <w:sz w:val="20"/>
          <w:szCs w:val="22"/>
          <w:lang w:val="en-GB" w:eastAsia="ja-JP"/>
        </w:rPr>
        <w:t xml:space="preserve">5. Nesting habitat requirements of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oves and how these can be met by Countryside Stewardship Agri-environment Options (page 77).</w:t>
      </w:r>
    </w:p>
    <w:p w14:paraId="3B61970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9EB587C" w14:textId="32C4745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Table </w:t>
      </w:r>
      <w:r w:rsidRPr="00C96521">
        <w:rPr>
          <w:rFonts w:eastAsia="MS Mincho"/>
          <w:sz w:val="20"/>
          <w:szCs w:val="22"/>
          <w:lang w:val="en-GB" w:eastAsia="ja-JP"/>
        </w:rPr>
        <w:t xml:space="preserve">6. Summary of the foraging habitat requirements of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 xml:space="preserve">doves and how these can be met by Countryside Stewardship Agri-environment Options tailored for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doves (page 78).</w:t>
      </w:r>
    </w:p>
    <w:p w14:paraId="44AE535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EBFA5E3"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Table </w:t>
      </w:r>
      <w:r w:rsidRPr="00C96521">
        <w:rPr>
          <w:rFonts w:eastAsia="MS Mincho"/>
          <w:sz w:val="20"/>
          <w:szCs w:val="22"/>
          <w:lang w:val="en-GB" w:eastAsia="ja-JP"/>
        </w:rPr>
        <w:t>7. Base data for sustainable hunting model analyses (page 88).</w:t>
      </w:r>
    </w:p>
    <w:p w14:paraId="494BF6A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241D11E"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FIGURES</w:t>
      </w:r>
    </w:p>
    <w:p w14:paraId="32000FB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767B294" w14:textId="049B495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 Map of breeding and wintering </w:t>
      </w:r>
      <w:r w:rsidR="003574BE">
        <w:rPr>
          <w:rFonts w:eastAsia="MS Mincho"/>
          <w:sz w:val="20"/>
          <w:szCs w:val="22"/>
          <w:lang w:val="en-GB" w:eastAsia="ja-JP"/>
        </w:rPr>
        <w:t>R</w:t>
      </w:r>
      <w:r w:rsidRPr="00C96521">
        <w:rPr>
          <w:rFonts w:eastAsia="MS Mincho"/>
          <w:sz w:val="20"/>
          <w:szCs w:val="22"/>
          <w:lang w:val="en-GB" w:eastAsia="ja-JP"/>
        </w:rPr>
        <w:t xml:space="preserve">ange </w:t>
      </w:r>
      <w:r w:rsidR="003574BE">
        <w:rPr>
          <w:rFonts w:eastAsia="MS Mincho"/>
          <w:sz w:val="20"/>
          <w:szCs w:val="22"/>
          <w:lang w:val="en-GB" w:eastAsia="ja-JP"/>
        </w:rPr>
        <w:t>S</w:t>
      </w:r>
      <w:r w:rsidRPr="00C96521">
        <w:rPr>
          <w:rFonts w:eastAsia="MS Mincho"/>
          <w:sz w:val="20"/>
          <w:szCs w:val="22"/>
          <w:lang w:val="en-GB" w:eastAsia="ja-JP"/>
        </w:rPr>
        <w:t xml:space="preserve">tates for </w:t>
      </w:r>
      <w:r w:rsidRPr="00C96521">
        <w:rPr>
          <w:rFonts w:eastAsia="MS Mincho"/>
          <w:i/>
          <w:sz w:val="20"/>
          <w:szCs w:val="22"/>
          <w:lang w:val="en-GB" w:eastAsia="ja-JP"/>
        </w:rPr>
        <w:t>Streptopelia turtur</w:t>
      </w:r>
      <w:r w:rsidRPr="00C96521">
        <w:rPr>
          <w:rFonts w:eastAsia="MS Mincho"/>
          <w:sz w:val="20"/>
          <w:szCs w:val="22"/>
          <w:lang w:val="en-GB" w:eastAsia="ja-JP"/>
        </w:rPr>
        <w:t xml:space="preserve"> (page 8).</w:t>
      </w:r>
    </w:p>
    <w:p w14:paraId="703AB31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6F5D666"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Figure 2. National Implementation Score for each Member State, and the average score across all States (page 13).</w:t>
      </w:r>
    </w:p>
    <w:p w14:paraId="702EB48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AD0CF6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Figure 3. Average Implementation Score (AIS) for each action within the 2007 Management Plan, across all relevant Member States (page 13).</w:t>
      </w:r>
    </w:p>
    <w:p w14:paraId="47B2528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F15CFC7" w14:textId="7322B0A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4. Patterns of use of turtle-doves from five different countries: </w:t>
      </w:r>
      <w:r w:rsidR="003574BE">
        <w:rPr>
          <w:rFonts w:eastAsia="MS Mincho"/>
          <w:sz w:val="20"/>
          <w:szCs w:val="22"/>
          <w:lang w:val="en-GB" w:eastAsia="ja-JP"/>
        </w:rPr>
        <w:t xml:space="preserve">the </w:t>
      </w:r>
      <w:r w:rsidRPr="00C96521">
        <w:rPr>
          <w:rFonts w:eastAsia="MS Mincho"/>
          <w:sz w:val="20"/>
          <w:szCs w:val="22"/>
          <w:lang w:val="en-GB" w:eastAsia="ja-JP"/>
        </w:rPr>
        <w:t>Czech Republic, France, Germany, Hungary and the U</w:t>
      </w:r>
      <w:r w:rsidR="003574BE">
        <w:rPr>
          <w:rFonts w:eastAsia="MS Mincho"/>
          <w:sz w:val="20"/>
          <w:szCs w:val="22"/>
          <w:lang w:val="en-GB" w:eastAsia="ja-JP"/>
        </w:rPr>
        <w:t xml:space="preserve">nited </w:t>
      </w:r>
      <w:r w:rsidRPr="00C96521">
        <w:rPr>
          <w:rFonts w:eastAsia="MS Mincho"/>
          <w:sz w:val="20"/>
          <w:szCs w:val="22"/>
          <w:lang w:val="en-GB" w:eastAsia="ja-JP"/>
        </w:rPr>
        <w:t>K</w:t>
      </w:r>
      <w:r w:rsidR="003574BE">
        <w:rPr>
          <w:rFonts w:eastAsia="MS Mincho"/>
          <w:sz w:val="20"/>
          <w:szCs w:val="22"/>
          <w:lang w:val="en-GB" w:eastAsia="ja-JP"/>
        </w:rPr>
        <w:t>ingdom</w:t>
      </w:r>
      <w:r w:rsidRPr="00C96521">
        <w:rPr>
          <w:rFonts w:eastAsia="MS Mincho"/>
          <w:sz w:val="20"/>
          <w:szCs w:val="22"/>
          <w:lang w:val="en-GB" w:eastAsia="ja-JP"/>
        </w:rPr>
        <w:t xml:space="preserve"> (page 35).</w:t>
      </w:r>
    </w:p>
    <w:p w14:paraId="22D0D5F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0AE3CCD" w14:textId="2083A1E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5. Breeding season and pre-breeding migration of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oves in EU Member States (page 37).</w:t>
      </w:r>
    </w:p>
    <w:p w14:paraId="775F61E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13BEE8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Figure 6. Population trend index for countries in the western European population (page 49).</w:t>
      </w:r>
    </w:p>
    <w:p w14:paraId="133A849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6FD5CA3"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Figure 7. Population trend index for Estonia, Latvia, Lithuania and Poland (page 50).</w:t>
      </w:r>
    </w:p>
    <w:p w14:paraId="00D7B38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E0E30FB" w14:textId="1CE200BA"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8. Population trend index for Austria, </w:t>
      </w:r>
      <w:r w:rsidR="003574BE">
        <w:rPr>
          <w:rFonts w:eastAsia="MS Mincho"/>
          <w:sz w:val="20"/>
          <w:szCs w:val="22"/>
          <w:lang w:val="en-GB" w:eastAsia="ja-JP"/>
        </w:rPr>
        <w:t xml:space="preserve">the </w:t>
      </w:r>
      <w:r w:rsidRPr="00C96521">
        <w:rPr>
          <w:rFonts w:eastAsia="MS Mincho"/>
          <w:sz w:val="20"/>
          <w:szCs w:val="22"/>
          <w:lang w:val="en-GB" w:eastAsia="ja-JP"/>
        </w:rPr>
        <w:t>Czech Republic, Hungary, Italy, Slovakia, Slovenia and Switzerland (page 50).</w:t>
      </w:r>
    </w:p>
    <w:p w14:paraId="3179F43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E9A97B5" w14:textId="33C1F498"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Figure 9. Population trend index for Bulgaria, Cyprus, Greece, and Romania (page 51).</w:t>
      </w:r>
    </w:p>
    <w:p w14:paraId="7BBAB74B"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 </w:t>
      </w:r>
    </w:p>
    <w:p w14:paraId="4516AF75" w14:textId="366DBA3E"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10. Population trend index for the five largest populations of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dove contributing to the Pan-European Common Bird Monitoring Scheme (page 51).</w:t>
      </w:r>
    </w:p>
    <w:p w14:paraId="1255F50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6A68329" w14:textId="38DDFBE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lastRenderedPageBreak/>
        <w:t xml:space="preserve">Figure 11. Population trend index for the five populations of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dove showing the strongest declines based on the multiplicative trend index contributing to the Pan-European Common Bird Monitoring Scheme (page 52).</w:t>
      </w:r>
    </w:p>
    <w:p w14:paraId="3D027F6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3DE8583" w14:textId="21F6510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12. Population trend slope for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 xml:space="preserve">ove in countries in the western population contributing to the Pan-European Common Bird Monitoring Scheme (page 52). </w:t>
      </w:r>
    </w:p>
    <w:p w14:paraId="2AB4A61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F53ABD8" w14:textId="022B53B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13. Population trend slope for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sz w:val="20"/>
          <w:szCs w:val="22"/>
          <w:lang w:val="en-GB" w:eastAsia="ja-JP"/>
        </w:rPr>
        <w:t>in countries in the central-eastern population contributing to the Pan-European Common Bird Monitoring Scheme (page 53).</w:t>
      </w:r>
    </w:p>
    <w:p w14:paraId="77F47D3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974C201" w14:textId="2617CE1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14. Population trend slope for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sz w:val="20"/>
          <w:szCs w:val="22"/>
          <w:lang w:val="en-GB" w:eastAsia="ja-JP"/>
        </w:rPr>
        <w:t>in all countries submitting national data to the Pan-European Common Bird Monitoring Scheme (page 54).</w:t>
      </w:r>
    </w:p>
    <w:p w14:paraId="0F43998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F657895" w14:textId="2887EB28"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15. Overlap of hunting season with breeding period for the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sz w:val="20"/>
          <w:szCs w:val="22"/>
          <w:lang w:val="en-GB" w:eastAsia="ja-JP"/>
        </w:rPr>
        <w:t>in EU Member States (page 71).</w:t>
      </w:r>
    </w:p>
    <w:p w14:paraId="62CFA9D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3B49D43" w14:textId="3DD0711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16. A typical hedgerow and patch of scrub used by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ove</w:t>
      </w:r>
      <w:r w:rsidR="003574BE">
        <w:rPr>
          <w:rFonts w:eastAsia="MS Mincho"/>
          <w:sz w:val="20"/>
          <w:szCs w:val="22"/>
          <w:lang w:val="en-GB" w:eastAsia="ja-JP"/>
        </w:rPr>
        <w:t>s</w:t>
      </w:r>
      <w:r w:rsidR="003574BE" w:rsidRPr="00C96521">
        <w:rPr>
          <w:rFonts w:eastAsia="MS Mincho"/>
          <w:sz w:val="20"/>
          <w:szCs w:val="22"/>
          <w:lang w:val="en-GB" w:eastAsia="ja-JP"/>
        </w:rPr>
        <w:t xml:space="preserve"> </w:t>
      </w:r>
      <w:r w:rsidRPr="00C96521">
        <w:rPr>
          <w:rFonts w:eastAsia="MS Mincho"/>
          <w:sz w:val="20"/>
          <w:szCs w:val="22"/>
          <w:lang w:val="en-GB" w:eastAsia="ja-JP"/>
        </w:rPr>
        <w:t>for song-posts and nesting (page 77).</w:t>
      </w:r>
    </w:p>
    <w:p w14:paraId="5301F79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D845D69" w14:textId="5E0D778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17. A well-managed AB1 Nectar Flower Mix with SP9 Threatened Species Supplement, delivering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sz w:val="20"/>
          <w:szCs w:val="22"/>
          <w:lang w:val="en-GB" w:eastAsia="ja-JP"/>
        </w:rPr>
        <w:t>foraging habitat, with open structure and large amounts of bare ground (page 79).</w:t>
      </w:r>
    </w:p>
    <w:p w14:paraId="2A003AC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5DC59AE" w14:textId="5D9CEFD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18. A well-managed uncropped AB11 plot delivering suitable foraging habitat for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ove</w:t>
      </w:r>
      <w:r w:rsidR="003574BE">
        <w:rPr>
          <w:rFonts w:eastAsia="MS Mincho"/>
          <w:sz w:val="20"/>
          <w:szCs w:val="22"/>
          <w:lang w:val="en-GB" w:eastAsia="ja-JP"/>
        </w:rPr>
        <w:t>s</w:t>
      </w:r>
      <w:r w:rsidR="003574BE" w:rsidRPr="00C96521">
        <w:rPr>
          <w:rFonts w:eastAsia="MS Mincho"/>
          <w:sz w:val="20"/>
          <w:szCs w:val="22"/>
          <w:lang w:val="en-GB" w:eastAsia="ja-JP"/>
        </w:rPr>
        <w:t xml:space="preserve"> </w:t>
      </w:r>
      <w:r w:rsidRPr="00C96521">
        <w:rPr>
          <w:rFonts w:eastAsia="MS Mincho"/>
          <w:sz w:val="20"/>
          <w:szCs w:val="22"/>
          <w:lang w:val="en-GB" w:eastAsia="ja-JP"/>
        </w:rPr>
        <w:t>(page 81).</w:t>
      </w:r>
    </w:p>
    <w:p w14:paraId="5169638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31CA496"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19. The three steps required to estimate the Potential maximum harvestable population fraction (P) (page 91). </w:t>
      </w:r>
    </w:p>
    <w:p w14:paraId="0CE2E736" w14:textId="77777777" w:rsidR="00C96521" w:rsidRPr="00C96521" w:rsidRDefault="00C96521" w:rsidP="00C96521">
      <w:pPr>
        <w:widowControl/>
        <w:autoSpaceDE/>
        <w:autoSpaceDN/>
        <w:adjustRightInd/>
        <w:spacing w:line="276" w:lineRule="auto"/>
        <w:rPr>
          <w:rFonts w:eastAsia="Calibri"/>
          <w:sz w:val="20"/>
          <w:szCs w:val="22"/>
          <w:lang w:val="en-GB" w:eastAsia="ja-JP"/>
        </w:rPr>
      </w:pPr>
    </w:p>
    <w:p w14:paraId="77CCB87D" w14:textId="77777777" w:rsidR="00C96521" w:rsidRPr="00C96521" w:rsidRDefault="00C96521" w:rsidP="00C96521">
      <w:pPr>
        <w:widowControl/>
        <w:autoSpaceDE/>
        <w:autoSpaceDN/>
        <w:adjustRightInd/>
        <w:spacing w:line="276" w:lineRule="auto"/>
        <w:rPr>
          <w:rFonts w:eastAsia="Calibri"/>
          <w:sz w:val="20"/>
          <w:szCs w:val="22"/>
          <w:lang w:val="en-GB" w:eastAsia="ja-JP"/>
        </w:rPr>
      </w:pPr>
      <w:r w:rsidRPr="00C96521">
        <w:rPr>
          <w:rFonts w:eastAsia="Calibri"/>
          <w:sz w:val="20"/>
          <w:szCs w:val="22"/>
          <w:lang w:val="en-GB" w:eastAsia="ja-JP"/>
        </w:rPr>
        <w:br w:type="page"/>
      </w:r>
    </w:p>
    <w:p w14:paraId="03CE8442"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1" w:name="_Toc478646889"/>
      <w:r w:rsidRPr="00C96521">
        <w:rPr>
          <w:rFonts w:eastAsia="MS Gothic"/>
          <w:b/>
          <w:bCs/>
          <w:color w:val="365F91"/>
          <w:sz w:val="32"/>
          <w:szCs w:val="28"/>
          <w:lang w:val="en-GB" w:eastAsia="ja-JP"/>
        </w:rPr>
        <w:lastRenderedPageBreak/>
        <w:t>1 - Basic Data</w:t>
      </w:r>
      <w:bookmarkEnd w:id="1"/>
    </w:p>
    <w:p w14:paraId="24B47A5F" w14:textId="2DE97F8A"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 w:name="_Toc478646890"/>
      <w:r w:rsidRPr="00C96521">
        <w:rPr>
          <w:rFonts w:ascii="Cambria" w:eastAsia="MS Gothic" w:hAnsi="Cambria"/>
          <w:b/>
          <w:bCs/>
          <w:color w:val="4F81BD"/>
          <w:sz w:val="26"/>
          <w:szCs w:val="26"/>
          <w:lang w:val="en-GB" w:eastAsia="ja-JP"/>
        </w:rPr>
        <w:t>Taxonomy and bio-geographic populations</w:t>
      </w:r>
      <w:bookmarkEnd w:id="2"/>
    </w:p>
    <w:p w14:paraId="3AC7504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B605FE2" w14:textId="691F70D7" w:rsidR="00C96521" w:rsidRDefault="00C96521" w:rsidP="00C96521">
      <w:pPr>
        <w:widowControl/>
        <w:autoSpaceDE/>
        <w:autoSpaceDN/>
        <w:adjustRightInd/>
        <w:spacing w:line="276" w:lineRule="auto"/>
        <w:rPr>
          <w:rFonts w:eastAsia="MS Mincho" w:cs="Calibri"/>
          <w:sz w:val="20"/>
          <w:szCs w:val="22"/>
          <w:lang w:val="en-GB" w:eastAsia="ja-JP"/>
        </w:rPr>
      </w:pPr>
      <w:r w:rsidRPr="00C96521">
        <w:rPr>
          <w:rFonts w:eastAsia="MS Mincho" w:cs="Calibri"/>
          <w:sz w:val="20"/>
          <w:szCs w:val="22"/>
          <w:lang w:val="en-GB" w:eastAsia="ja-JP"/>
        </w:rPr>
        <w:t xml:space="preserve">The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cs="Calibri"/>
          <w:sz w:val="20"/>
          <w:szCs w:val="22"/>
          <w:lang w:val="en-GB" w:eastAsia="ja-JP"/>
        </w:rPr>
        <w:t>(</w:t>
      </w:r>
      <w:r w:rsidRPr="00C96521">
        <w:rPr>
          <w:rFonts w:eastAsia="MS Mincho" w:cs="Calibri"/>
          <w:i/>
          <w:sz w:val="20"/>
          <w:szCs w:val="22"/>
          <w:lang w:val="en-GB" w:eastAsia="ja-JP"/>
        </w:rPr>
        <w:t>Streptopelia turtur</w:t>
      </w:r>
      <w:r w:rsidRPr="00C96521">
        <w:rPr>
          <w:rFonts w:eastAsia="MS Mincho" w:cs="Calibri"/>
          <w:sz w:val="20"/>
          <w:szCs w:val="22"/>
          <w:lang w:val="en-GB" w:eastAsia="ja-JP"/>
        </w:rPr>
        <w:t xml:space="preserve">) is the smallest representative of the dove family in Europe. Its breeding area stretches from Europe to Asia and North Africa. There are four subspecies: </w:t>
      </w:r>
      <w:r w:rsidRPr="00C96521">
        <w:rPr>
          <w:rFonts w:eastAsia="MS Mincho" w:cs="Calibri"/>
          <w:i/>
          <w:sz w:val="20"/>
          <w:szCs w:val="22"/>
          <w:lang w:val="en-GB" w:eastAsia="ja-JP"/>
        </w:rPr>
        <w:t>S. t. turtur</w:t>
      </w:r>
      <w:r w:rsidRPr="00C96521">
        <w:rPr>
          <w:rFonts w:eastAsia="MS Mincho" w:cs="Calibri"/>
          <w:sz w:val="20"/>
          <w:szCs w:val="22"/>
          <w:lang w:val="en-GB" w:eastAsia="ja-JP"/>
        </w:rPr>
        <w:t xml:space="preserve"> is distributed from the UK east to Poland and northern Russia and south to the northern Mediterranean coast as well as in the Canary Islands, Asia Minor and from Syria to Kazakhstan and western Siberia; </w:t>
      </w:r>
      <w:r w:rsidRPr="00C96521">
        <w:rPr>
          <w:rFonts w:eastAsia="MS Mincho" w:cs="Calibri"/>
          <w:i/>
          <w:sz w:val="20"/>
          <w:szCs w:val="22"/>
          <w:lang w:val="en-GB" w:eastAsia="ja-JP"/>
        </w:rPr>
        <w:t>S. t. arenicola</w:t>
      </w:r>
      <w:r w:rsidRPr="00C96521">
        <w:rPr>
          <w:rFonts w:eastAsia="MS Mincho" w:cs="Calibri"/>
          <w:sz w:val="20"/>
          <w:szCs w:val="22"/>
          <w:lang w:val="en-GB" w:eastAsia="ja-JP"/>
        </w:rPr>
        <w:t xml:space="preserve"> is distributed from Morocco east to Tripoli, and from Iraq and Iran east through Afghanistan, Turkestan and the Kyrgyz steppe to north-west China; </w:t>
      </w:r>
      <w:r w:rsidRPr="00C96521">
        <w:rPr>
          <w:rFonts w:eastAsia="MS Mincho" w:cs="Calibri"/>
          <w:i/>
          <w:sz w:val="20"/>
          <w:szCs w:val="22"/>
          <w:lang w:val="en-GB" w:eastAsia="ja-JP"/>
        </w:rPr>
        <w:t>S. t. hoggara</w:t>
      </w:r>
      <w:r w:rsidRPr="00C96521">
        <w:rPr>
          <w:rFonts w:eastAsia="MS Mincho" w:cs="Calibri"/>
          <w:sz w:val="20"/>
          <w:szCs w:val="22"/>
          <w:lang w:val="en-GB" w:eastAsia="ja-JP"/>
        </w:rPr>
        <w:t xml:space="preserve"> is found in Ahaggar, Aïr, Tibesti and the Ennedi Massifs in the southern Sahara; </w:t>
      </w:r>
      <w:r w:rsidRPr="00C96521">
        <w:rPr>
          <w:rFonts w:eastAsia="MS Mincho" w:cs="Calibri"/>
          <w:i/>
          <w:sz w:val="20"/>
          <w:szCs w:val="22"/>
          <w:lang w:val="en-GB" w:eastAsia="ja-JP"/>
        </w:rPr>
        <w:t>S. t. rufescens</w:t>
      </w:r>
      <w:r w:rsidRPr="00C96521">
        <w:rPr>
          <w:rFonts w:eastAsia="MS Mincho" w:cs="Calibri"/>
          <w:sz w:val="20"/>
          <w:szCs w:val="22"/>
          <w:lang w:val="en-GB" w:eastAsia="ja-JP"/>
        </w:rPr>
        <w:t xml:space="preserve"> is found in the Kufra Oasis in Libya, Dakhla and Kharga Oases in Egypt, as well as Faiyûm, and parts of the Nile Valley (Baptista </w:t>
      </w:r>
      <w:r w:rsidRPr="00C96521">
        <w:rPr>
          <w:rFonts w:eastAsia="MS Mincho" w:cs="Calibri"/>
          <w:i/>
          <w:sz w:val="20"/>
          <w:szCs w:val="22"/>
          <w:lang w:val="en-GB" w:eastAsia="ja-JP"/>
        </w:rPr>
        <w:t>et al</w:t>
      </w:r>
      <w:r w:rsidRPr="00C96521">
        <w:rPr>
          <w:rFonts w:eastAsia="MS Mincho" w:cs="Calibri"/>
          <w:sz w:val="20"/>
          <w:szCs w:val="22"/>
          <w:lang w:val="en-GB" w:eastAsia="ja-JP"/>
        </w:rPr>
        <w:t xml:space="preserve"> 2016). </w:t>
      </w:r>
    </w:p>
    <w:p w14:paraId="05212EBB" w14:textId="77777777" w:rsidR="003574BE" w:rsidRPr="00C96521" w:rsidRDefault="003574BE" w:rsidP="00C96521">
      <w:pPr>
        <w:widowControl/>
        <w:autoSpaceDE/>
        <w:autoSpaceDN/>
        <w:adjustRightInd/>
        <w:spacing w:line="276" w:lineRule="auto"/>
        <w:rPr>
          <w:rFonts w:eastAsia="MS Mincho" w:cs="Calibri"/>
          <w:sz w:val="20"/>
          <w:szCs w:val="22"/>
          <w:lang w:val="en-GB" w:eastAsia="ja-JP"/>
        </w:rPr>
      </w:pPr>
    </w:p>
    <w:p w14:paraId="0B4B26A3" w14:textId="77777777" w:rsidR="00C96521" w:rsidRPr="00C96521" w:rsidRDefault="00C96521" w:rsidP="00C96521">
      <w:pPr>
        <w:widowControl/>
        <w:autoSpaceDE/>
        <w:autoSpaceDN/>
        <w:adjustRightInd/>
        <w:spacing w:line="276" w:lineRule="auto"/>
        <w:rPr>
          <w:rFonts w:eastAsia="MS Mincho" w:cs="Calibri"/>
          <w:sz w:val="20"/>
          <w:szCs w:val="22"/>
          <w:lang w:val="en-GB" w:eastAsia="ja-JP"/>
        </w:rPr>
      </w:pPr>
      <w:r w:rsidRPr="00C96521">
        <w:rPr>
          <w:rFonts w:eastAsia="MS Mincho" w:cs="Calibri"/>
          <w:sz w:val="20"/>
          <w:szCs w:val="22"/>
          <w:lang w:val="en-GB" w:eastAsia="ja-JP"/>
        </w:rPr>
        <w:t>All four subspecies appear to co-occur on the wintering grounds.</w:t>
      </w:r>
    </w:p>
    <w:p w14:paraId="5D160445" w14:textId="77777777" w:rsidR="00C96521" w:rsidRPr="00C96521" w:rsidRDefault="00C96521" w:rsidP="00C96521">
      <w:pPr>
        <w:widowControl/>
        <w:autoSpaceDE/>
        <w:autoSpaceDN/>
        <w:adjustRightInd/>
        <w:spacing w:line="276" w:lineRule="auto"/>
        <w:rPr>
          <w:rFonts w:eastAsia="MS Mincho" w:cs="Calibri"/>
          <w:sz w:val="20"/>
          <w:szCs w:val="22"/>
          <w:lang w:val="en-GB" w:eastAsia="ja-JP"/>
        </w:rPr>
      </w:pPr>
    </w:p>
    <w:p w14:paraId="30AEA8BA" w14:textId="15E2977B" w:rsidR="00C96521" w:rsidRPr="00C96521" w:rsidRDefault="00C96521" w:rsidP="00C96521">
      <w:pPr>
        <w:widowControl/>
        <w:autoSpaceDE/>
        <w:autoSpaceDN/>
        <w:adjustRightInd/>
        <w:spacing w:line="276" w:lineRule="auto"/>
        <w:rPr>
          <w:rFonts w:eastAsia="MS Mincho" w:cs="Calibri"/>
          <w:sz w:val="20"/>
          <w:szCs w:val="22"/>
          <w:lang w:val="en-GB" w:eastAsia="ja-JP"/>
        </w:rPr>
      </w:pPr>
      <w:r w:rsidRPr="00C96521">
        <w:rPr>
          <w:rFonts w:eastAsia="MS Mincho" w:cs="Calibri"/>
          <w:sz w:val="20"/>
          <w:szCs w:val="22"/>
          <w:lang w:val="en-GB" w:eastAsia="ja-JP"/>
        </w:rPr>
        <w:t>The breeding area in Europe stretches from Portugal east to the Urals, and from the 35</w:t>
      </w:r>
      <w:r w:rsidRPr="00177BBB">
        <w:rPr>
          <w:rFonts w:eastAsia="MS Mincho" w:cs="Calibri"/>
          <w:sz w:val="20"/>
          <w:szCs w:val="22"/>
          <w:vertAlign w:val="superscript"/>
          <w:lang w:val="en-GB" w:eastAsia="ja-JP"/>
        </w:rPr>
        <w:t>th</w:t>
      </w:r>
      <w:r w:rsidR="003574BE">
        <w:rPr>
          <w:rFonts w:eastAsia="MS Mincho" w:cs="Calibri"/>
          <w:sz w:val="20"/>
          <w:szCs w:val="22"/>
          <w:lang w:val="en-GB" w:eastAsia="ja-JP"/>
        </w:rPr>
        <w:t xml:space="preserve"> </w:t>
      </w:r>
      <w:r w:rsidRPr="00C96521">
        <w:rPr>
          <w:rFonts w:eastAsia="MS Mincho" w:cs="Calibri"/>
          <w:sz w:val="20"/>
          <w:szCs w:val="22"/>
          <w:lang w:val="en-GB" w:eastAsia="ja-JP"/>
        </w:rPr>
        <w:t>parallel to the 65</w:t>
      </w:r>
      <w:r w:rsidRPr="00177BBB">
        <w:rPr>
          <w:rFonts w:eastAsia="MS Mincho" w:cs="Calibri"/>
          <w:sz w:val="20"/>
          <w:szCs w:val="22"/>
          <w:vertAlign w:val="superscript"/>
          <w:lang w:val="en-GB" w:eastAsia="ja-JP"/>
        </w:rPr>
        <w:t>th</w:t>
      </w:r>
      <w:r w:rsidRPr="00C96521">
        <w:rPr>
          <w:rFonts w:eastAsia="MS Mincho" w:cs="Calibri"/>
          <w:sz w:val="20"/>
          <w:szCs w:val="22"/>
          <w:lang w:val="en-GB" w:eastAsia="ja-JP"/>
        </w:rPr>
        <w:t xml:space="preserve"> parallel north (see Figure 1). Major breeding populations in Europe are found in the Mediterranean countries, and the European population is entirely migratory, wintering in Sahelian Africa from Senegal to Eritrea (Glutz von Blotzheim 1980, Geroudet 1983, Cramp 1985). Although the European population is still large, there is evidence that populations in most countries have been declining since the 1970s (BirdLife International 2004). The breeding range of the species has decreased in either the short</w:t>
      </w:r>
      <w:r w:rsidR="003574BE">
        <w:rPr>
          <w:rFonts w:eastAsia="MS Mincho" w:cs="Calibri"/>
          <w:sz w:val="20"/>
          <w:szCs w:val="22"/>
          <w:lang w:val="en-GB" w:eastAsia="ja-JP"/>
        </w:rPr>
        <w:t xml:space="preserve"> </w:t>
      </w:r>
      <w:r w:rsidRPr="00C96521">
        <w:rPr>
          <w:rFonts w:eastAsia="MS Mincho" w:cs="Calibri"/>
          <w:sz w:val="20"/>
          <w:szCs w:val="22"/>
          <w:lang w:val="en-GB" w:eastAsia="ja-JP"/>
        </w:rPr>
        <w:t>term, or the long</w:t>
      </w:r>
      <w:r w:rsidR="003574BE">
        <w:rPr>
          <w:rFonts w:eastAsia="MS Mincho" w:cs="Calibri"/>
          <w:sz w:val="20"/>
          <w:szCs w:val="22"/>
          <w:lang w:val="en-GB" w:eastAsia="ja-JP"/>
        </w:rPr>
        <w:t xml:space="preserve"> </w:t>
      </w:r>
      <w:r w:rsidRPr="00C96521">
        <w:rPr>
          <w:rFonts w:eastAsia="MS Mincho" w:cs="Calibri"/>
          <w:sz w:val="20"/>
          <w:szCs w:val="22"/>
          <w:lang w:val="en-GB" w:eastAsia="ja-JP"/>
        </w:rPr>
        <w:t>term in nine EU Member States (EIONET 2017), for example, in France the range of the species decreased by 20-30</w:t>
      </w:r>
      <w:r w:rsidR="003574BE">
        <w:rPr>
          <w:rFonts w:eastAsia="MS Mincho" w:cs="Calibri"/>
          <w:sz w:val="20"/>
          <w:szCs w:val="22"/>
          <w:lang w:val="en-GB" w:eastAsia="ja-JP"/>
        </w:rPr>
        <w:t xml:space="preserve"> per cent</w:t>
      </w:r>
      <w:r w:rsidRPr="00C96521">
        <w:rPr>
          <w:rFonts w:eastAsia="MS Mincho" w:cs="Calibri"/>
          <w:sz w:val="20"/>
          <w:szCs w:val="22"/>
          <w:lang w:val="en-GB" w:eastAsia="ja-JP"/>
        </w:rPr>
        <w:t xml:space="preserve"> between the 1985-1989 and 2009-2012 breeding atlases (Jacques Comolet-Tirman </w:t>
      </w:r>
      <w:r w:rsidRPr="00C96521">
        <w:rPr>
          <w:rFonts w:eastAsia="MS Mincho" w:cs="Calibri"/>
          <w:i/>
          <w:sz w:val="20"/>
          <w:szCs w:val="22"/>
          <w:lang w:val="en-GB" w:eastAsia="ja-JP"/>
        </w:rPr>
        <w:t>pers comm</w:t>
      </w:r>
      <w:r w:rsidRPr="00C96521">
        <w:rPr>
          <w:rFonts w:eastAsia="MS Mincho" w:cs="Calibri"/>
          <w:sz w:val="20"/>
          <w:szCs w:val="22"/>
          <w:lang w:val="en-GB" w:eastAsia="ja-JP"/>
        </w:rPr>
        <w:t xml:space="preserve">). Genomic analysis suggests that the species shows signs of a long-term demographic decline and that it is prone to undergoing demographic fluctuations (Calderón </w:t>
      </w:r>
      <w:r w:rsidRPr="00C96521">
        <w:rPr>
          <w:rFonts w:eastAsia="MS Mincho" w:cs="Calibri"/>
          <w:i/>
          <w:sz w:val="20"/>
          <w:szCs w:val="22"/>
          <w:lang w:val="en-GB" w:eastAsia="ja-JP"/>
        </w:rPr>
        <w:t>et al</w:t>
      </w:r>
      <w:r w:rsidRPr="00C96521">
        <w:rPr>
          <w:rFonts w:eastAsia="MS Mincho" w:cs="Calibri"/>
          <w:sz w:val="20"/>
          <w:szCs w:val="22"/>
          <w:lang w:val="en-GB" w:eastAsia="ja-JP"/>
        </w:rPr>
        <w:t xml:space="preserve"> 2016). The ratio of effective and census population size of the species is much lower than expected. The same analysis found no evidence that the species is genetically structured across flyways, at least within the European portion of its range, so most of the populations face similar threats and are equally relevant for conservation. </w:t>
      </w:r>
    </w:p>
    <w:p w14:paraId="378BC35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7D26775" w14:textId="73DEBEF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the EU, the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cs="Arial"/>
          <w:sz w:val="20"/>
          <w:szCs w:val="22"/>
          <w:lang w:val="en-GB" w:eastAsia="ja-JP"/>
        </w:rPr>
        <w:t xml:space="preserve">is currently found in all Member States (including all Mediterranean islands) with the exception of Ireland and Sweden, and is absent from the Alpine Arc (Parslow 1967, Sharrock 1976, Snow and Perrins 1998, BirdLife 2016). It only colonized Denmark in the late 1980s, and is almost exclusively confined to the south-western corner of Jutland (mainland Denmark) (Grell </w:t>
      </w:r>
      <w:r w:rsidRPr="00C96521">
        <w:rPr>
          <w:rFonts w:eastAsia="MS Mincho" w:cs="Arial"/>
          <w:i/>
          <w:iCs/>
          <w:sz w:val="20"/>
          <w:szCs w:val="22"/>
          <w:lang w:val="en-GB" w:eastAsia="ja-JP"/>
        </w:rPr>
        <w:t>et al</w:t>
      </w:r>
      <w:r w:rsidRPr="00C96521">
        <w:rPr>
          <w:rFonts w:eastAsia="MS Mincho" w:cs="Arial"/>
          <w:sz w:val="20"/>
          <w:szCs w:val="22"/>
          <w:lang w:val="en-GB" w:eastAsia="ja-JP"/>
        </w:rPr>
        <w:t xml:space="preserve"> 2004), with a few pockets of coloni</w:t>
      </w:r>
      <w:r w:rsidR="003574BE">
        <w:rPr>
          <w:rFonts w:eastAsia="MS Mincho" w:cs="Arial"/>
          <w:sz w:val="20"/>
          <w:szCs w:val="22"/>
          <w:lang w:val="en-GB" w:eastAsia="ja-JP"/>
        </w:rPr>
        <w:t>z</w:t>
      </w:r>
      <w:r w:rsidRPr="00C96521">
        <w:rPr>
          <w:rFonts w:eastAsia="MS Mincho" w:cs="Arial"/>
          <w:sz w:val="20"/>
          <w:szCs w:val="22"/>
          <w:lang w:val="en-GB" w:eastAsia="ja-JP"/>
        </w:rPr>
        <w:t>ation elsewhere. Its distribution is linked to an isotherm of a minimum of 16°C in July (19°C in Great Britain) (Glutz von Blotzheim 1980). In general, the species nests at a maximum altitude of 350 metres, but very occasionally on warmer slopes up to 1,000 metres (Glutz von Blotzheim 1980, Dias 2016).</w:t>
      </w:r>
    </w:p>
    <w:p w14:paraId="2DD7AE7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64D2FEC" w14:textId="77777777" w:rsidR="00C96521" w:rsidRPr="00C96521" w:rsidRDefault="00C96521" w:rsidP="00C96521">
      <w:pPr>
        <w:widowControl/>
        <w:autoSpaceDE/>
        <w:autoSpaceDN/>
        <w:adjustRightInd/>
        <w:spacing w:line="276" w:lineRule="auto"/>
        <w:rPr>
          <w:rFonts w:eastAsia="Calibri"/>
          <w:sz w:val="20"/>
          <w:szCs w:val="22"/>
          <w:lang w:val="en-GB" w:eastAsia="ja-JP"/>
        </w:rPr>
      </w:pPr>
      <w:r w:rsidRPr="00C96521">
        <w:rPr>
          <w:rFonts w:eastAsia="Calibri"/>
          <w:noProof/>
          <w:sz w:val="20"/>
          <w:szCs w:val="22"/>
        </w:rPr>
        <w:lastRenderedPageBreak/>
        <w:drawing>
          <wp:inline distT="0" distB="0" distL="0" distR="0" wp14:anchorId="517D26F9" wp14:editId="494CF84C">
            <wp:extent cx="5769499" cy="3428964"/>
            <wp:effectExtent l="19050" t="19050" r="21701" b="19086"/>
            <wp:docPr id="34" name="Picture 1" descr="TurtleDove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DoveRange.jpg"/>
                    <pic:cNvPicPr/>
                  </pic:nvPicPr>
                  <pic:blipFill>
                    <a:blip r:embed="rId29" cstate="print"/>
                    <a:stretch>
                      <a:fillRect/>
                    </a:stretch>
                  </pic:blipFill>
                  <pic:spPr>
                    <a:xfrm>
                      <a:off x="0" y="0"/>
                      <a:ext cx="5772169" cy="3430551"/>
                    </a:xfrm>
                    <a:prstGeom prst="rect">
                      <a:avLst/>
                    </a:prstGeom>
                    <a:ln w="3175" cap="sq">
                      <a:solidFill>
                        <a:srgbClr val="000000"/>
                      </a:solidFill>
                      <a:prstDash val="solid"/>
                      <a:miter lim="800000"/>
                    </a:ln>
                    <a:effectLst/>
                  </pic:spPr>
                </pic:pic>
              </a:graphicData>
            </a:graphic>
          </wp:inline>
        </w:drawing>
      </w:r>
    </w:p>
    <w:p w14:paraId="1A345404" w14:textId="77777777" w:rsidR="00C96521" w:rsidRPr="00C96521" w:rsidRDefault="00C96521" w:rsidP="00C96521">
      <w:pPr>
        <w:widowControl/>
        <w:autoSpaceDE/>
        <w:autoSpaceDN/>
        <w:adjustRightInd/>
        <w:spacing w:line="276" w:lineRule="auto"/>
        <w:rPr>
          <w:rFonts w:eastAsia="Calibri"/>
          <w:i/>
          <w:sz w:val="20"/>
          <w:szCs w:val="22"/>
          <w:lang w:val="en-GB" w:eastAsia="ja-JP"/>
        </w:rPr>
      </w:pPr>
    </w:p>
    <w:p w14:paraId="6487EAC7" w14:textId="77777777" w:rsidR="00C96521" w:rsidRPr="00C96521" w:rsidRDefault="00C96521" w:rsidP="00C96521">
      <w:pPr>
        <w:widowControl/>
        <w:autoSpaceDE/>
        <w:autoSpaceDN/>
        <w:adjustRightInd/>
        <w:spacing w:line="276" w:lineRule="auto"/>
        <w:rPr>
          <w:rFonts w:eastAsia="Calibri"/>
          <w:i/>
          <w:sz w:val="20"/>
          <w:szCs w:val="22"/>
          <w:lang w:val="en-GB" w:eastAsia="ja-JP"/>
        </w:rPr>
      </w:pPr>
      <w:r w:rsidRPr="00C96521">
        <w:rPr>
          <w:rFonts w:eastAsia="Calibri"/>
          <w:i/>
          <w:sz w:val="20"/>
          <w:szCs w:val="22"/>
          <w:lang w:val="en-GB" w:eastAsia="ja-JP"/>
        </w:rPr>
        <w:t xml:space="preserve">Figure 1. Map of breeding and wintering range states for </w:t>
      </w:r>
      <w:r w:rsidRPr="00C96521">
        <w:rPr>
          <w:rFonts w:eastAsia="Calibri"/>
          <w:sz w:val="20"/>
          <w:szCs w:val="22"/>
          <w:lang w:val="en-GB" w:eastAsia="ja-JP"/>
        </w:rPr>
        <w:t>Streptopelia turtur</w:t>
      </w:r>
      <w:r w:rsidRPr="00C96521">
        <w:rPr>
          <w:rFonts w:eastAsia="Calibri"/>
          <w:i/>
          <w:sz w:val="20"/>
          <w:szCs w:val="22"/>
          <w:lang w:val="en-GB" w:eastAsia="ja-JP"/>
        </w:rPr>
        <w:t xml:space="preserve"> (all subspecies) (breeding in red, wintering in green) (BirdLife International 2016).</w:t>
      </w:r>
    </w:p>
    <w:p w14:paraId="4D46BF84" w14:textId="77777777" w:rsidR="00C96521" w:rsidRPr="00C96521" w:rsidRDefault="00C96521" w:rsidP="00C96521">
      <w:pPr>
        <w:widowControl/>
        <w:autoSpaceDE/>
        <w:autoSpaceDN/>
        <w:adjustRightInd/>
        <w:spacing w:line="276" w:lineRule="auto"/>
        <w:rPr>
          <w:rFonts w:eastAsia="Calibri"/>
          <w:i/>
          <w:sz w:val="20"/>
          <w:szCs w:val="22"/>
          <w:lang w:val="en-GB" w:eastAsia="ja-JP"/>
        </w:rPr>
      </w:pPr>
    </w:p>
    <w:p w14:paraId="2E2E0205" w14:textId="77777777" w:rsidR="00C96521" w:rsidRPr="00C96521" w:rsidRDefault="00C96521" w:rsidP="00C96521">
      <w:pPr>
        <w:widowControl/>
        <w:autoSpaceDE/>
        <w:autoSpaceDN/>
        <w:adjustRightInd/>
        <w:spacing w:line="276" w:lineRule="auto"/>
        <w:rPr>
          <w:rFonts w:eastAsia="Calibri"/>
          <w:i/>
          <w:sz w:val="20"/>
          <w:szCs w:val="22"/>
          <w:lang w:val="en-GB" w:eastAsia="ja-JP"/>
        </w:rPr>
      </w:pPr>
    </w:p>
    <w:p w14:paraId="36105634" w14:textId="77777777" w:rsidR="00C96521" w:rsidRPr="00C96521" w:rsidRDefault="00C96521" w:rsidP="00C96521">
      <w:pPr>
        <w:widowControl/>
        <w:autoSpaceDE/>
        <w:autoSpaceDN/>
        <w:adjustRightInd/>
        <w:spacing w:line="276" w:lineRule="auto"/>
        <w:rPr>
          <w:rFonts w:eastAsia="Calibri"/>
          <w:b/>
          <w:i/>
          <w:sz w:val="20"/>
          <w:szCs w:val="22"/>
          <w:lang w:val="en-GB" w:eastAsia="ja-JP"/>
        </w:rPr>
      </w:pPr>
      <w:r w:rsidRPr="00C96521">
        <w:rPr>
          <w:rFonts w:eastAsia="Calibri"/>
          <w:i/>
          <w:sz w:val="20"/>
          <w:szCs w:val="22"/>
          <w:lang w:val="en-GB" w:eastAsia="ja-JP"/>
        </w:rPr>
        <w:t>Table 1. Range States for the European turtle-dove covered by the Action Plan</w:t>
      </w:r>
    </w:p>
    <w:p w14:paraId="2BC7E14F" w14:textId="77777777" w:rsidR="00C96521" w:rsidRPr="00C96521" w:rsidRDefault="00C96521" w:rsidP="00C96521">
      <w:pPr>
        <w:widowControl/>
        <w:autoSpaceDE/>
        <w:autoSpaceDN/>
        <w:adjustRightInd/>
        <w:spacing w:line="276" w:lineRule="auto"/>
        <w:rPr>
          <w:rFonts w:eastAsia="Calibri"/>
          <w:i/>
          <w:sz w:val="20"/>
          <w:szCs w:val="22"/>
          <w:lang w:val="en-GB" w:eastAsia="ja-JP"/>
        </w:rPr>
      </w:pPr>
    </w:p>
    <w:tbl>
      <w:tblPr>
        <w:tblStyle w:val="TableGrid"/>
        <w:tblW w:w="0" w:type="auto"/>
        <w:tblBorders>
          <w:insideV w:val="none" w:sz="0" w:space="0" w:color="auto"/>
        </w:tblBorders>
        <w:tblLook w:val="04A0" w:firstRow="1" w:lastRow="0" w:firstColumn="1" w:lastColumn="0" w:noHBand="0" w:noVBand="1"/>
      </w:tblPr>
      <w:tblGrid>
        <w:gridCol w:w="3098"/>
        <w:gridCol w:w="3102"/>
        <w:gridCol w:w="3110"/>
      </w:tblGrid>
      <w:tr w:rsidR="00C96521" w:rsidRPr="0053142C" w14:paraId="072CD994" w14:textId="77777777" w:rsidTr="00C96521">
        <w:tc>
          <w:tcPr>
            <w:tcW w:w="3178" w:type="dxa"/>
          </w:tcPr>
          <w:p w14:paraId="2E1B5410" w14:textId="77777777" w:rsidR="00C96521" w:rsidRPr="0053142C" w:rsidRDefault="00C96521" w:rsidP="00C96521">
            <w:pPr>
              <w:widowControl/>
              <w:autoSpaceDE/>
              <w:autoSpaceDN/>
              <w:adjustRightInd/>
              <w:rPr>
                <w:rFonts w:ascii="Arial" w:eastAsia="Calibri" w:hAnsi="Arial" w:cs="Arial"/>
                <w:i/>
                <w:sz w:val="20"/>
                <w:szCs w:val="20"/>
                <w:lang w:val="en-GB"/>
              </w:rPr>
            </w:pPr>
            <w:r w:rsidRPr="0053142C">
              <w:rPr>
                <w:rFonts w:ascii="Arial" w:eastAsia="Calibri" w:hAnsi="Arial" w:cs="Arial"/>
                <w:i/>
                <w:sz w:val="20"/>
                <w:szCs w:val="20"/>
                <w:lang w:val="en-GB"/>
              </w:rPr>
              <w:t>Breeding</w:t>
            </w:r>
          </w:p>
        </w:tc>
        <w:tc>
          <w:tcPr>
            <w:tcW w:w="3179" w:type="dxa"/>
            <w:tcBorders>
              <w:bottom w:val="single" w:sz="4" w:space="0" w:color="auto"/>
            </w:tcBorders>
          </w:tcPr>
          <w:p w14:paraId="6974C4C6" w14:textId="77777777" w:rsidR="00C96521" w:rsidRPr="0053142C" w:rsidRDefault="00C96521" w:rsidP="00C96521">
            <w:pPr>
              <w:widowControl/>
              <w:autoSpaceDE/>
              <w:autoSpaceDN/>
              <w:adjustRightInd/>
              <w:rPr>
                <w:rFonts w:ascii="Arial" w:eastAsia="Calibri" w:hAnsi="Arial" w:cs="Arial"/>
                <w:i/>
                <w:sz w:val="20"/>
                <w:szCs w:val="20"/>
                <w:lang w:val="en-GB"/>
              </w:rPr>
            </w:pPr>
            <w:r w:rsidRPr="0053142C">
              <w:rPr>
                <w:rFonts w:ascii="Arial" w:eastAsia="Calibri" w:hAnsi="Arial" w:cs="Arial"/>
                <w:i/>
                <w:sz w:val="20"/>
                <w:szCs w:val="20"/>
                <w:lang w:val="en-GB"/>
              </w:rPr>
              <w:t>Migrating</w:t>
            </w:r>
          </w:p>
          <w:p w14:paraId="3FADCD66" w14:textId="77777777" w:rsidR="00C96521" w:rsidRPr="0053142C" w:rsidRDefault="00C96521" w:rsidP="00C96521">
            <w:pPr>
              <w:widowControl/>
              <w:autoSpaceDE/>
              <w:autoSpaceDN/>
              <w:adjustRightInd/>
              <w:rPr>
                <w:rFonts w:ascii="Arial" w:eastAsia="Calibri" w:hAnsi="Arial" w:cs="Arial"/>
                <w:sz w:val="20"/>
                <w:szCs w:val="20"/>
                <w:lang w:val="en-GB"/>
              </w:rPr>
            </w:pPr>
          </w:p>
          <w:p w14:paraId="09ADAA5C"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Autumn: August – November Spring: March – June</w:t>
            </w:r>
          </w:p>
        </w:tc>
        <w:tc>
          <w:tcPr>
            <w:tcW w:w="3179" w:type="dxa"/>
            <w:tcBorders>
              <w:bottom w:val="single" w:sz="4" w:space="0" w:color="auto"/>
            </w:tcBorders>
          </w:tcPr>
          <w:p w14:paraId="666D38E7" w14:textId="77777777" w:rsidR="00C96521" w:rsidRPr="0053142C" w:rsidRDefault="00C96521" w:rsidP="00C96521">
            <w:pPr>
              <w:widowControl/>
              <w:autoSpaceDE/>
              <w:autoSpaceDN/>
              <w:adjustRightInd/>
              <w:rPr>
                <w:rFonts w:ascii="Arial" w:eastAsia="Calibri" w:hAnsi="Arial" w:cs="Arial"/>
                <w:i/>
                <w:sz w:val="20"/>
                <w:szCs w:val="20"/>
                <w:lang w:val="en-GB"/>
              </w:rPr>
            </w:pPr>
            <w:r w:rsidRPr="0053142C">
              <w:rPr>
                <w:rFonts w:ascii="Arial" w:eastAsia="Calibri" w:hAnsi="Arial" w:cs="Arial"/>
                <w:i/>
                <w:sz w:val="20"/>
                <w:szCs w:val="20"/>
                <w:lang w:val="en-GB"/>
              </w:rPr>
              <w:t>Wintering</w:t>
            </w:r>
          </w:p>
        </w:tc>
      </w:tr>
      <w:tr w:rsidR="00C96521" w:rsidRPr="0053142C" w14:paraId="73E02401" w14:textId="77777777" w:rsidTr="00C96521">
        <w:trPr>
          <w:trHeight w:val="979"/>
        </w:trPr>
        <w:tc>
          <w:tcPr>
            <w:tcW w:w="3178" w:type="dxa"/>
            <w:tcBorders>
              <w:right w:val="single" w:sz="4" w:space="0" w:color="auto"/>
            </w:tcBorders>
          </w:tcPr>
          <w:p w14:paraId="5EA3A635"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EUROPEAN UNION</w:t>
            </w:r>
          </w:p>
          <w:p w14:paraId="472C15DF"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Austria</w:t>
            </w:r>
          </w:p>
          <w:p w14:paraId="014FE4F5"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Belgium</w:t>
            </w:r>
          </w:p>
          <w:p w14:paraId="710F2F6B"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Bulgaria</w:t>
            </w:r>
          </w:p>
          <w:p w14:paraId="6E9B0059"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Croatia</w:t>
            </w:r>
          </w:p>
          <w:p w14:paraId="4B69520A"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Cyprus</w:t>
            </w:r>
          </w:p>
          <w:p w14:paraId="227D1F47"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Czech Republic</w:t>
            </w:r>
          </w:p>
          <w:p w14:paraId="3525B1DF"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Denmark</w:t>
            </w:r>
          </w:p>
          <w:p w14:paraId="02259201"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Estonia</w:t>
            </w:r>
          </w:p>
          <w:p w14:paraId="765EE99B"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Finland</w:t>
            </w:r>
          </w:p>
          <w:p w14:paraId="3234D6D3"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France</w:t>
            </w:r>
          </w:p>
          <w:p w14:paraId="30221C45"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Germany</w:t>
            </w:r>
          </w:p>
          <w:p w14:paraId="27A33EB6"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Greece</w:t>
            </w:r>
          </w:p>
          <w:p w14:paraId="3CA99612"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Hungary</w:t>
            </w:r>
          </w:p>
          <w:p w14:paraId="50EF1518"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Italy</w:t>
            </w:r>
          </w:p>
          <w:p w14:paraId="7F090A6A"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Latvia</w:t>
            </w:r>
          </w:p>
          <w:p w14:paraId="18E17667"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Lithuania</w:t>
            </w:r>
          </w:p>
          <w:p w14:paraId="1C88047E"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Luxembourg</w:t>
            </w:r>
          </w:p>
          <w:p w14:paraId="29211CA8"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Malta</w:t>
            </w:r>
            <w:r w:rsidRPr="0053142C">
              <w:rPr>
                <w:rFonts w:ascii="Arial" w:eastAsia="Calibri" w:hAnsi="Arial" w:cs="Arial"/>
                <w:sz w:val="20"/>
                <w:szCs w:val="20"/>
                <w:vertAlign w:val="superscript"/>
                <w:lang w:val="en-GB"/>
              </w:rPr>
              <w:footnoteReference w:id="1"/>
            </w:r>
          </w:p>
          <w:p w14:paraId="76552C6C"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Netherlands</w:t>
            </w:r>
          </w:p>
          <w:p w14:paraId="3C9631CE"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Poland</w:t>
            </w:r>
          </w:p>
          <w:p w14:paraId="69018E5D"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Portugal</w:t>
            </w:r>
          </w:p>
          <w:p w14:paraId="7BBF8084"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Romania</w:t>
            </w:r>
          </w:p>
          <w:p w14:paraId="7CB23605"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Slovakia</w:t>
            </w:r>
          </w:p>
          <w:p w14:paraId="5BCF5793"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lastRenderedPageBreak/>
              <w:t>Slovenia</w:t>
            </w:r>
          </w:p>
          <w:p w14:paraId="3C5F82B0"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Spain (and all Islands)</w:t>
            </w:r>
          </w:p>
          <w:p w14:paraId="37255D13"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United Kingdom (England, Channel Islands, Gibraltar)</w:t>
            </w:r>
          </w:p>
        </w:tc>
        <w:tc>
          <w:tcPr>
            <w:tcW w:w="3179" w:type="dxa"/>
            <w:tcBorders>
              <w:left w:val="single" w:sz="4" w:space="0" w:color="auto"/>
              <w:right w:val="single" w:sz="4" w:space="0" w:color="auto"/>
            </w:tcBorders>
          </w:tcPr>
          <w:p w14:paraId="2F707227" w14:textId="77777777" w:rsidR="00C96521" w:rsidRPr="0053142C" w:rsidRDefault="00C96521" w:rsidP="00C96521">
            <w:pPr>
              <w:widowControl/>
              <w:autoSpaceDE/>
              <w:autoSpaceDN/>
              <w:adjustRightInd/>
              <w:rPr>
                <w:rFonts w:ascii="Arial" w:eastAsia="Calibri" w:hAnsi="Arial" w:cs="Arial"/>
                <w:sz w:val="20"/>
                <w:szCs w:val="20"/>
                <w:lang w:val="en-GB"/>
              </w:rPr>
            </w:pPr>
          </w:p>
          <w:p w14:paraId="07D80A41"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The following EU countries have areas of particular importance for staging turtle-dove during</w:t>
            </w:r>
          </w:p>
          <w:p w14:paraId="060E090D"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migration :</w:t>
            </w:r>
          </w:p>
          <w:p w14:paraId="637DFC5B" w14:textId="77777777" w:rsidR="00C96521" w:rsidRPr="0053142C" w:rsidRDefault="00C96521" w:rsidP="00C96521">
            <w:pPr>
              <w:widowControl/>
              <w:autoSpaceDE/>
              <w:autoSpaceDN/>
              <w:adjustRightInd/>
              <w:rPr>
                <w:rFonts w:ascii="Arial" w:eastAsia="Calibri" w:hAnsi="Arial" w:cs="Arial"/>
                <w:sz w:val="20"/>
                <w:szCs w:val="20"/>
                <w:lang w:val="en-GB"/>
              </w:rPr>
            </w:pPr>
          </w:p>
          <w:p w14:paraId="73471795"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Cyprus</w:t>
            </w:r>
          </w:p>
          <w:p w14:paraId="096097E2"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France</w:t>
            </w:r>
          </w:p>
          <w:p w14:paraId="59AF6A2E"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Greece</w:t>
            </w:r>
          </w:p>
          <w:p w14:paraId="39893F94"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Italy</w:t>
            </w:r>
          </w:p>
          <w:p w14:paraId="6158D493"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 xml:space="preserve">Malta </w:t>
            </w:r>
          </w:p>
          <w:p w14:paraId="27DFF401"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Portugal</w:t>
            </w:r>
          </w:p>
          <w:p w14:paraId="55A093B8"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Spain</w:t>
            </w:r>
          </w:p>
        </w:tc>
        <w:tc>
          <w:tcPr>
            <w:tcW w:w="3179" w:type="dxa"/>
            <w:tcBorders>
              <w:left w:val="single" w:sz="4" w:space="0" w:color="auto"/>
              <w:bottom w:val="single" w:sz="4" w:space="0" w:color="auto"/>
            </w:tcBorders>
          </w:tcPr>
          <w:p w14:paraId="0C4FCD05" w14:textId="77777777" w:rsidR="00C96521" w:rsidRPr="0053142C" w:rsidRDefault="00C96521" w:rsidP="00C96521">
            <w:pPr>
              <w:widowControl/>
              <w:autoSpaceDE/>
              <w:autoSpaceDN/>
              <w:adjustRightInd/>
              <w:rPr>
                <w:rFonts w:ascii="Arial" w:eastAsia="Calibri" w:hAnsi="Arial" w:cs="Arial"/>
                <w:sz w:val="20"/>
                <w:szCs w:val="20"/>
                <w:lang w:val="en-GB"/>
              </w:rPr>
            </w:pPr>
          </w:p>
          <w:p w14:paraId="6C78DDC1"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None in Europe</w:t>
            </w:r>
          </w:p>
        </w:tc>
      </w:tr>
      <w:tr w:rsidR="00C96521" w:rsidRPr="0053142C" w14:paraId="798134CA" w14:textId="77777777" w:rsidTr="00C96521">
        <w:tc>
          <w:tcPr>
            <w:tcW w:w="3178" w:type="dxa"/>
          </w:tcPr>
          <w:p w14:paraId="78D233F8"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 xml:space="preserve">OTHER - </w:t>
            </w:r>
            <w:r w:rsidRPr="0053142C">
              <w:rPr>
                <w:rFonts w:ascii="Arial" w:eastAsia="Calibri" w:hAnsi="Arial" w:cs="Arial"/>
                <w:i/>
                <w:sz w:val="20"/>
                <w:szCs w:val="20"/>
                <w:lang w:val="en-GB"/>
              </w:rPr>
              <w:t>breeding</w:t>
            </w:r>
          </w:p>
          <w:p w14:paraId="3320A9CE"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Algeria</w:t>
            </w:r>
          </w:p>
          <w:p w14:paraId="071F0F4B"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Albania</w:t>
            </w:r>
          </w:p>
          <w:p w14:paraId="4D9A6059"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Andorra</w:t>
            </w:r>
          </w:p>
          <w:p w14:paraId="366F27B3"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Armenia</w:t>
            </w:r>
          </w:p>
          <w:p w14:paraId="6152D10C"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Azerbaijan</w:t>
            </w:r>
          </w:p>
          <w:p w14:paraId="412A9D17"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Belarus</w:t>
            </w:r>
          </w:p>
          <w:p w14:paraId="1AD94C21"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Bosnia and Herzegovina</w:t>
            </w:r>
          </w:p>
          <w:p w14:paraId="1D4A607D"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Egypt</w:t>
            </w:r>
          </w:p>
          <w:p w14:paraId="49644E5C"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Georgia</w:t>
            </w:r>
          </w:p>
          <w:p w14:paraId="281F0D0B"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Israel</w:t>
            </w:r>
          </w:p>
          <w:p w14:paraId="4A442EDF"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Jordan</w:t>
            </w:r>
          </w:p>
          <w:p w14:paraId="34C6EC9E" w14:textId="5EE7EF2D"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Kosovo</w:t>
            </w:r>
            <w:r w:rsidR="00177BBB">
              <w:rPr>
                <w:rFonts w:ascii="Arial" w:eastAsia="Calibri" w:hAnsi="Arial" w:cs="Arial"/>
                <w:sz w:val="20"/>
                <w:szCs w:val="20"/>
                <w:lang w:val="en-GB"/>
              </w:rPr>
              <w:t xml:space="preserve"> (UN Res 1244)</w:t>
            </w:r>
          </w:p>
          <w:p w14:paraId="4E702770"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Lebanon</w:t>
            </w:r>
          </w:p>
          <w:p w14:paraId="3FA5DCD0"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Libya</w:t>
            </w:r>
          </w:p>
          <w:p w14:paraId="5914EB55" w14:textId="77777777" w:rsidR="00C96521" w:rsidRPr="0053142C" w:rsidRDefault="00C96521" w:rsidP="00C96521">
            <w:pPr>
              <w:widowControl/>
              <w:autoSpaceDE/>
              <w:autoSpaceDN/>
              <w:adjustRightInd/>
              <w:rPr>
                <w:rFonts w:ascii="Arial" w:eastAsia="Calibri" w:hAnsi="Arial" w:cs="Arial"/>
                <w:sz w:val="20"/>
                <w:szCs w:val="20"/>
                <w:lang w:val="en-GB"/>
              </w:rPr>
            </w:pPr>
          </w:p>
          <w:p w14:paraId="1294F891"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Vagrant birds appear in other European countries that are not listed, and non-breeding birds are recorded during the summer in Ireland and Sweden.</w:t>
            </w:r>
          </w:p>
        </w:tc>
        <w:tc>
          <w:tcPr>
            <w:tcW w:w="3179" w:type="dxa"/>
            <w:tcBorders>
              <w:right w:val="single" w:sz="4" w:space="0" w:color="auto"/>
            </w:tcBorders>
          </w:tcPr>
          <w:p w14:paraId="7810A099" w14:textId="77777777" w:rsidR="00C96521" w:rsidRPr="0053142C" w:rsidRDefault="00C96521" w:rsidP="00C96521">
            <w:pPr>
              <w:widowControl/>
              <w:autoSpaceDE/>
              <w:autoSpaceDN/>
              <w:adjustRightInd/>
              <w:rPr>
                <w:rFonts w:ascii="Arial" w:eastAsia="Calibri" w:hAnsi="Arial" w:cs="Arial"/>
                <w:sz w:val="20"/>
                <w:szCs w:val="20"/>
                <w:lang w:val="en-GB"/>
              </w:rPr>
            </w:pPr>
          </w:p>
          <w:p w14:paraId="30EE0A30"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Liechtenstein</w:t>
            </w:r>
          </w:p>
          <w:p w14:paraId="3709AFFA"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Macedonia, FYR</w:t>
            </w:r>
          </w:p>
          <w:p w14:paraId="09B0C9D0"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Mauritania</w:t>
            </w:r>
          </w:p>
          <w:p w14:paraId="5E3AE8AF"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Moldova</w:t>
            </w:r>
          </w:p>
          <w:p w14:paraId="14FD5D4A"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Montenegro</w:t>
            </w:r>
          </w:p>
          <w:p w14:paraId="56F09FF2"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Morocco</w:t>
            </w:r>
          </w:p>
          <w:p w14:paraId="6834EC5D"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Palestinian Territory</w:t>
            </w:r>
          </w:p>
          <w:p w14:paraId="515CA9BD"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Russian Federation (European)</w:t>
            </w:r>
          </w:p>
          <w:p w14:paraId="6AE89E76"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Serbia</w:t>
            </w:r>
          </w:p>
          <w:p w14:paraId="7913F6CC"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Switzerland</w:t>
            </w:r>
          </w:p>
          <w:p w14:paraId="0DEFD989" w14:textId="1BE2DD28"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Syria</w:t>
            </w:r>
            <w:r w:rsidR="003574BE">
              <w:rPr>
                <w:rFonts w:ascii="Arial" w:eastAsia="Calibri" w:hAnsi="Arial" w:cs="Arial"/>
                <w:sz w:val="20"/>
                <w:szCs w:val="20"/>
                <w:lang w:val="en-GB"/>
              </w:rPr>
              <w:t>n Arab Republic</w:t>
            </w:r>
          </w:p>
          <w:p w14:paraId="45792620"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Tunisia</w:t>
            </w:r>
          </w:p>
          <w:p w14:paraId="53B86CCB"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Turkey</w:t>
            </w:r>
          </w:p>
          <w:p w14:paraId="65329969"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Ukraine</w:t>
            </w:r>
          </w:p>
        </w:tc>
        <w:tc>
          <w:tcPr>
            <w:tcW w:w="3179" w:type="dxa"/>
            <w:tcBorders>
              <w:left w:val="single" w:sz="4" w:space="0" w:color="auto"/>
            </w:tcBorders>
          </w:tcPr>
          <w:p w14:paraId="61344009" w14:textId="77777777" w:rsidR="00C96521" w:rsidRPr="0053142C" w:rsidRDefault="00C96521" w:rsidP="00C96521">
            <w:pPr>
              <w:widowControl/>
              <w:autoSpaceDE/>
              <w:autoSpaceDN/>
              <w:adjustRightInd/>
              <w:rPr>
                <w:rFonts w:ascii="Arial" w:eastAsia="Calibri" w:hAnsi="Arial" w:cs="Arial"/>
                <w:i/>
                <w:sz w:val="20"/>
                <w:szCs w:val="20"/>
                <w:lang w:val="en-GB"/>
              </w:rPr>
            </w:pPr>
            <w:r w:rsidRPr="0053142C">
              <w:rPr>
                <w:rFonts w:ascii="Arial" w:eastAsia="Calibri" w:hAnsi="Arial" w:cs="Arial"/>
                <w:i/>
                <w:sz w:val="20"/>
                <w:szCs w:val="20"/>
                <w:lang w:val="en-GB"/>
              </w:rPr>
              <w:t>Wintering</w:t>
            </w:r>
          </w:p>
          <w:p w14:paraId="2C8992E1"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Benin</w:t>
            </w:r>
          </w:p>
          <w:p w14:paraId="34D49403"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Burkina Faso</w:t>
            </w:r>
          </w:p>
          <w:p w14:paraId="5A3EFB80"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Cameroon</w:t>
            </w:r>
          </w:p>
          <w:p w14:paraId="3D43311F"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Central African Republic</w:t>
            </w:r>
          </w:p>
          <w:p w14:paraId="55C04103"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Chad</w:t>
            </w:r>
          </w:p>
          <w:p w14:paraId="4B8AE642"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Eritrea</w:t>
            </w:r>
          </w:p>
          <w:p w14:paraId="2AB04779"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Ethiopia</w:t>
            </w:r>
          </w:p>
          <w:p w14:paraId="47B2AA19"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The Gambia</w:t>
            </w:r>
          </w:p>
          <w:p w14:paraId="2C346351"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Ghana</w:t>
            </w:r>
          </w:p>
          <w:p w14:paraId="70D2D2EB"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Guinea</w:t>
            </w:r>
          </w:p>
          <w:p w14:paraId="62F27FEC"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Guinea-Bissau</w:t>
            </w:r>
          </w:p>
          <w:p w14:paraId="0C2278FF"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Mali</w:t>
            </w:r>
          </w:p>
          <w:p w14:paraId="21889692"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Mauritania (predominantly migrating)</w:t>
            </w:r>
          </w:p>
          <w:p w14:paraId="100520E7"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Niger</w:t>
            </w:r>
          </w:p>
          <w:p w14:paraId="2FCC0ACC"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Nigeria</w:t>
            </w:r>
          </w:p>
          <w:p w14:paraId="41C6F586"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Senegal</w:t>
            </w:r>
          </w:p>
          <w:p w14:paraId="08C5DF1D"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South Sudan</w:t>
            </w:r>
          </w:p>
          <w:p w14:paraId="2A0D0F50"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Sudan</w:t>
            </w:r>
          </w:p>
          <w:p w14:paraId="5211373E"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Togo</w:t>
            </w:r>
          </w:p>
        </w:tc>
      </w:tr>
    </w:tbl>
    <w:p w14:paraId="6CD31F7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A6B229F" w14:textId="5A7E79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Turtle</w:t>
      </w:r>
      <w:r w:rsidR="003574BE">
        <w:rPr>
          <w:rFonts w:eastAsia="MS Mincho"/>
          <w:sz w:val="20"/>
          <w:szCs w:val="22"/>
          <w:lang w:val="en-GB" w:eastAsia="ja-JP"/>
        </w:rPr>
        <w:t xml:space="preserve"> D</w:t>
      </w:r>
      <w:r w:rsidRPr="00C96521">
        <w:rPr>
          <w:rFonts w:eastAsia="MS Mincho"/>
          <w:sz w:val="20"/>
          <w:szCs w:val="22"/>
          <w:lang w:val="en-GB" w:eastAsia="ja-JP"/>
        </w:rPr>
        <w:t>oves are also found eastwards of Europe and the Mediterranean (see Figure 1), but information is scarce. The Framework of Actions includes activities to expand knowledge for these Range States.</w:t>
      </w:r>
    </w:p>
    <w:p w14:paraId="7B1C1A7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030D01B" w14:textId="0CB3FEA5"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3" w:name="_Toc478646891"/>
      <w:r w:rsidRPr="00C96521">
        <w:rPr>
          <w:rFonts w:ascii="Cambria" w:eastAsia="MS Gothic" w:hAnsi="Cambria"/>
          <w:b/>
          <w:bCs/>
          <w:color w:val="4F81BD"/>
          <w:sz w:val="26"/>
          <w:szCs w:val="26"/>
          <w:lang w:val="en-GB" w:eastAsia="ja-JP"/>
        </w:rPr>
        <w:t>Relevant policy and legislation</w:t>
      </w:r>
      <w:bookmarkEnd w:id="3"/>
    </w:p>
    <w:p w14:paraId="6BAC532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CFFEE78" w14:textId="6D6CDD5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the European Union, the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sz w:val="20"/>
          <w:szCs w:val="22"/>
          <w:lang w:val="en-GB" w:eastAsia="ja-JP"/>
        </w:rPr>
        <w:t xml:space="preserve">benefits from the general protection afforded by the Birds Directive 2009/147/EC to all species of native birds. It is prohibited to deliberately damage or destroy their nests and eggs, and the birds themselves are protected against deliberate disturbance, especially during the period of breeding and rearing. In the EU Member States that specifically list </w:t>
      </w:r>
      <w:r w:rsidR="003574BE">
        <w:rPr>
          <w:rFonts w:eastAsia="MS Mincho"/>
          <w:sz w:val="20"/>
          <w:szCs w:val="22"/>
          <w:lang w:val="en-GB" w:eastAsia="ja-JP"/>
        </w:rPr>
        <w:t>the 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ove</w:t>
      </w:r>
      <w:r w:rsidRPr="00C96521">
        <w:rPr>
          <w:rFonts w:eastAsia="MS Mincho"/>
          <w:sz w:val="20"/>
          <w:szCs w:val="22"/>
          <w:lang w:val="en-GB" w:eastAsia="ja-JP"/>
        </w:rPr>
        <w:t xml:space="preserve"> on Annex II/2, the species can be hunted in accordance with the national measures in force, which need to comply with the principles of wise use and ecologically balanced control of the species. Hunting must be compatible with maintaining the population at a level that corresponds in particular to ecological, scientific and cultural requirements, while taking account of economic and recreational requirements.</w:t>
      </w:r>
    </w:p>
    <w:p w14:paraId="116C42E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14F01BE" w14:textId="3841CF7D"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a wider international context, the nominate subspecies, </w:t>
      </w:r>
      <w:r w:rsidRPr="00C96521">
        <w:rPr>
          <w:rFonts w:eastAsia="MS Mincho"/>
          <w:i/>
          <w:sz w:val="20"/>
          <w:szCs w:val="22"/>
          <w:lang w:val="en-GB" w:eastAsia="ja-JP"/>
        </w:rPr>
        <w:t>S. t. turtur</w:t>
      </w:r>
      <w:r w:rsidRPr="00C96521">
        <w:rPr>
          <w:rFonts w:eastAsia="MS Mincho"/>
          <w:sz w:val="20"/>
          <w:szCs w:val="22"/>
          <w:lang w:val="en-GB" w:eastAsia="ja-JP"/>
        </w:rPr>
        <w:t xml:space="preserve">, is listed on Annex II of the Convention on Migratory Species, as potentially benefitting from international cooperation in matters of research and conservation measures. In that context, it is listed in the 2014 African-Eurasian Migratory Landbirds Action Plan (AEMLAP), which is aimed at improving the conservation status of migratory landbird species in the African-Eurasian region through the international coordination of action for these species, and catalysing action at the national level. </w:t>
      </w:r>
      <w:r w:rsidRPr="00C96521">
        <w:rPr>
          <w:rFonts w:eastAsia="MS Mincho"/>
          <w:i/>
          <w:sz w:val="20"/>
          <w:szCs w:val="22"/>
          <w:lang w:val="en-GB" w:eastAsia="ja-JP"/>
        </w:rPr>
        <w:t>S. turtur</w:t>
      </w:r>
      <w:r w:rsidRPr="00C96521">
        <w:rPr>
          <w:rFonts w:eastAsia="MS Mincho"/>
          <w:sz w:val="20"/>
          <w:szCs w:val="22"/>
          <w:lang w:val="en-GB" w:eastAsia="ja-JP"/>
        </w:rPr>
        <w:t xml:space="preserve"> is listed as Category B (non-threatened species with declining populations), although given current information, it fulfils the criteria to be listed as Category A (globally threatened, i</w:t>
      </w:r>
      <w:r w:rsidR="003574BE">
        <w:rPr>
          <w:rFonts w:eastAsia="MS Mincho"/>
          <w:sz w:val="20"/>
          <w:szCs w:val="22"/>
          <w:lang w:val="en-GB" w:eastAsia="ja-JP"/>
        </w:rPr>
        <w:t>.</w:t>
      </w:r>
      <w:r w:rsidRPr="00C96521">
        <w:rPr>
          <w:rFonts w:eastAsia="MS Mincho"/>
          <w:sz w:val="20"/>
          <w:szCs w:val="22"/>
          <w:lang w:val="en-GB" w:eastAsia="ja-JP"/>
        </w:rPr>
        <w:t>e</w:t>
      </w:r>
      <w:r w:rsidR="003574BE">
        <w:rPr>
          <w:rFonts w:eastAsia="MS Mincho"/>
          <w:sz w:val="20"/>
          <w:szCs w:val="22"/>
          <w:lang w:val="en-GB" w:eastAsia="ja-JP"/>
        </w:rPr>
        <w:t>.</w:t>
      </w:r>
      <w:r w:rsidRPr="00C96521">
        <w:rPr>
          <w:rFonts w:eastAsia="MS Mincho"/>
          <w:sz w:val="20"/>
          <w:szCs w:val="22"/>
          <w:lang w:val="en-GB" w:eastAsia="ja-JP"/>
        </w:rPr>
        <w:t xml:space="preserve"> critically endangered, endangered and vulnerable, and near-threatened migratory landbird species which should be the subject of strict protection measures and subject to a flyway recovery plan). The provisions for the latter include ensuring legal protection throughout their range.</w:t>
      </w:r>
    </w:p>
    <w:p w14:paraId="4F02927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0BAB5A8"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4" w:name="_Toc478646892"/>
      <w:r w:rsidRPr="00C96521">
        <w:rPr>
          <w:rFonts w:ascii="Cambria" w:eastAsia="MS Gothic" w:hAnsi="Cambria"/>
          <w:b/>
          <w:bCs/>
          <w:color w:val="4F81BD"/>
          <w:sz w:val="20"/>
          <w:szCs w:val="22"/>
          <w:lang w:val="en-GB" w:eastAsia="ja-JP"/>
        </w:rPr>
        <w:t>International conservation status</w:t>
      </w:r>
      <w:bookmarkEnd w:id="4"/>
      <w:r w:rsidRPr="00C96521">
        <w:rPr>
          <w:rFonts w:ascii="Cambria" w:eastAsia="MS Gothic" w:hAnsi="Cambria"/>
          <w:b/>
          <w:bCs/>
          <w:color w:val="4F81BD"/>
          <w:sz w:val="20"/>
          <w:szCs w:val="22"/>
          <w:lang w:val="en-GB" w:eastAsia="ja-JP"/>
        </w:rPr>
        <w:t xml:space="preserve"> </w:t>
      </w:r>
    </w:p>
    <w:p w14:paraId="05D7B0B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18"/>
        <w:gridCol w:w="1960"/>
        <w:gridCol w:w="5232"/>
      </w:tblGrid>
      <w:tr w:rsidR="00C96521" w:rsidRPr="0053142C" w14:paraId="0A253FBE" w14:textId="77777777" w:rsidTr="00C96521">
        <w:tc>
          <w:tcPr>
            <w:tcW w:w="2167" w:type="dxa"/>
          </w:tcPr>
          <w:p w14:paraId="3EA34FA5"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lastRenderedPageBreak/>
              <w:t xml:space="preserve">IUCN Global Red List </w:t>
            </w:r>
          </w:p>
        </w:tc>
        <w:tc>
          <w:tcPr>
            <w:tcW w:w="1983" w:type="dxa"/>
          </w:tcPr>
          <w:p w14:paraId="1A334DC0"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Vulnerable</w:t>
            </w:r>
          </w:p>
        </w:tc>
        <w:tc>
          <w:tcPr>
            <w:tcW w:w="5386" w:type="dxa"/>
          </w:tcPr>
          <w:p w14:paraId="3D3A8C4D"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www.iucnredlist.org (last accessed 15</w:t>
            </w:r>
            <w:r w:rsidRPr="0053142C">
              <w:rPr>
                <w:rFonts w:ascii="Arial" w:hAnsi="Arial" w:cs="Arial"/>
                <w:sz w:val="20"/>
                <w:vertAlign w:val="superscript"/>
                <w:lang w:val="en-GB"/>
              </w:rPr>
              <w:t>th</w:t>
            </w:r>
            <w:r w:rsidRPr="0053142C">
              <w:rPr>
                <w:rFonts w:ascii="Arial" w:hAnsi="Arial" w:cs="Arial"/>
                <w:sz w:val="20"/>
                <w:lang w:val="en-GB"/>
              </w:rPr>
              <w:t xml:space="preserve"> March 2017)</w:t>
            </w:r>
          </w:p>
        </w:tc>
      </w:tr>
      <w:tr w:rsidR="00C96521" w:rsidRPr="0053142C" w14:paraId="40C94024" w14:textId="77777777" w:rsidTr="00C96521">
        <w:tc>
          <w:tcPr>
            <w:tcW w:w="2167" w:type="dxa"/>
          </w:tcPr>
          <w:p w14:paraId="520B005D"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Pan-European Status</w:t>
            </w:r>
          </w:p>
        </w:tc>
        <w:tc>
          <w:tcPr>
            <w:tcW w:w="1983" w:type="dxa"/>
          </w:tcPr>
          <w:p w14:paraId="0B19CD4D"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Unfavourable, declining; SPEC 3</w:t>
            </w:r>
          </w:p>
        </w:tc>
        <w:tc>
          <w:tcPr>
            <w:tcW w:w="5386" w:type="dxa"/>
          </w:tcPr>
          <w:p w14:paraId="77E5AA75"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BirdLife (2004)</w:t>
            </w:r>
          </w:p>
        </w:tc>
      </w:tr>
      <w:tr w:rsidR="00C96521" w:rsidRPr="0053142C" w14:paraId="0ADB20D9" w14:textId="77777777" w:rsidTr="00C96521">
        <w:tc>
          <w:tcPr>
            <w:tcW w:w="2167" w:type="dxa"/>
          </w:tcPr>
          <w:p w14:paraId="03AE85D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EU Threat Status</w:t>
            </w:r>
          </w:p>
        </w:tc>
        <w:tc>
          <w:tcPr>
            <w:tcW w:w="1983" w:type="dxa"/>
          </w:tcPr>
          <w:p w14:paraId="59504325"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Unfavourable, Near Threatened</w:t>
            </w:r>
          </w:p>
        </w:tc>
        <w:tc>
          <w:tcPr>
            <w:tcW w:w="5386" w:type="dxa"/>
          </w:tcPr>
          <w:p w14:paraId="772CC053"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BirdLife (2015)</w:t>
            </w:r>
          </w:p>
        </w:tc>
      </w:tr>
      <w:tr w:rsidR="00C96521" w:rsidRPr="0053142C" w14:paraId="128D409D" w14:textId="77777777" w:rsidTr="00C96521">
        <w:tc>
          <w:tcPr>
            <w:tcW w:w="2167" w:type="dxa"/>
          </w:tcPr>
          <w:p w14:paraId="1387DF8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European Red List</w:t>
            </w:r>
          </w:p>
        </w:tc>
        <w:tc>
          <w:tcPr>
            <w:tcW w:w="1983" w:type="dxa"/>
          </w:tcPr>
          <w:p w14:paraId="5E9613F4"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Vulnerable</w:t>
            </w:r>
          </w:p>
        </w:tc>
        <w:tc>
          <w:tcPr>
            <w:tcW w:w="5386" w:type="dxa"/>
          </w:tcPr>
          <w:p w14:paraId="3E886B68"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BirdLife (2015)</w:t>
            </w:r>
          </w:p>
        </w:tc>
      </w:tr>
    </w:tbl>
    <w:p w14:paraId="4FF4739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0045128"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5" w:name="_Toc478646893"/>
      <w:r w:rsidRPr="00C96521">
        <w:rPr>
          <w:rFonts w:ascii="Cambria" w:eastAsia="MS Gothic" w:hAnsi="Cambria"/>
          <w:b/>
          <w:bCs/>
          <w:color w:val="4F81BD"/>
          <w:sz w:val="20"/>
          <w:szCs w:val="22"/>
          <w:lang w:val="en-GB" w:eastAsia="ja-JP"/>
        </w:rPr>
        <w:t>International and European protection policy and legislation</w:t>
      </w:r>
      <w:bookmarkEnd w:id="5"/>
    </w:p>
    <w:p w14:paraId="70AA66C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95"/>
        <w:gridCol w:w="1829"/>
        <w:gridCol w:w="5386"/>
      </w:tblGrid>
      <w:tr w:rsidR="00C96521" w:rsidRPr="0053142C" w14:paraId="5E6A1AEC" w14:textId="77777777" w:rsidTr="00C96521">
        <w:tc>
          <w:tcPr>
            <w:tcW w:w="2167" w:type="dxa"/>
            <w:shd w:val="clear" w:color="auto" w:fill="D9D9D9"/>
          </w:tcPr>
          <w:p w14:paraId="54362594"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Instrument</w:t>
            </w:r>
          </w:p>
        </w:tc>
        <w:tc>
          <w:tcPr>
            <w:tcW w:w="1983" w:type="dxa"/>
            <w:shd w:val="clear" w:color="auto" w:fill="D9D9D9"/>
          </w:tcPr>
          <w:p w14:paraId="3C4C82A5"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Relevant section</w:t>
            </w:r>
          </w:p>
        </w:tc>
        <w:tc>
          <w:tcPr>
            <w:tcW w:w="5386" w:type="dxa"/>
            <w:shd w:val="clear" w:color="auto" w:fill="D9D9D9"/>
          </w:tcPr>
          <w:p w14:paraId="5E3CD2A6"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Reference and notes</w:t>
            </w:r>
          </w:p>
        </w:tc>
      </w:tr>
      <w:tr w:rsidR="00C96521" w:rsidRPr="0053142C" w14:paraId="4AAC5415" w14:textId="77777777" w:rsidTr="00C96521">
        <w:tc>
          <w:tcPr>
            <w:tcW w:w="2167" w:type="dxa"/>
          </w:tcPr>
          <w:p w14:paraId="2797A9CD"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Bonn Convention/CMS</w:t>
            </w:r>
          </w:p>
        </w:tc>
        <w:tc>
          <w:tcPr>
            <w:tcW w:w="1983" w:type="dxa"/>
          </w:tcPr>
          <w:p w14:paraId="0059DDB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Appendix II</w:t>
            </w:r>
          </w:p>
        </w:tc>
        <w:tc>
          <w:tcPr>
            <w:tcW w:w="5386" w:type="dxa"/>
          </w:tcPr>
          <w:p w14:paraId="129A75F8"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http://www.cms.int/en/species/streptopelia-turtur-turtur (last accessed 15</w:t>
            </w:r>
            <w:r w:rsidRPr="0053142C">
              <w:rPr>
                <w:rFonts w:ascii="Arial" w:hAnsi="Arial" w:cs="Arial"/>
                <w:sz w:val="20"/>
                <w:vertAlign w:val="superscript"/>
                <w:lang w:val="en-GB"/>
              </w:rPr>
              <w:t>th</w:t>
            </w:r>
            <w:r w:rsidRPr="0053142C">
              <w:rPr>
                <w:rFonts w:ascii="Arial" w:hAnsi="Arial" w:cs="Arial"/>
                <w:sz w:val="20"/>
                <w:lang w:val="en-GB"/>
              </w:rPr>
              <w:t xml:space="preserve"> March 2017)</w:t>
            </w:r>
          </w:p>
        </w:tc>
      </w:tr>
      <w:tr w:rsidR="00C96521" w:rsidRPr="0053142C" w14:paraId="105F2797" w14:textId="77777777" w:rsidTr="00C96521">
        <w:tc>
          <w:tcPr>
            <w:tcW w:w="2167" w:type="dxa"/>
          </w:tcPr>
          <w:p w14:paraId="5022792F"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CITES</w:t>
            </w:r>
          </w:p>
        </w:tc>
        <w:tc>
          <w:tcPr>
            <w:tcW w:w="1983" w:type="dxa"/>
          </w:tcPr>
          <w:p w14:paraId="558FDE09"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Not listed</w:t>
            </w:r>
          </w:p>
        </w:tc>
        <w:tc>
          <w:tcPr>
            <w:tcW w:w="5386" w:type="dxa"/>
          </w:tcPr>
          <w:p w14:paraId="0B45D092"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w:t>
            </w:r>
          </w:p>
        </w:tc>
      </w:tr>
      <w:tr w:rsidR="00C96521" w:rsidRPr="0053142C" w14:paraId="525A6A5F" w14:textId="77777777" w:rsidTr="00C96521">
        <w:tc>
          <w:tcPr>
            <w:tcW w:w="2167" w:type="dxa"/>
          </w:tcPr>
          <w:p w14:paraId="2D7E8853"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Bern Convention</w:t>
            </w:r>
          </w:p>
        </w:tc>
        <w:tc>
          <w:tcPr>
            <w:tcW w:w="1983" w:type="dxa"/>
          </w:tcPr>
          <w:p w14:paraId="6A40A208"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Appendix III</w:t>
            </w:r>
          </w:p>
        </w:tc>
        <w:tc>
          <w:tcPr>
            <w:tcW w:w="5386" w:type="dxa"/>
          </w:tcPr>
          <w:p w14:paraId="4C94EA7E"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http://www.coe.int/en/web/conventions/full-list/-/conventions/treaty/104</w:t>
            </w:r>
          </w:p>
          <w:p w14:paraId="07F4B899"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(last accessed 15</w:t>
            </w:r>
            <w:r w:rsidRPr="0053142C">
              <w:rPr>
                <w:rFonts w:ascii="Arial" w:hAnsi="Arial" w:cs="Arial"/>
                <w:sz w:val="20"/>
                <w:vertAlign w:val="superscript"/>
                <w:lang w:val="en-GB"/>
              </w:rPr>
              <w:t>th</w:t>
            </w:r>
            <w:r w:rsidRPr="0053142C">
              <w:rPr>
                <w:rFonts w:ascii="Arial" w:hAnsi="Arial" w:cs="Arial"/>
                <w:sz w:val="20"/>
                <w:lang w:val="en-GB"/>
              </w:rPr>
              <w:t xml:space="preserve"> March 2017)</w:t>
            </w:r>
          </w:p>
        </w:tc>
      </w:tr>
      <w:tr w:rsidR="00C96521" w:rsidRPr="0053142C" w14:paraId="07247F49" w14:textId="77777777" w:rsidTr="00C96521">
        <w:tc>
          <w:tcPr>
            <w:tcW w:w="2167" w:type="dxa"/>
          </w:tcPr>
          <w:p w14:paraId="71AF9F77"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EU Birds Directive</w:t>
            </w:r>
          </w:p>
        </w:tc>
        <w:tc>
          <w:tcPr>
            <w:tcW w:w="1983" w:type="dxa"/>
          </w:tcPr>
          <w:p w14:paraId="79859A14"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Annex II/B</w:t>
            </w:r>
          </w:p>
        </w:tc>
        <w:tc>
          <w:tcPr>
            <w:tcW w:w="5386" w:type="dxa"/>
          </w:tcPr>
          <w:p w14:paraId="1574E93B"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http://ec.europa.eu/environment/nature/legislation/ birdsdirective/index_en.htm</w:t>
            </w:r>
          </w:p>
          <w:p w14:paraId="4124289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(last accessed 15</w:t>
            </w:r>
            <w:r w:rsidRPr="0053142C">
              <w:rPr>
                <w:rFonts w:ascii="Arial" w:hAnsi="Arial" w:cs="Arial"/>
                <w:sz w:val="20"/>
                <w:vertAlign w:val="superscript"/>
                <w:lang w:val="en-GB"/>
              </w:rPr>
              <w:t>th</w:t>
            </w:r>
            <w:r w:rsidRPr="0053142C">
              <w:rPr>
                <w:rFonts w:ascii="Arial" w:hAnsi="Arial" w:cs="Arial"/>
                <w:sz w:val="20"/>
                <w:lang w:val="en-GB"/>
              </w:rPr>
              <w:t xml:space="preserve"> March 2017)</w:t>
            </w:r>
          </w:p>
          <w:p w14:paraId="23351BFE" w14:textId="77777777" w:rsidR="00C96521" w:rsidRPr="0053142C" w:rsidRDefault="00C96521" w:rsidP="00C96521">
            <w:pPr>
              <w:widowControl/>
              <w:autoSpaceDE/>
              <w:autoSpaceDN/>
              <w:adjustRightInd/>
              <w:rPr>
                <w:rFonts w:ascii="Arial" w:hAnsi="Arial" w:cs="Arial"/>
                <w:sz w:val="20"/>
                <w:lang w:val="en-GB"/>
              </w:rPr>
            </w:pPr>
          </w:p>
          <w:p w14:paraId="477FA688"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The turtle-dove is listed on Annex II/B of the EU Birds Directive so it can only be hunted in those Member States that have defined a hunting season for the species.</w:t>
            </w:r>
          </w:p>
        </w:tc>
      </w:tr>
      <w:tr w:rsidR="00C96521" w:rsidRPr="0053142C" w14:paraId="6630D00E" w14:textId="77777777" w:rsidTr="00C96521">
        <w:tc>
          <w:tcPr>
            <w:tcW w:w="2167" w:type="dxa"/>
          </w:tcPr>
          <w:p w14:paraId="1E33B8C3"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Commission Regulation (EU) No 1320/2014 of 1 December 2014 amending Council Regulation (EC) No 338/97 on the protection of species of wild fauna and flora by regulating trade therein</w:t>
            </w:r>
          </w:p>
        </w:tc>
        <w:tc>
          <w:tcPr>
            <w:tcW w:w="1983" w:type="dxa"/>
          </w:tcPr>
          <w:p w14:paraId="4143CEE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Annex A</w:t>
            </w:r>
          </w:p>
        </w:tc>
        <w:tc>
          <w:tcPr>
            <w:tcW w:w="5386" w:type="dxa"/>
          </w:tcPr>
          <w:p w14:paraId="616476DC"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http://eur-lex.europa.eu/legal-content/EN/TXT/PDF/?uri=CELEX:32014R1320&amp;from=EN (last accessed 15</w:t>
            </w:r>
            <w:r w:rsidRPr="0053142C">
              <w:rPr>
                <w:rFonts w:ascii="Arial" w:hAnsi="Arial" w:cs="Arial"/>
                <w:sz w:val="20"/>
                <w:vertAlign w:val="superscript"/>
                <w:lang w:val="en-GB"/>
              </w:rPr>
              <w:t>th</w:t>
            </w:r>
            <w:r w:rsidRPr="0053142C">
              <w:rPr>
                <w:rFonts w:ascii="Arial" w:hAnsi="Arial" w:cs="Arial"/>
                <w:sz w:val="20"/>
                <w:lang w:val="en-GB"/>
              </w:rPr>
              <w:t xml:space="preserve"> March 2017)</w:t>
            </w:r>
          </w:p>
        </w:tc>
      </w:tr>
    </w:tbl>
    <w:p w14:paraId="79AA85C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DDACADC" w14:textId="4A112086"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Other EU policies will have an indirect effect on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004006B8">
        <w:rPr>
          <w:rFonts w:eastAsia="MS Mincho"/>
          <w:sz w:val="20"/>
          <w:szCs w:val="22"/>
          <w:lang w:val="en-GB" w:eastAsia="ja-JP"/>
        </w:rPr>
        <w:t>s</w:t>
      </w:r>
      <w:r w:rsidR="004006B8" w:rsidRPr="00C96521">
        <w:rPr>
          <w:rFonts w:eastAsia="MS Mincho"/>
          <w:sz w:val="20"/>
          <w:szCs w:val="22"/>
          <w:lang w:val="en-GB" w:eastAsia="ja-JP"/>
        </w:rPr>
        <w:t xml:space="preserve"> </w:t>
      </w:r>
      <w:r w:rsidRPr="00C96521">
        <w:rPr>
          <w:rFonts w:eastAsia="MS Mincho"/>
          <w:sz w:val="20"/>
          <w:szCs w:val="22"/>
          <w:lang w:val="en-GB" w:eastAsia="ja-JP"/>
        </w:rPr>
        <w:t>(they are not the specific target of the action), such as Rural Development Plans, Common Agricultural Policy, site protection as part of the Habitats Directive/Natura 2000 etc.</w:t>
      </w:r>
    </w:p>
    <w:p w14:paraId="6DA509C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F75D9EE"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6" w:name="_Toc478646894"/>
      <w:r w:rsidRPr="00C96521">
        <w:rPr>
          <w:rFonts w:ascii="Cambria" w:eastAsia="MS Gothic" w:hAnsi="Cambria"/>
          <w:b/>
          <w:bCs/>
          <w:color w:val="4F81BD"/>
          <w:sz w:val="20"/>
          <w:szCs w:val="22"/>
          <w:lang w:val="en-GB" w:eastAsia="ja-JP"/>
        </w:rPr>
        <w:t>Other relevant international policy and legislation</w:t>
      </w:r>
      <w:bookmarkEnd w:id="6"/>
    </w:p>
    <w:p w14:paraId="1736855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796"/>
        <w:gridCol w:w="1998"/>
        <w:gridCol w:w="5742"/>
      </w:tblGrid>
      <w:tr w:rsidR="00C96521" w:rsidRPr="0053142C" w14:paraId="367C2EBC" w14:textId="77777777" w:rsidTr="00C96521">
        <w:tc>
          <w:tcPr>
            <w:tcW w:w="1796" w:type="dxa"/>
            <w:shd w:val="clear" w:color="auto" w:fill="D9D9D9"/>
          </w:tcPr>
          <w:p w14:paraId="21A6E4AE"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Instrument</w:t>
            </w:r>
          </w:p>
        </w:tc>
        <w:tc>
          <w:tcPr>
            <w:tcW w:w="1998" w:type="dxa"/>
            <w:shd w:val="clear" w:color="auto" w:fill="D9D9D9"/>
          </w:tcPr>
          <w:p w14:paraId="1A9F9AEA"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Relevant section</w:t>
            </w:r>
          </w:p>
        </w:tc>
        <w:tc>
          <w:tcPr>
            <w:tcW w:w="5742" w:type="dxa"/>
            <w:shd w:val="clear" w:color="auto" w:fill="D9D9D9"/>
          </w:tcPr>
          <w:p w14:paraId="7806C338"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Reference</w:t>
            </w:r>
          </w:p>
        </w:tc>
      </w:tr>
      <w:tr w:rsidR="00C96521" w:rsidRPr="0053142C" w14:paraId="702007BF" w14:textId="77777777" w:rsidTr="00C96521">
        <w:tc>
          <w:tcPr>
            <w:tcW w:w="1796" w:type="dxa"/>
          </w:tcPr>
          <w:p w14:paraId="5519B1A5"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t>Convention on the Conservation of Migratory Species of Wild Animals</w:t>
            </w:r>
          </w:p>
        </w:tc>
        <w:tc>
          <w:tcPr>
            <w:tcW w:w="1998" w:type="dxa"/>
          </w:tcPr>
          <w:p w14:paraId="55C0EE7E" w14:textId="77777777" w:rsidR="00C96521" w:rsidRPr="0053142C" w:rsidRDefault="00C96521" w:rsidP="00C96521">
            <w:pPr>
              <w:widowControl/>
              <w:autoSpaceDE/>
              <w:autoSpaceDN/>
              <w:adjustRightInd/>
              <w:rPr>
                <w:rFonts w:ascii="Arial" w:hAnsi="Arial" w:cs="Arial"/>
                <w:bCs/>
                <w:sz w:val="20"/>
                <w:szCs w:val="20"/>
                <w:lang w:val="en-GB"/>
              </w:rPr>
            </w:pPr>
            <w:r w:rsidRPr="0053142C">
              <w:rPr>
                <w:rFonts w:ascii="Arial" w:hAnsi="Arial" w:cs="Arial"/>
                <w:bCs/>
                <w:sz w:val="20"/>
                <w:szCs w:val="20"/>
                <w:lang w:val="en-GB"/>
              </w:rPr>
              <w:t>UNEP/ CMS/ Resolution 11.17</w:t>
            </w:r>
          </w:p>
          <w:p w14:paraId="658A32A9" w14:textId="77777777" w:rsidR="00C96521" w:rsidRPr="0053142C" w:rsidRDefault="00C96521" w:rsidP="00C96521">
            <w:pPr>
              <w:widowControl/>
              <w:autoSpaceDE/>
              <w:autoSpaceDN/>
              <w:adjustRightInd/>
              <w:rPr>
                <w:rFonts w:ascii="Arial" w:hAnsi="Arial" w:cs="Arial"/>
                <w:bCs/>
                <w:sz w:val="20"/>
                <w:szCs w:val="20"/>
                <w:lang w:val="en-GB"/>
              </w:rPr>
            </w:pPr>
          </w:p>
          <w:p w14:paraId="01C663E7" w14:textId="77777777" w:rsidR="00C96521" w:rsidRPr="0053142C" w:rsidRDefault="00C96521" w:rsidP="00C96521">
            <w:pPr>
              <w:widowControl/>
              <w:autoSpaceDE/>
              <w:autoSpaceDN/>
              <w:adjustRightInd/>
              <w:rPr>
                <w:rFonts w:ascii="Arial" w:hAnsi="Arial" w:cs="Arial"/>
                <w:bCs/>
                <w:sz w:val="20"/>
                <w:szCs w:val="20"/>
                <w:lang w:val="en-GB"/>
              </w:rPr>
            </w:pPr>
          </w:p>
          <w:p w14:paraId="32F3349D" w14:textId="77777777" w:rsidR="00C96521" w:rsidRPr="0053142C" w:rsidRDefault="00C96521" w:rsidP="00C96521">
            <w:pPr>
              <w:widowControl/>
              <w:autoSpaceDE/>
              <w:autoSpaceDN/>
              <w:adjustRightInd/>
              <w:rPr>
                <w:rFonts w:ascii="Arial" w:hAnsi="Arial" w:cs="Arial"/>
                <w:bCs/>
                <w:sz w:val="20"/>
                <w:szCs w:val="20"/>
                <w:lang w:val="en-GB"/>
              </w:rPr>
            </w:pPr>
          </w:p>
          <w:p w14:paraId="37363E82" w14:textId="77777777" w:rsidR="00C96521" w:rsidRPr="0053142C" w:rsidRDefault="00C96521" w:rsidP="00C96521">
            <w:pPr>
              <w:widowControl/>
              <w:autoSpaceDE/>
              <w:autoSpaceDN/>
              <w:adjustRightInd/>
              <w:rPr>
                <w:rFonts w:ascii="Arial" w:hAnsi="Arial" w:cs="Arial"/>
                <w:bCs/>
                <w:sz w:val="20"/>
                <w:szCs w:val="20"/>
                <w:lang w:val="en-GB"/>
              </w:rPr>
            </w:pPr>
          </w:p>
          <w:p w14:paraId="3708D90B" w14:textId="77777777" w:rsidR="00C96521" w:rsidRPr="0053142C" w:rsidRDefault="00C96521" w:rsidP="00C96521">
            <w:pPr>
              <w:widowControl/>
              <w:autoSpaceDE/>
              <w:autoSpaceDN/>
              <w:adjustRightInd/>
              <w:rPr>
                <w:rFonts w:ascii="Arial" w:hAnsi="Arial" w:cs="Arial"/>
                <w:bCs/>
                <w:sz w:val="20"/>
                <w:szCs w:val="20"/>
                <w:lang w:val="en-GB"/>
              </w:rPr>
            </w:pPr>
          </w:p>
          <w:p w14:paraId="697B5056" w14:textId="77777777" w:rsidR="00C96521" w:rsidRPr="0053142C" w:rsidRDefault="00C96521" w:rsidP="00C96521">
            <w:pPr>
              <w:widowControl/>
              <w:autoSpaceDE/>
              <w:autoSpaceDN/>
              <w:adjustRightInd/>
              <w:rPr>
                <w:rFonts w:ascii="Arial" w:hAnsi="Arial" w:cs="Arial"/>
                <w:bCs/>
                <w:sz w:val="20"/>
                <w:szCs w:val="20"/>
                <w:lang w:val="en-GB"/>
              </w:rPr>
            </w:pPr>
            <w:r w:rsidRPr="0053142C">
              <w:rPr>
                <w:rFonts w:ascii="Arial" w:hAnsi="Arial" w:cs="Arial"/>
                <w:sz w:val="20"/>
                <w:szCs w:val="20"/>
                <w:lang w:val="en-GB"/>
              </w:rPr>
              <w:t>Abuja Declaration</w:t>
            </w:r>
          </w:p>
        </w:tc>
        <w:tc>
          <w:tcPr>
            <w:tcW w:w="5742" w:type="dxa"/>
          </w:tcPr>
          <w:p w14:paraId="3AC5EF2D"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lang w:val="en-GB"/>
              </w:rPr>
              <w:t>http://www.cms.int/en/document/action-plan-migratory-landbirds-african-eurasian-region-aemlap</w:t>
            </w:r>
            <w:r w:rsidRPr="0053142C">
              <w:rPr>
                <w:rFonts w:ascii="Arial" w:hAnsi="Arial" w:cs="Arial"/>
                <w:sz w:val="20"/>
                <w:szCs w:val="20"/>
                <w:lang w:val="en-GB"/>
              </w:rPr>
              <w:t xml:space="preserve"> (last accessed </w:t>
            </w:r>
            <w:r w:rsidRPr="0053142C">
              <w:rPr>
                <w:rFonts w:ascii="Arial" w:hAnsi="Arial" w:cs="Arial"/>
                <w:sz w:val="20"/>
                <w:lang w:val="en-GB"/>
              </w:rPr>
              <w:t>15</w:t>
            </w:r>
            <w:r w:rsidRPr="0053142C">
              <w:rPr>
                <w:rFonts w:ascii="Arial" w:hAnsi="Arial" w:cs="Arial"/>
                <w:sz w:val="20"/>
                <w:vertAlign w:val="superscript"/>
                <w:lang w:val="en-GB"/>
              </w:rPr>
              <w:t>th</w:t>
            </w:r>
            <w:r w:rsidRPr="0053142C">
              <w:rPr>
                <w:rFonts w:ascii="Arial" w:hAnsi="Arial" w:cs="Arial"/>
                <w:sz w:val="20"/>
                <w:lang w:val="en-GB"/>
              </w:rPr>
              <w:t xml:space="preserve"> March 2017</w:t>
            </w:r>
            <w:r w:rsidRPr="0053142C">
              <w:rPr>
                <w:rFonts w:ascii="Arial" w:hAnsi="Arial" w:cs="Arial"/>
                <w:sz w:val="20"/>
                <w:szCs w:val="20"/>
                <w:lang w:val="en-GB"/>
              </w:rPr>
              <w:t>)</w:t>
            </w:r>
          </w:p>
          <w:p w14:paraId="56755575" w14:textId="77777777" w:rsidR="00C96521" w:rsidRPr="0053142C" w:rsidRDefault="00C96521" w:rsidP="00C96521">
            <w:pPr>
              <w:widowControl/>
              <w:autoSpaceDE/>
              <w:autoSpaceDN/>
              <w:adjustRightInd/>
              <w:rPr>
                <w:rFonts w:ascii="Arial" w:hAnsi="Arial" w:cs="Arial"/>
                <w:sz w:val="20"/>
                <w:szCs w:val="20"/>
                <w:lang w:val="en-GB"/>
              </w:rPr>
            </w:pPr>
          </w:p>
          <w:p w14:paraId="6E5C479D"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t>Resolution 11.17 adopted the African-Eurasian Migratory Landbirds Action Plan.</w:t>
            </w:r>
          </w:p>
          <w:p w14:paraId="65343144" w14:textId="77777777" w:rsidR="00C96521" w:rsidRPr="0053142C" w:rsidRDefault="00C96521" w:rsidP="00C96521">
            <w:pPr>
              <w:widowControl/>
              <w:autoSpaceDE/>
              <w:autoSpaceDN/>
              <w:adjustRightInd/>
              <w:rPr>
                <w:rFonts w:ascii="Arial" w:hAnsi="Arial" w:cs="Arial"/>
                <w:sz w:val="20"/>
                <w:szCs w:val="20"/>
                <w:lang w:val="en-GB"/>
              </w:rPr>
            </w:pPr>
          </w:p>
          <w:p w14:paraId="1E52F8D0" w14:textId="548A9B56"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t>Abuja Declaration on Sustainable Land Use for People and Biodiversity including Migratory Birds in West Africa http://www.cms.int/en/news/workshop-abuja-agrees-key-policies-sustainable-land-use-west-africa (last accessed 23</w:t>
            </w:r>
            <w:r w:rsidR="004006B8">
              <w:rPr>
                <w:rFonts w:ascii="Arial" w:hAnsi="Arial" w:cs="Arial"/>
                <w:sz w:val="20"/>
                <w:szCs w:val="20"/>
                <w:vertAlign w:val="superscript"/>
                <w:lang w:val="en-GB"/>
              </w:rPr>
              <w:t xml:space="preserve"> </w:t>
            </w:r>
            <w:r w:rsidRPr="0053142C">
              <w:rPr>
                <w:rFonts w:ascii="Arial" w:hAnsi="Arial" w:cs="Arial"/>
                <w:sz w:val="20"/>
                <w:szCs w:val="20"/>
                <w:lang w:val="en-GB"/>
              </w:rPr>
              <w:t>March 2017)</w:t>
            </w:r>
          </w:p>
        </w:tc>
      </w:tr>
      <w:tr w:rsidR="00C96521" w:rsidRPr="0053142C" w14:paraId="259361E8" w14:textId="77777777" w:rsidTr="00C96521">
        <w:tc>
          <w:tcPr>
            <w:tcW w:w="1796" w:type="dxa"/>
          </w:tcPr>
          <w:p w14:paraId="17D60F78" w14:textId="77777777" w:rsidR="00C96521" w:rsidRPr="003A3278" w:rsidRDefault="00C96521" w:rsidP="00C96521">
            <w:pPr>
              <w:widowControl/>
              <w:autoSpaceDE/>
              <w:autoSpaceDN/>
              <w:adjustRightInd/>
              <w:rPr>
                <w:rFonts w:ascii="Arial" w:hAnsi="Arial" w:cs="Arial"/>
                <w:sz w:val="20"/>
                <w:szCs w:val="20"/>
                <w:lang w:val="fr-FR"/>
              </w:rPr>
            </w:pPr>
            <w:r w:rsidRPr="003A3278">
              <w:rPr>
                <w:rFonts w:ascii="Arial" w:hAnsi="Arial" w:cs="Arial"/>
                <w:sz w:val="20"/>
                <w:szCs w:val="20"/>
                <w:lang w:val="fr-FR"/>
              </w:rPr>
              <w:t>UN Convention to Combat Desertification</w:t>
            </w:r>
          </w:p>
        </w:tc>
        <w:tc>
          <w:tcPr>
            <w:tcW w:w="1998" w:type="dxa"/>
          </w:tcPr>
          <w:p w14:paraId="0A1C236C"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bCs/>
                <w:sz w:val="20"/>
                <w:szCs w:val="20"/>
                <w:lang w:val="en-GB"/>
              </w:rPr>
              <w:t>ICCD/COP(11) /23/Add.1</w:t>
            </w:r>
          </w:p>
        </w:tc>
        <w:tc>
          <w:tcPr>
            <w:tcW w:w="5742" w:type="dxa"/>
          </w:tcPr>
          <w:p w14:paraId="74879BE1" w14:textId="232C4D71"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lang w:val="en-GB"/>
              </w:rPr>
              <w:t>http://www.unccd.int/Lists/OfficialDocuments/cop11/23add1eng.pdf</w:t>
            </w:r>
            <w:r w:rsidRPr="0053142C">
              <w:rPr>
                <w:rFonts w:ascii="Arial" w:hAnsi="Arial" w:cs="Arial"/>
                <w:sz w:val="20"/>
                <w:szCs w:val="20"/>
                <w:lang w:val="en-GB"/>
              </w:rPr>
              <w:t xml:space="preserve"> (last accessed </w:t>
            </w:r>
            <w:r w:rsidRPr="0053142C">
              <w:rPr>
                <w:rFonts w:ascii="Arial" w:hAnsi="Arial" w:cs="Arial"/>
                <w:sz w:val="20"/>
                <w:lang w:val="en-GB"/>
              </w:rPr>
              <w:t>15 March 2017</w:t>
            </w:r>
            <w:r w:rsidRPr="0053142C">
              <w:rPr>
                <w:rFonts w:ascii="Arial" w:hAnsi="Arial" w:cs="Arial"/>
                <w:sz w:val="20"/>
                <w:szCs w:val="20"/>
                <w:lang w:val="en-GB"/>
              </w:rPr>
              <w:t>)</w:t>
            </w:r>
          </w:p>
          <w:p w14:paraId="1174090B" w14:textId="77777777" w:rsidR="00C96521" w:rsidRPr="0053142C" w:rsidRDefault="00C96521" w:rsidP="00C96521">
            <w:pPr>
              <w:widowControl/>
              <w:autoSpaceDE/>
              <w:autoSpaceDN/>
              <w:adjustRightInd/>
              <w:rPr>
                <w:rFonts w:ascii="Arial" w:hAnsi="Arial" w:cs="Arial"/>
                <w:sz w:val="20"/>
                <w:szCs w:val="20"/>
                <w:lang w:val="en-GB"/>
              </w:rPr>
            </w:pPr>
          </w:p>
          <w:p w14:paraId="2B8B99AE"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lastRenderedPageBreak/>
              <w:t>UNCCD COP11 decision 22 adopted a Global Wild Bird Index as one of two indicators for its Strategic Objective 3.</w:t>
            </w:r>
          </w:p>
        </w:tc>
      </w:tr>
      <w:tr w:rsidR="00C96521" w:rsidRPr="0053142C" w14:paraId="58E4C82D" w14:textId="77777777" w:rsidTr="00C96521">
        <w:tc>
          <w:tcPr>
            <w:tcW w:w="1796" w:type="dxa"/>
          </w:tcPr>
          <w:p w14:paraId="221FD5E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lastRenderedPageBreak/>
              <w:t>Convention on Biological Diversity</w:t>
            </w:r>
          </w:p>
        </w:tc>
        <w:tc>
          <w:tcPr>
            <w:tcW w:w="1998" w:type="dxa"/>
          </w:tcPr>
          <w:p w14:paraId="3A5CCEFD"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Aichi targets 5 and 12</w:t>
            </w:r>
          </w:p>
        </w:tc>
        <w:tc>
          <w:tcPr>
            <w:tcW w:w="5742" w:type="dxa"/>
          </w:tcPr>
          <w:p w14:paraId="157D86DF" w14:textId="373A8588" w:rsidR="00C96521" w:rsidRPr="0053142C" w:rsidRDefault="00C96521" w:rsidP="00C96521">
            <w:pPr>
              <w:widowControl/>
              <w:rPr>
                <w:rFonts w:ascii="Arial" w:eastAsia="Calibri" w:hAnsi="Arial" w:cs="Arial"/>
                <w:bCs/>
                <w:iCs/>
                <w:color w:val="000000"/>
                <w:sz w:val="20"/>
                <w:szCs w:val="20"/>
                <w:lang w:val="en-GB"/>
              </w:rPr>
            </w:pPr>
            <w:r w:rsidRPr="0053142C">
              <w:rPr>
                <w:rFonts w:ascii="Arial" w:eastAsia="Calibri" w:hAnsi="Arial" w:cs="Arial"/>
                <w:bCs/>
                <w:iCs/>
                <w:color w:val="000000"/>
                <w:sz w:val="20"/>
                <w:szCs w:val="20"/>
                <w:lang w:val="en-GB"/>
              </w:rPr>
              <w:t>http://www.cbt.int/sp/targets (last accessed 15 March 2017)</w:t>
            </w:r>
          </w:p>
          <w:p w14:paraId="0BABCD04" w14:textId="77777777" w:rsidR="00C96521" w:rsidRPr="0053142C" w:rsidRDefault="00C96521" w:rsidP="00C96521">
            <w:pPr>
              <w:widowControl/>
              <w:autoSpaceDE/>
              <w:autoSpaceDN/>
              <w:adjustRightInd/>
              <w:rPr>
                <w:rFonts w:ascii="Arial" w:hAnsi="Arial" w:cs="Arial"/>
                <w:sz w:val="20"/>
                <w:szCs w:val="20"/>
                <w:lang w:val="en-GB"/>
              </w:rPr>
            </w:pPr>
          </w:p>
        </w:tc>
      </w:tr>
    </w:tbl>
    <w:p w14:paraId="5BE0494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6671376"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7" w:name="_Toc478646895"/>
      <w:r w:rsidRPr="00C96521">
        <w:rPr>
          <w:rFonts w:ascii="Cambria" w:eastAsia="MS Gothic" w:hAnsi="Cambria"/>
          <w:b/>
          <w:bCs/>
          <w:color w:val="4F81BD"/>
          <w:sz w:val="20"/>
          <w:szCs w:val="22"/>
          <w:lang w:val="en-GB" w:eastAsia="ja-JP"/>
        </w:rPr>
        <w:t>National policies and legislation</w:t>
      </w:r>
      <w:bookmarkEnd w:id="7"/>
    </w:p>
    <w:p w14:paraId="7B626F5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Style w:val="TableGrid"/>
        <w:tblW w:w="0" w:type="auto"/>
        <w:tblLook w:val="04A0" w:firstRow="1" w:lastRow="0" w:firstColumn="1" w:lastColumn="0" w:noHBand="0" w:noVBand="1"/>
      </w:tblPr>
      <w:tblGrid>
        <w:gridCol w:w="3039"/>
        <w:gridCol w:w="6271"/>
      </w:tblGrid>
      <w:tr w:rsidR="00C96521" w:rsidRPr="0053142C" w14:paraId="241320FF" w14:textId="77777777" w:rsidTr="00C96521">
        <w:tc>
          <w:tcPr>
            <w:tcW w:w="3085" w:type="dxa"/>
            <w:shd w:val="clear" w:color="auto" w:fill="D9D9D9"/>
          </w:tcPr>
          <w:p w14:paraId="0A55E513" w14:textId="77777777" w:rsidR="00C96521" w:rsidRPr="0053142C" w:rsidRDefault="00C96521" w:rsidP="00C96521">
            <w:pPr>
              <w:widowControl/>
              <w:autoSpaceDE/>
              <w:autoSpaceDN/>
              <w:adjustRightInd/>
              <w:spacing w:line="276" w:lineRule="auto"/>
              <w:rPr>
                <w:rFonts w:ascii="Arial" w:hAnsi="Arial" w:cs="Arial"/>
                <w:b/>
                <w:sz w:val="20"/>
                <w:szCs w:val="20"/>
                <w:lang w:val="en-GB"/>
              </w:rPr>
            </w:pPr>
            <w:r w:rsidRPr="0053142C">
              <w:rPr>
                <w:rFonts w:ascii="Arial" w:hAnsi="Arial" w:cs="Arial"/>
                <w:b/>
                <w:sz w:val="20"/>
                <w:szCs w:val="20"/>
                <w:lang w:val="en-GB"/>
              </w:rPr>
              <w:t>Country/Territory</w:t>
            </w:r>
          </w:p>
        </w:tc>
        <w:tc>
          <w:tcPr>
            <w:tcW w:w="6451" w:type="dxa"/>
            <w:shd w:val="clear" w:color="auto" w:fill="D9D9D9"/>
          </w:tcPr>
          <w:p w14:paraId="1C41D19C" w14:textId="77777777" w:rsidR="00C96521" w:rsidRPr="0053142C" w:rsidRDefault="00C96521" w:rsidP="00C96521">
            <w:pPr>
              <w:widowControl/>
              <w:autoSpaceDE/>
              <w:autoSpaceDN/>
              <w:adjustRightInd/>
              <w:spacing w:line="276" w:lineRule="auto"/>
              <w:rPr>
                <w:rFonts w:ascii="Arial" w:hAnsi="Arial" w:cs="Arial"/>
                <w:b/>
                <w:sz w:val="20"/>
                <w:szCs w:val="20"/>
                <w:lang w:val="en-GB"/>
              </w:rPr>
            </w:pPr>
            <w:r w:rsidRPr="0053142C">
              <w:rPr>
                <w:rFonts w:ascii="Arial" w:hAnsi="Arial" w:cs="Arial"/>
                <w:b/>
                <w:sz w:val="20"/>
                <w:szCs w:val="20"/>
                <w:lang w:val="en-GB"/>
              </w:rPr>
              <w:t>National Red List status (where known)</w:t>
            </w:r>
          </w:p>
        </w:tc>
      </w:tr>
      <w:tr w:rsidR="00C96521" w:rsidRPr="0053142C" w14:paraId="17751785" w14:textId="77777777" w:rsidTr="00C96521">
        <w:tc>
          <w:tcPr>
            <w:tcW w:w="3085" w:type="dxa"/>
          </w:tcPr>
          <w:p w14:paraId="0CE58984"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t>Croatia</w:t>
            </w:r>
          </w:p>
        </w:tc>
        <w:tc>
          <w:tcPr>
            <w:tcW w:w="6451" w:type="dxa"/>
          </w:tcPr>
          <w:p w14:paraId="5CD94D3D"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 xml:space="preserve">Least Concern (Tutiš </w:t>
            </w:r>
            <w:r w:rsidRPr="0053142C">
              <w:rPr>
                <w:rFonts w:ascii="Arial" w:hAnsi="Arial" w:cs="Arial"/>
                <w:i/>
                <w:color w:val="000000"/>
                <w:sz w:val="20"/>
                <w:szCs w:val="20"/>
                <w:lang w:val="en-GB"/>
              </w:rPr>
              <w:t>et al</w:t>
            </w:r>
            <w:r w:rsidRPr="0053142C">
              <w:rPr>
                <w:rFonts w:ascii="Arial" w:hAnsi="Arial" w:cs="Arial"/>
                <w:color w:val="000000"/>
                <w:sz w:val="20"/>
                <w:szCs w:val="20"/>
                <w:lang w:val="en-GB"/>
              </w:rPr>
              <w:t xml:space="preserve"> 2013)</w:t>
            </w:r>
          </w:p>
        </w:tc>
      </w:tr>
      <w:tr w:rsidR="00C96521" w:rsidRPr="0053142C" w14:paraId="58CE069A" w14:textId="77777777" w:rsidTr="00C96521">
        <w:tc>
          <w:tcPr>
            <w:tcW w:w="3085" w:type="dxa"/>
          </w:tcPr>
          <w:p w14:paraId="0214148C"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Finland</w:t>
            </w:r>
          </w:p>
        </w:tc>
        <w:tc>
          <w:tcPr>
            <w:tcW w:w="6451" w:type="dxa"/>
          </w:tcPr>
          <w:p w14:paraId="5765006C"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Critically Endangered (Lehikoinen 2016)</w:t>
            </w:r>
          </w:p>
        </w:tc>
      </w:tr>
      <w:tr w:rsidR="00C96521" w:rsidRPr="0053142C" w14:paraId="398DE6CA" w14:textId="77777777" w:rsidTr="00C96521">
        <w:tc>
          <w:tcPr>
            <w:tcW w:w="3085" w:type="dxa"/>
          </w:tcPr>
          <w:p w14:paraId="72E02AD8"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France</w:t>
            </w:r>
          </w:p>
        </w:tc>
        <w:tc>
          <w:tcPr>
            <w:tcW w:w="6451" w:type="dxa"/>
          </w:tcPr>
          <w:p w14:paraId="1CD885B3"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Vulnerable (UICN France, MNHN, LPO, SEOF and ONCFS 2016)</w:t>
            </w:r>
          </w:p>
        </w:tc>
      </w:tr>
      <w:tr w:rsidR="00C96521" w:rsidRPr="0053142C" w14:paraId="1272227D" w14:textId="77777777" w:rsidTr="00C96521">
        <w:tc>
          <w:tcPr>
            <w:tcW w:w="3085" w:type="dxa"/>
          </w:tcPr>
          <w:p w14:paraId="13DBA728"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Germany</w:t>
            </w:r>
          </w:p>
        </w:tc>
        <w:tc>
          <w:tcPr>
            <w:tcW w:w="6451" w:type="dxa"/>
          </w:tcPr>
          <w:p w14:paraId="6CA85FDA"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 xml:space="preserve">Endangered (Quillfeldt </w:t>
            </w:r>
            <w:r w:rsidRPr="0053142C">
              <w:rPr>
                <w:rFonts w:ascii="Arial" w:hAnsi="Arial" w:cs="Arial"/>
                <w:i/>
                <w:color w:val="000000"/>
                <w:sz w:val="20"/>
                <w:szCs w:val="20"/>
                <w:lang w:val="en-GB"/>
              </w:rPr>
              <w:t>et al</w:t>
            </w:r>
            <w:r w:rsidRPr="0053142C">
              <w:rPr>
                <w:rFonts w:ascii="Arial" w:hAnsi="Arial" w:cs="Arial"/>
                <w:color w:val="000000"/>
                <w:sz w:val="20"/>
                <w:szCs w:val="20"/>
                <w:lang w:val="en-GB"/>
              </w:rPr>
              <w:t xml:space="preserve"> 2014)</w:t>
            </w:r>
          </w:p>
        </w:tc>
      </w:tr>
      <w:tr w:rsidR="00C96521" w:rsidRPr="0053142C" w14:paraId="6054035A" w14:textId="77777777" w:rsidTr="00C96521">
        <w:tc>
          <w:tcPr>
            <w:tcW w:w="3085" w:type="dxa"/>
          </w:tcPr>
          <w:p w14:paraId="3FA1C54A"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Greece</w:t>
            </w:r>
          </w:p>
        </w:tc>
        <w:tc>
          <w:tcPr>
            <w:tcW w:w="6451" w:type="dxa"/>
          </w:tcPr>
          <w:p w14:paraId="3C1A8458"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color w:val="000000"/>
                <w:sz w:val="20"/>
                <w:szCs w:val="20"/>
                <w:lang w:val="en-GB"/>
              </w:rPr>
              <w:t>Not Evaluated (Legakis and Maragkou 2009)</w:t>
            </w:r>
          </w:p>
        </w:tc>
      </w:tr>
      <w:tr w:rsidR="00C96521" w:rsidRPr="0053142C" w14:paraId="2FC717A6" w14:textId="77777777" w:rsidTr="00C96521">
        <w:tc>
          <w:tcPr>
            <w:tcW w:w="3085" w:type="dxa"/>
          </w:tcPr>
          <w:p w14:paraId="1211764E"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Italy</w:t>
            </w:r>
          </w:p>
        </w:tc>
        <w:tc>
          <w:tcPr>
            <w:tcW w:w="6451" w:type="dxa"/>
          </w:tcPr>
          <w:p w14:paraId="42F4434F"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Least Concern (IUCN Comitato Italiano 2012)</w:t>
            </w:r>
          </w:p>
        </w:tc>
      </w:tr>
      <w:tr w:rsidR="00C96521" w:rsidRPr="0053142C" w14:paraId="36C98CE4" w14:textId="77777777" w:rsidTr="00C96521">
        <w:tc>
          <w:tcPr>
            <w:tcW w:w="3085" w:type="dxa"/>
          </w:tcPr>
          <w:p w14:paraId="03E30F01"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Luxembourg</w:t>
            </w:r>
          </w:p>
        </w:tc>
        <w:tc>
          <w:tcPr>
            <w:tcW w:w="6451" w:type="dxa"/>
          </w:tcPr>
          <w:p w14:paraId="38C348B8"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 xml:space="preserve">Endangered (Lorgé </w:t>
            </w:r>
            <w:r w:rsidRPr="0053142C">
              <w:rPr>
                <w:rFonts w:ascii="Arial" w:hAnsi="Arial" w:cs="Arial"/>
                <w:i/>
                <w:color w:val="000000"/>
                <w:sz w:val="20"/>
                <w:szCs w:val="20"/>
                <w:lang w:val="en-GB"/>
              </w:rPr>
              <w:t>et al</w:t>
            </w:r>
            <w:r w:rsidRPr="0053142C">
              <w:rPr>
                <w:rFonts w:ascii="Arial" w:hAnsi="Arial" w:cs="Arial"/>
                <w:color w:val="000000"/>
                <w:sz w:val="20"/>
                <w:szCs w:val="20"/>
                <w:lang w:val="en-GB"/>
              </w:rPr>
              <w:t xml:space="preserve"> 2014)</w:t>
            </w:r>
          </w:p>
        </w:tc>
      </w:tr>
      <w:tr w:rsidR="00C96521" w:rsidRPr="0053142C" w14:paraId="4D824601" w14:textId="77777777" w:rsidTr="00C96521">
        <w:tc>
          <w:tcPr>
            <w:tcW w:w="3085" w:type="dxa"/>
          </w:tcPr>
          <w:p w14:paraId="6D2EDCB2"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Russian Federation (European)</w:t>
            </w:r>
          </w:p>
        </w:tc>
        <w:tc>
          <w:tcPr>
            <w:tcW w:w="6451" w:type="dxa"/>
          </w:tcPr>
          <w:p w14:paraId="39D578A6" w14:textId="77777777" w:rsidR="00C96521" w:rsidRPr="0053142C" w:rsidRDefault="00C96521" w:rsidP="00C96521">
            <w:pPr>
              <w:widowControl/>
              <w:autoSpaceDE/>
              <w:autoSpaceDN/>
              <w:adjustRightInd/>
              <w:spacing w:line="276" w:lineRule="auto"/>
              <w:rPr>
                <w:rFonts w:ascii="Arial" w:hAnsi="Arial" w:cs="Arial"/>
                <w:color w:val="000000"/>
                <w:sz w:val="20"/>
                <w:szCs w:val="20"/>
                <w:lang w:val="en-GB"/>
              </w:rPr>
            </w:pPr>
            <w:r w:rsidRPr="0053142C">
              <w:rPr>
                <w:rFonts w:ascii="Arial" w:hAnsi="Arial" w:cs="Arial"/>
                <w:color w:val="000000"/>
                <w:sz w:val="20"/>
                <w:szCs w:val="20"/>
                <w:lang w:val="en-GB"/>
              </w:rPr>
              <w:t xml:space="preserve">Will be listed in the Red Data Book of the Russian Federation at the end of 2017. Hunting and destruction of nesting habitat will be strictly prohibited in Russia. (Alexander Mischenko </w:t>
            </w:r>
            <w:r w:rsidRPr="0053142C">
              <w:rPr>
                <w:rFonts w:ascii="Arial" w:hAnsi="Arial" w:cs="Arial"/>
                <w:i/>
                <w:color w:val="000000"/>
                <w:sz w:val="20"/>
                <w:szCs w:val="20"/>
                <w:lang w:val="en-GB"/>
              </w:rPr>
              <w:t>pers comm</w:t>
            </w:r>
            <w:r w:rsidRPr="0053142C">
              <w:rPr>
                <w:rFonts w:ascii="Arial" w:hAnsi="Arial" w:cs="Arial"/>
                <w:color w:val="000000"/>
                <w:sz w:val="20"/>
                <w:szCs w:val="20"/>
                <w:lang w:val="en-GB"/>
              </w:rPr>
              <w:t xml:space="preserve">, Evgeny Syroechkovskiy </w:t>
            </w:r>
            <w:r w:rsidRPr="0053142C">
              <w:rPr>
                <w:rFonts w:ascii="Arial" w:hAnsi="Arial" w:cs="Arial"/>
                <w:i/>
                <w:color w:val="000000"/>
                <w:sz w:val="20"/>
                <w:szCs w:val="20"/>
                <w:lang w:val="en-GB"/>
              </w:rPr>
              <w:t>pers comm</w:t>
            </w:r>
            <w:r w:rsidRPr="0053142C">
              <w:rPr>
                <w:rFonts w:ascii="Arial" w:hAnsi="Arial" w:cs="Arial"/>
                <w:color w:val="000000"/>
                <w:sz w:val="20"/>
                <w:szCs w:val="20"/>
                <w:lang w:val="en-GB"/>
              </w:rPr>
              <w:t>)</w:t>
            </w:r>
          </w:p>
        </w:tc>
      </w:tr>
      <w:tr w:rsidR="00C96521" w:rsidRPr="0053142C" w14:paraId="0419FD7B" w14:textId="77777777" w:rsidTr="00C96521">
        <w:tc>
          <w:tcPr>
            <w:tcW w:w="3085" w:type="dxa"/>
          </w:tcPr>
          <w:p w14:paraId="19C47C11"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Spain</w:t>
            </w:r>
          </w:p>
        </w:tc>
        <w:tc>
          <w:tcPr>
            <w:tcW w:w="6451" w:type="dxa"/>
          </w:tcPr>
          <w:p w14:paraId="21D85AA4" w14:textId="77777777" w:rsidR="00C96521" w:rsidRPr="0053142C" w:rsidRDefault="00C96521" w:rsidP="00C96521">
            <w:pPr>
              <w:widowControl/>
              <w:autoSpaceDE/>
              <w:autoSpaceDN/>
              <w:adjustRightInd/>
              <w:spacing w:line="276" w:lineRule="auto"/>
              <w:rPr>
                <w:rFonts w:ascii="Arial" w:hAnsi="Arial" w:cs="Arial"/>
                <w:color w:val="000000"/>
                <w:sz w:val="20"/>
                <w:szCs w:val="20"/>
                <w:lang w:val="en-GB"/>
              </w:rPr>
            </w:pPr>
            <w:r w:rsidRPr="0053142C">
              <w:rPr>
                <w:rFonts w:ascii="Arial" w:hAnsi="Arial" w:cs="Arial"/>
                <w:color w:val="000000"/>
                <w:sz w:val="20"/>
                <w:szCs w:val="20"/>
                <w:lang w:val="en-GB"/>
              </w:rPr>
              <w:t xml:space="preserve">Vulnerable (Madroño </w:t>
            </w:r>
            <w:r w:rsidRPr="0053142C">
              <w:rPr>
                <w:rFonts w:ascii="Arial" w:hAnsi="Arial" w:cs="Arial"/>
                <w:i/>
                <w:color w:val="000000"/>
                <w:sz w:val="20"/>
                <w:szCs w:val="20"/>
                <w:lang w:val="en-GB"/>
              </w:rPr>
              <w:t>et al</w:t>
            </w:r>
            <w:r w:rsidRPr="0053142C">
              <w:rPr>
                <w:rFonts w:ascii="Arial" w:hAnsi="Arial" w:cs="Arial"/>
                <w:color w:val="000000"/>
                <w:sz w:val="20"/>
                <w:szCs w:val="20"/>
                <w:lang w:val="en-GB"/>
              </w:rPr>
              <w:t xml:space="preserve"> 2004)</w:t>
            </w:r>
          </w:p>
        </w:tc>
      </w:tr>
      <w:tr w:rsidR="00C96521" w:rsidRPr="0053142C" w14:paraId="666284D6" w14:textId="77777777" w:rsidTr="00C96521">
        <w:tc>
          <w:tcPr>
            <w:tcW w:w="3085" w:type="dxa"/>
          </w:tcPr>
          <w:p w14:paraId="741DF820"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t>Switzerland</w:t>
            </w:r>
          </w:p>
        </w:tc>
        <w:tc>
          <w:tcPr>
            <w:tcW w:w="6451" w:type="dxa"/>
          </w:tcPr>
          <w:p w14:paraId="3CC4D66A" w14:textId="77777777" w:rsidR="00C96521" w:rsidRPr="0053142C" w:rsidRDefault="00C96521" w:rsidP="00C96521">
            <w:pPr>
              <w:widowControl/>
              <w:autoSpaceDE/>
              <w:autoSpaceDN/>
              <w:adjustRightInd/>
              <w:spacing w:line="276" w:lineRule="auto"/>
              <w:rPr>
                <w:rFonts w:ascii="Arial" w:hAnsi="Arial" w:cs="Arial"/>
                <w:color w:val="000000"/>
                <w:sz w:val="20"/>
                <w:szCs w:val="20"/>
                <w:lang w:val="en-GB"/>
              </w:rPr>
            </w:pPr>
            <w:r w:rsidRPr="0053142C">
              <w:rPr>
                <w:rFonts w:ascii="Arial" w:hAnsi="Arial" w:cs="Arial"/>
                <w:color w:val="000000"/>
                <w:sz w:val="20"/>
                <w:szCs w:val="20"/>
                <w:lang w:val="en-GB"/>
              </w:rPr>
              <w:t>Near Threatened (Vogelwarte 2016b)</w:t>
            </w:r>
          </w:p>
        </w:tc>
      </w:tr>
      <w:tr w:rsidR="00C96521" w:rsidRPr="0053142C" w14:paraId="16C603CE" w14:textId="77777777" w:rsidTr="00C96521">
        <w:tc>
          <w:tcPr>
            <w:tcW w:w="3085" w:type="dxa"/>
          </w:tcPr>
          <w:p w14:paraId="6C8EE7E5"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United Kingdom</w:t>
            </w:r>
          </w:p>
        </w:tc>
        <w:tc>
          <w:tcPr>
            <w:tcW w:w="6451" w:type="dxa"/>
          </w:tcPr>
          <w:p w14:paraId="41633A72" w14:textId="77777777" w:rsidR="00C96521" w:rsidRPr="0053142C" w:rsidRDefault="00C96521" w:rsidP="00C96521">
            <w:pPr>
              <w:widowControl/>
              <w:autoSpaceDE/>
              <w:autoSpaceDN/>
              <w:adjustRightInd/>
              <w:spacing w:line="276" w:lineRule="auto"/>
              <w:rPr>
                <w:rFonts w:ascii="Arial" w:hAnsi="Arial" w:cs="Arial"/>
                <w:color w:val="000000"/>
                <w:sz w:val="20"/>
                <w:szCs w:val="20"/>
                <w:lang w:val="en-GB"/>
              </w:rPr>
            </w:pPr>
            <w:r w:rsidRPr="0053142C">
              <w:rPr>
                <w:rFonts w:ascii="Arial" w:hAnsi="Arial" w:cs="Arial"/>
                <w:color w:val="000000"/>
                <w:sz w:val="20"/>
                <w:szCs w:val="20"/>
                <w:lang w:val="en-GB"/>
              </w:rPr>
              <w:t xml:space="preserve">On Red list of Birds of Conservation Concern 4 (Eaton </w:t>
            </w:r>
            <w:r w:rsidRPr="0053142C">
              <w:rPr>
                <w:rFonts w:ascii="Arial" w:hAnsi="Arial" w:cs="Arial"/>
                <w:i/>
                <w:color w:val="000000"/>
                <w:sz w:val="20"/>
                <w:szCs w:val="20"/>
                <w:lang w:val="en-GB"/>
              </w:rPr>
              <w:t xml:space="preserve">et al </w:t>
            </w:r>
            <w:r w:rsidRPr="0053142C">
              <w:rPr>
                <w:rFonts w:ascii="Arial" w:hAnsi="Arial" w:cs="Arial"/>
                <w:color w:val="000000"/>
                <w:sz w:val="20"/>
                <w:szCs w:val="20"/>
                <w:lang w:val="en-GB"/>
              </w:rPr>
              <w:t>2015)</w:t>
            </w:r>
          </w:p>
        </w:tc>
      </w:tr>
    </w:tbl>
    <w:p w14:paraId="458CA7E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0119631" w14:textId="17ECB299" w:rsidR="00C96521" w:rsidRPr="00C96521" w:rsidRDefault="004006B8" w:rsidP="00C96521">
      <w:pPr>
        <w:widowControl/>
        <w:autoSpaceDE/>
        <w:autoSpaceDN/>
        <w:adjustRightInd/>
        <w:spacing w:line="276" w:lineRule="auto"/>
        <w:rPr>
          <w:rFonts w:eastAsia="MS Mincho"/>
          <w:sz w:val="20"/>
          <w:szCs w:val="22"/>
          <w:lang w:val="en-GB" w:eastAsia="ja-JP"/>
        </w:rPr>
      </w:pPr>
      <w:r>
        <w:rPr>
          <w:rFonts w:eastAsia="MS Mincho"/>
          <w:sz w:val="20"/>
          <w:szCs w:val="22"/>
          <w:lang w:val="en-GB" w:eastAsia="ja-JP"/>
        </w:rPr>
        <w:t xml:space="preserve">The </w:t>
      </w:r>
      <w:r w:rsidR="00C96521" w:rsidRPr="00C96521">
        <w:rPr>
          <w:rFonts w:eastAsia="MS Mincho"/>
          <w:sz w:val="20"/>
          <w:szCs w:val="22"/>
          <w:lang w:val="en-GB" w:eastAsia="ja-JP"/>
        </w:rPr>
        <w:t>Turtle</w:t>
      </w:r>
      <w:r>
        <w:rPr>
          <w:rFonts w:eastAsia="MS Mincho"/>
          <w:sz w:val="20"/>
          <w:szCs w:val="22"/>
          <w:lang w:val="en-GB" w:eastAsia="ja-JP"/>
        </w:rPr>
        <w:t xml:space="preserve"> Do</w:t>
      </w:r>
      <w:r w:rsidR="00C96521" w:rsidRPr="00C96521">
        <w:rPr>
          <w:rFonts w:eastAsia="MS Mincho"/>
          <w:sz w:val="20"/>
          <w:szCs w:val="22"/>
          <w:lang w:val="en-GB" w:eastAsia="ja-JP"/>
        </w:rPr>
        <w:t xml:space="preserve">ve is considered in national or sub-national conservation Action Plans in the following countries: Belgium, Luxembourg, </w:t>
      </w:r>
      <w:r>
        <w:rPr>
          <w:rFonts w:eastAsia="MS Mincho"/>
          <w:sz w:val="20"/>
          <w:szCs w:val="22"/>
          <w:lang w:val="en-GB" w:eastAsia="ja-JP"/>
        </w:rPr>
        <w:t xml:space="preserve">the </w:t>
      </w:r>
      <w:r w:rsidR="00C96521" w:rsidRPr="00C96521">
        <w:rPr>
          <w:rFonts w:eastAsia="MS Mincho"/>
          <w:sz w:val="20"/>
          <w:szCs w:val="22"/>
          <w:lang w:val="en-GB" w:eastAsia="ja-JP"/>
        </w:rPr>
        <w:t xml:space="preserve">United Kingdom and </w:t>
      </w:r>
      <w:r>
        <w:rPr>
          <w:rFonts w:eastAsia="MS Mincho"/>
          <w:sz w:val="20"/>
          <w:szCs w:val="22"/>
          <w:lang w:val="en-GB" w:eastAsia="ja-JP"/>
        </w:rPr>
        <w:t>t</w:t>
      </w:r>
      <w:r w:rsidR="00C96521" w:rsidRPr="00C96521">
        <w:rPr>
          <w:rFonts w:eastAsia="MS Mincho"/>
          <w:sz w:val="20"/>
          <w:szCs w:val="22"/>
          <w:lang w:val="en-GB" w:eastAsia="ja-JP"/>
        </w:rPr>
        <w:t>he Gambia.</w:t>
      </w:r>
    </w:p>
    <w:p w14:paraId="7DBBB0C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4791650" w14:textId="7AA57E7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Working groups or projects for </w:t>
      </w:r>
      <w:r w:rsidR="004006B8">
        <w:rPr>
          <w:rFonts w:eastAsia="MS Mincho"/>
          <w:sz w:val="20"/>
          <w:szCs w:val="22"/>
          <w:lang w:val="en-GB" w:eastAsia="ja-JP"/>
        </w:rPr>
        <w:t>the 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 xml:space="preserve">ove </w:t>
      </w:r>
      <w:r w:rsidRPr="00C96521">
        <w:rPr>
          <w:rFonts w:eastAsia="MS Mincho"/>
          <w:sz w:val="20"/>
          <w:szCs w:val="22"/>
          <w:lang w:val="en-GB" w:eastAsia="ja-JP"/>
        </w:rPr>
        <w:t xml:space="preserve">exist in the following countries: Belgium, Estonia, Germany, Greece, Malta, Portugal, </w:t>
      </w:r>
      <w:r w:rsidR="004006B8">
        <w:rPr>
          <w:rFonts w:eastAsia="MS Mincho"/>
          <w:sz w:val="20"/>
          <w:szCs w:val="22"/>
          <w:lang w:val="en-GB" w:eastAsia="ja-JP"/>
        </w:rPr>
        <w:t xml:space="preserve">the </w:t>
      </w:r>
      <w:r w:rsidRPr="00C96521">
        <w:rPr>
          <w:rFonts w:eastAsia="MS Mincho"/>
          <w:sz w:val="20"/>
          <w:szCs w:val="22"/>
          <w:lang w:val="en-GB" w:eastAsia="ja-JP"/>
        </w:rPr>
        <w:t xml:space="preserve">United Kingdom, </w:t>
      </w:r>
      <w:r w:rsidR="004006B8">
        <w:rPr>
          <w:rFonts w:eastAsia="MS Mincho"/>
          <w:sz w:val="20"/>
          <w:szCs w:val="22"/>
          <w:lang w:val="en-GB" w:eastAsia="ja-JP"/>
        </w:rPr>
        <w:t>t</w:t>
      </w:r>
      <w:r w:rsidRPr="00C96521">
        <w:rPr>
          <w:rFonts w:eastAsia="MS Mincho"/>
          <w:sz w:val="20"/>
          <w:szCs w:val="22"/>
          <w:lang w:val="en-GB" w:eastAsia="ja-JP"/>
        </w:rPr>
        <w:t>he Gambia and Senegal.</w:t>
      </w:r>
    </w:p>
    <w:p w14:paraId="5459BD1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1B75CB8"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8" w:name="_Toc478646896"/>
      <w:r w:rsidRPr="00C96521">
        <w:rPr>
          <w:rFonts w:ascii="Cambria" w:eastAsia="MS Gothic" w:hAnsi="Cambria"/>
          <w:b/>
          <w:bCs/>
          <w:color w:val="4F81BD"/>
          <w:sz w:val="20"/>
          <w:szCs w:val="22"/>
          <w:lang w:val="en-GB" w:eastAsia="ja-JP"/>
        </w:rPr>
        <w:t>Regulated use and management of the species</w:t>
      </w:r>
      <w:bookmarkEnd w:id="8"/>
    </w:p>
    <w:p w14:paraId="426CB80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FDC3BA1" w14:textId="4DF38DA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The </w:t>
      </w:r>
      <w:r w:rsidRPr="00C96521">
        <w:rPr>
          <w:rFonts w:eastAsia="MS Mincho"/>
          <w:i/>
          <w:sz w:val="20"/>
          <w:szCs w:val="22"/>
          <w:lang w:val="en-GB" w:eastAsia="ja-JP"/>
        </w:rPr>
        <w:t>2007-2009 Management Plan for Turtle</w:t>
      </w:r>
      <w:r w:rsidR="003A3278">
        <w:rPr>
          <w:rFonts w:eastAsia="MS Mincho"/>
          <w:i/>
          <w:sz w:val="20"/>
          <w:szCs w:val="22"/>
          <w:lang w:val="en-GB" w:eastAsia="ja-JP"/>
        </w:rPr>
        <w:t xml:space="preserve"> D</w:t>
      </w:r>
      <w:r w:rsidRPr="00C96521">
        <w:rPr>
          <w:rFonts w:eastAsia="MS Mincho"/>
          <w:i/>
          <w:sz w:val="20"/>
          <w:szCs w:val="22"/>
          <w:lang w:val="en-GB" w:eastAsia="ja-JP"/>
        </w:rPr>
        <w:t>ove</w:t>
      </w:r>
      <w:r w:rsidRPr="00C96521">
        <w:rPr>
          <w:rFonts w:eastAsia="MS Mincho"/>
          <w:sz w:val="20"/>
          <w:szCs w:val="22"/>
          <w:lang w:val="en-GB" w:eastAsia="ja-JP"/>
        </w:rPr>
        <w:t xml:space="preserve"> (Lutz 2007) was reviewed in 2014 (The N2K Group, 2014), and more recently in preparation for this Action Plan (Fisher </w:t>
      </w:r>
      <w:r w:rsidRPr="00C96521">
        <w:rPr>
          <w:rFonts w:eastAsia="MS Mincho"/>
          <w:i/>
          <w:sz w:val="20"/>
          <w:szCs w:val="22"/>
          <w:lang w:val="en-GB" w:eastAsia="ja-JP"/>
        </w:rPr>
        <w:t>et al</w:t>
      </w:r>
      <w:r w:rsidRPr="00C96521">
        <w:rPr>
          <w:rFonts w:eastAsia="MS Mincho"/>
          <w:sz w:val="20"/>
          <w:szCs w:val="22"/>
          <w:lang w:val="en-GB" w:eastAsia="ja-JP"/>
        </w:rPr>
        <w:t xml:space="preserve"> 2016b, using the methodology developed by BirdLife, Gallo-Orsi 2001). Finland, Ireland and Sweden did not implement the original Management Plan because of the very low numbers of breeding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004006B8">
        <w:rPr>
          <w:rFonts w:eastAsia="MS Mincho"/>
          <w:sz w:val="20"/>
          <w:szCs w:val="22"/>
          <w:lang w:val="en-GB" w:eastAsia="ja-JP"/>
        </w:rPr>
        <w:t>s</w:t>
      </w:r>
      <w:r w:rsidR="004006B8" w:rsidRPr="00C96521">
        <w:rPr>
          <w:rFonts w:eastAsia="MS Mincho"/>
          <w:sz w:val="20"/>
          <w:szCs w:val="22"/>
          <w:lang w:val="en-GB" w:eastAsia="ja-JP"/>
        </w:rPr>
        <w:t xml:space="preserve"> </w:t>
      </w:r>
      <w:r w:rsidRPr="00C96521">
        <w:rPr>
          <w:rFonts w:eastAsia="MS Mincho"/>
          <w:sz w:val="20"/>
          <w:szCs w:val="22"/>
          <w:lang w:val="en-GB" w:eastAsia="ja-JP"/>
        </w:rPr>
        <w:t xml:space="preserve">(in the case of Ireland, the species is a rare vagrant). </w:t>
      </w:r>
    </w:p>
    <w:p w14:paraId="1EE888F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9DA969C" w14:textId="359485A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Most Member States do not have an existing Management or Action Plan for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004006B8">
        <w:rPr>
          <w:rFonts w:eastAsia="MS Mincho"/>
          <w:sz w:val="20"/>
          <w:szCs w:val="22"/>
          <w:lang w:val="en-GB" w:eastAsia="ja-JP"/>
        </w:rPr>
        <w:t>s</w:t>
      </w:r>
      <w:r w:rsidRPr="00C96521">
        <w:rPr>
          <w:rFonts w:eastAsia="MS Mincho"/>
          <w:sz w:val="20"/>
          <w:szCs w:val="22"/>
          <w:lang w:val="en-GB" w:eastAsia="ja-JP"/>
        </w:rPr>
        <w:t xml:space="preserve">, and for many, few of the original Management Plan's actions have been implemented completely. Where significant progress has taken place, this was often through the indirect effects of other actions; conservation of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 xml:space="preserve">ove </w:t>
      </w:r>
      <w:r w:rsidRPr="00C96521">
        <w:rPr>
          <w:rFonts w:eastAsia="MS Mincho"/>
          <w:sz w:val="20"/>
          <w:szCs w:val="22"/>
          <w:lang w:val="en-GB" w:eastAsia="ja-JP"/>
        </w:rPr>
        <w:t xml:space="preserve">habitats was not the main focus of efforts. It is likely that the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 xml:space="preserve">ove </w:t>
      </w:r>
      <w:r w:rsidRPr="00C96521">
        <w:rPr>
          <w:rFonts w:eastAsia="MS Mincho"/>
          <w:sz w:val="20"/>
          <w:szCs w:val="22"/>
          <w:lang w:val="en-GB" w:eastAsia="ja-JP"/>
        </w:rPr>
        <w:t xml:space="preserve">indirectly benefits from a range of other initiatives in many countries, including: Agri-environment Schemes; promotion of organic farming; Rural Development Programmes; national legislation that protects important features, such as hedgerows and riparian galleries; management of sites for nature conservation, such as Special Protection Areas; and other species and habitat-based projects not aimed at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004006B8">
        <w:rPr>
          <w:rFonts w:eastAsia="MS Mincho"/>
          <w:sz w:val="20"/>
          <w:szCs w:val="22"/>
          <w:lang w:val="en-GB" w:eastAsia="ja-JP"/>
        </w:rPr>
        <w:t>s</w:t>
      </w:r>
      <w:r w:rsidRPr="00C96521">
        <w:rPr>
          <w:rFonts w:eastAsia="MS Mincho"/>
          <w:sz w:val="20"/>
          <w:szCs w:val="22"/>
          <w:lang w:val="en-GB" w:eastAsia="ja-JP"/>
        </w:rPr>
        <w:t xml:space="preserve">. However, other policy and development areas have continuing negative effects, such as agricultural change. </w:t>
      </w:r>
    </w:p>
    <w:p w14:paraId="31D0D1B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3091FCF" w14:textId="67D8355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Information is sparse on whether or not the actions have globally contributed to improving the status of the turtle-dove, with long-running monitoring mostly absent or not specifically targeted at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004006B8">
        <w:rPr>
          <w:rFonts w:eastAsia="MS Mincho"/>
          <w:sz w:val="20"/>
          <w:szCs w:val="22"/>
          <w:lang w:val="en-GB" w:eastAsia="ja-JP"/>
        </w:rPr>
        <w:t>s</w:t>
      </w:r>
      <w:r w:rsidRPr="00C96521">
        <w:rPr>
          <w:rFonts w:eastAsia="MS Mincho"/>
          <w:sz w:val="20"/>
          <w:szCs w:val="22"/>
          <w:lang w:val="en-GB" w:eastAsia="ja-JP"/>
        </w:rPr>
        <w:t>. There is consensus that isolated Member State activities are of insufficient scale to illicit a global-level response, and there is a need for more diagnostic research and solution testing outside of the western flyway.</w:t>
      </w:r>
    </w:p>
    <w:p w14:paraId="00161DF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B89724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key measures within the original Action Plan were:</w:t>
      </w:r>
    </w:p>
    <w:p w14:paraId="12F252A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558D88E"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Wooded farmland, hedges, and other habitats important for breeding are maintained and better protected.</w:t>
      </w:r>
    </w:p>
    <w:p w14:paraId="6C78B944"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Hunting seasons do not overlap with the breeding period (as defined in “Period of reproduction and prenuptial migration of Annex II bird species in the EU”), and hunting does not affect late breeding birds and birds during spring migration.</w:t>
      </w:r>
    </w:p>
    <w:p w14:paraId="6E68654E"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Annual bag statistics are available (where hunting is allowed).</w:t>
      </w:r>
    </w:p>
    <w:p w14:paraId="36034810"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Hunting bags information is collected from key countries outside the EU where European populations pass on migration and winter (especially Maghreb and sub-Saharan countries).</w:t>
      </w:r>
    </w:p>
    <w:p w14:paraId="36F068DA"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A predictive model is developed to help determine sustainable annual bag.</w:t>
      </w:r>
    </w:p>
    <w:p w14:paraId="3FF34145"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From the existing monitoring schemes, common guidelines for monitoring the species are agreed and used to monitor populations.</w:t>
      </w:r>
    </w:p>
    <w:p w14:paraId="721BD83E"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National ringing activities and analyses of existing ringing data to estimate mortality and identify population units are supported.</w:t>
      </w:r>
    </w:p>
    <w:p w14:paraId="3143BD1B"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Annual estimate of breeding success is provided on breeding grounds.</w:t>
      </w:r>
    </w:p>
    <w:p w14:paraId="0EBA94F2"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Accurate information is gathered on the breeding population size and trend in Turkey and Russia, and on numbers, distribution, and ecology of wintering populations in West Africa.</w:t>
      </w:r>
    </w:p>
    <w:p w14:paraId="26F0BD1D" w14:textId="18235B6A"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 xml:space="preserve">Research on reproduction, mortality, and feeding ecology targeted at assessing which components of agricultural intensification and habitat modification have significant adverse effects, and research to determine which management is most effective, including reviews of existing pilot studies, is supported. Potential competition with </w:t>
      </w:r>
      <w:r w:rsidR="004006B8">
        <w:rPr>
          <w:rFonts w:eastAsia="MS Mincho"/>
          <w:sz w:val="20"/>
          <w:szCs w:val="22"/>
          <w:lang w:val="en-GB" w:eastAsia="ja-JP"/>
        </w:rPr>
        <w:t xml:space="preserve">the </w:t>
      </w:r>
      <w:r w:rsidRPr="00C96521">
        <w:rPr>
          <w:rFonts w:eastAsia="MS Mincho"/>
          <w:sz w:val="20"/>
          <w:szCs w:val="22"/>
          <w:lang w:val="en-GB" w:eastAsia="ja-JP"/>
        </w:rPr>
        <w:t>Collared Dove also needs to be investigated.</w:t>
      </w:r>
    </w:p>
    <w:p w14:paraId="7C93DA0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F2005E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Four short-term objectives were assessed:</w:t>
      </w:r>
    </w:p>
    <w:p w14:paraId="1A8E3938" w14:textId="77777777" w:rsidR="00C96521" w:rsidRPr="00C96521" w:rsidRDefault="00C96521" w:rsidP="00C96521">
      <w:pPr>
        <w:widowControl/>
        <w:autoSpaceDE/>
        <w:autoSpaceDN/>
        <w:adjustRightInd/>
        <w:spacing w:line="276" w:lineRule="auto"/>
        <w:ind w:left="720"/>
        <w:rPr>
          <w:rFonts w:eastAsia="MS Mincho"/>
          <w:sz w:val="20"/>
          <w:szCs w:val="22"/>
          <w:lang w:val="en-GB" w:eastAsia="ja-JP"/>
        </w:rPr>
      </w:pPr>
    </w:p>
    <w:p w14:paraId="5D35E0D3" w14:textId="7450417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Objective 1: improving management and restoration of breeding habitats (review measure 1). This was relevant to 23 Member States, with seven achieving the short-term goal, and another three with partial progress (43</w:t>
      </w:r>
      <w:bookmarkStart w:id="9" w:name="_Toc469140846"/>
      <w:r w:rsidR="004006B8">
        <w:rPr>
          <w:rFonts w:eastAsia="MS Mincho"/>
          <w:sz w:val="20"/>
          <w:szCs w:val="22"/>
          <w:lang w:val="en-GB" w:eastAsia="ja-JP"/>
        </w:rPr>
        <w:t xml:space="preserve"> per cent</w:t>
      </w:r>
      <w:r w:rsidRPr="00C96521">
        <w:rPr>
          <w:rFonts w:eastAsia="MS Mincho"/>
          <w:sz w:val="20"/>
          <w:szCs w:val="22"/>
          <w:lang w:val="en-GB" w:eastAsia="ja-JP"/>
        </w:rPr>
        <w:t xml:space="preserve"> making some positive change).</w:t>
      </w:r>
    </w:p>
    <w:p w14:paraId="76FEE36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B67D891" w14:textId="481B8D4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Objective 2: monitoring and research, including international cooperation (measures 6 to 10).</w:t>
      </w:r>
      <w:bookmarkEnd w:id="9"/>
      <w:r w:rsidRPr="00C96521">
        <w:rPr>
          <w:rFonts w:eastAsia="MS Mincho"/>
          <w:sz w:val="20"/>
          <w:szCs w:val="22"/>
          <w:lang w:val="en-GB" w:eastAsia="ja-JP"/>
        </w:rPr>
        <w:t xml:space="preserve"> Of the 25 Member States for which this objective was relevant, </w:t>
      </w:r>
      <w:r w:rsidR="004006B8">
        <w:rPr>
          <w:rFonts w:eastAsia="MS Mincho"/>
          <w:sz w:val="20"/>
          <w:szCs w:val="22"/>
          <w:lang w:val="en-GB" w:eastAsia="ja-JP"/>
        </w:rPr>
        <w:t>6</w:t>
      </w:r>
      <w:r w:rsidR="004006B8" w:rsidRPr="00C96521">
        <w:rPr>
          <w:rFonts w:eastAsia="MS Mincho"/>
          <w:sz w:val="20"/>
          <w:szCs w:val="22"/>
          <w:lang w:val="en-GB" w:eastAsia="ja-JP"/>
        </w:rPr>
        <w:t xml:space="preserve"> </w:t>
      </w:r>
      <w:r w:rsidRPr="00C96521">
        <w:rPr>
          <w:rFonts w:eastAsia="MS Mincho"/>
          <w:sz w:val="20"/>
          <w:szCs w:val="22"/>
          <w:lang w:val="en-GB" w:eastAsia="ja-JP"/>
        </w:rPr>
        <w:t>made significant progress, and another 16 some progress (88</w:t>
      </w:r>
      <w:r w:rsidR="004006B8">
        <w:rPr>
          <w:rFonts w:eastAsia="MS Mincho"/>
          <w:sz w:val="20"/>
          <w:szCs w:val="22"/>
          <w:lang w:val="en-GB" w:eastAsia="ja-JP"/>
        </w:rPr>
        <w:t xml:space="preserve"> per cent</w:t>
      </w:r>
      <w:r w:rsidRPr="00C96521">
        <w:rPr>
          <w:rFonts w:eastAsia="MS Mincho"/>
          <w:sz w:val="20"/>
          <w:szCs w:val="22"/>
          <w:lang w:val="en-GB" w:eastAsia="ja-JP"/>
        </w:rPr>
        <w:t xml:space="preserve"> making some positive change)</w:t>
      </w:r>
      <w:bookmarkStart w:id="10" w:name="_Toc469140847"/>
      <w:r w:rsidRPr="00C96521">
        <w:rPr>
          <w:rFonts w:eastAsia="MS Mincho"/>
          <w:sz w:val="20"/>
          <w:szCs w:val="22"/>
          <w:lang w:val="en-GB" w:eastAsia="ja-JP"/>
        </w:rPr>
        <w:t xml:space="preserve">. </w:t>
      </w:r>
    </w:p>
    <w:p w14:paraId="49EBF1D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BA9A3A9" w14:textId="3AC02C0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Objective 3: analysis of competition between </w:t>
      </w:r>
      <w:r w:rsidR="004006B8">
        <w:rPr>
          <w:rFonts w:eastAsia="MS Mincho"/>
          <w:sz w:val="20"/>
          <w:szCs w:val="22"/>
          <w:lang w:val="en-GB" w:eastAsia="ja-JP"/>
        </w:rPr>
        <w:t>the C</w:t>
      </w:r>
      <w:r w:rsidRPr="00C96521">
        <w:rPr>
          <w:rFonts w:eastAsia="MS Mincho"/>
          <w:sz w:val="20"/>
          <w:szCs w:val="22"/>
          <w:lang w:val="en-GB" w:eastAsia="ja-JP"/>
        </w:rPr>
        <w:t xml:space="preserve">ollared </w:t>
      </w:r>
      <w:r w:rsidR="004006B8">
        <w:rPr>
          <w:rFonts w:eastAsia="MS Mincho"/>
          <w:sz w:val="20"/>
          <w:szCs w:val="22"/>
          <w:lang w:val="en-GB" w:eastAsia="ja-JP"/>
        </w:rPr>
        <w:t>D</w:t>
      </w:r>
      <w:r w:rsidRPr="00C96521">
        <w:rPr>
          <w:rFonts w:eastAsia="MS Mincho"/>
          <w:sz w:val="20"/>
          <w:szCs w:val="22"/>
          <w:lang w:val="en-GB" w:eastAsia="ja-JP"/>
        </w:rPr>
        <w:t xml:space="preserve">ove and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Pr="00C96521">
        <w:rPr>
          <w:rFonts w:eastAsia="MS Mincho"/>
          <w:sz w:val="20"/>
          <w:szCs w:val="22"/>
          <w:lang w:val="en-GB" w:eastAsia="ja-JP"/>
        </w:rPr>
        <w:t xml:space="preserve"> (measure 10).</w:t>
      </w:r>
      <w:bookmarkEnd w:id="10"/>
      <w:r w:rsidRPr="00C96521">
        <w:rPr>
          <w:rFonts w:eastAsia="MS Mincho"/>
          <w:sz w:val="20"/>
          <w:szCs w:val="22"/>
          <w:lang w:val="en-GB" w:eastAsia="ja-JP"/>
        </w:rPr>
        <w:t xml:space="preserve"> This objective was potentially relevant for 22 countries, from which only Malta carried out significant analyses</w:t>
      </w:r>
      <w:bookmarkStart w:id="11" w:name="_Toc469140848"/>
      <w:r w:rsidRPr="00C96521">
        <w:rPr>
          <w:rFonts w:eastAsia="MS Mincho"/>
          <w:sz w:val="20"/>
          <w:szCs w:val="22"/>
          <w:lang w:val="en-GB" w:eastAsia="ja-JP"/>
        </w:rPr>
        <w:t>.</w:t>
      </w:r>
    </w:p>
    <w:p w14:paraId="35F8937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C3D1212"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Objective 4: collection of more robust data to understand the effects of hunting (measures 3 to 5).</w:t>
      </w:r>
      <w:bookmarkEnd w:id="11"/>
      <w:r w:rsidRPr="00C96521">
        <w:rPr>
          <w:rFonts w:eastAsia="MS Mincho"/>
          <w:sz w:val="20"/>
          <w:szCs w:val="22"/>
          <w:lang w:val="en-GB" w:eastAsia="ja-JP"/>
        </w:rPr>
        <w:t xml:space="preserve"> This objective was relevant only to the 10 Member States where hunting is legal (Austria, Bulgaria, Cyprus, France, Greece, Italy, Malta, Portugal, Romania, and Spain). Of these, nine collected data, but only Malta significantly fulfilled this objective.</w:t>
      </w:r>
    </w:p>
    <w:p w14:paraId="6DEB02F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BDDDA6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Two indices were used to show progress (see Fisher </w:t>
      </w:r>
      <w:r w:rsidRPr="00C96521">
        <w:rPr>
          <w:rFonts w:eastAsia="MS Mincho"/>
          <w:i/>
          <w:sz w:val="20"/>
          <w:szCs w:val="22"/>
          <w:lang w:val="en-GB" w:eastAsia="ja-JP"/>
        </w:rPr>
        <w:t xml:space="preserve">et al </w:t>
      </w:r>
      <w:r w:rsidRPr="00C96521">
        <w:rPr>
          <w:rFonts w:eastAsia="MS Mincho"/>
          <w:sz w:val="20"/>
          <w:szCs w:val="22"/>
          <w:lang w:val="en-GB" w:eastAsia="ja-JP"/>
        </w:rPr>
        <w:t>2016b) for further details on calculating the indices). The National Implementation Score (Figure 2) shows progress of each Member State towards achieving all measures, from 1 (little or no implementation) to 4 (full implementation). The Average Implementation Score (Figure 3) shows progress of each measure across all relevant Member States, from 0 (none) to 4 (full implementation).</w:t>
      </w:r>
    </w:p>
    <w:p w14:paraId="39109A6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D012EEC"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lastRenderedPageBreak/>
        <w:drawing>
          <wp:inline distT="0" distB="0" distL="0" distR="0" wp14:anchorId="28DE4D48" wp14:editId="73479C8B">
            <wp:extent cx="5918200" cy="3121598"/>
            <wp:effectExtent l="0" t="0" r="0" b="0"/>
            <wp:docPr id="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172001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Figure 2. National Implementation Score (NIS) for each Member State (FI, EI, SE excluded as NIS not relevant), and the average score across all States.</w:t>
      </w:r>
    </w:p>
    <w:p w14:paraId="4D79F22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A4AC74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drawing>
          <wp:inline distT="0" distB="0" distL="0" distR="0" wp14:anchorId="1D4D7516" wp14:editId="3F9198BF">
            <wp:extent cx="5918200" cy="2904091"/>
            <wp:effectExtent l="0" t="0" r="0" b="0"/>
            <wp:docPr id="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CC198F"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Figure 3. Average Implementation Score (AIS) for each action within the Management Plan, across all relevant Member States. All actions were Medium priority except 3 and 5 which were High (darker shaded).</w:t>
      </w:r>
    </w:p>
    <w:p w14:paraId="0DFD34D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5E167F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Overall implementation of the Management Plan was poor, with most progress made in France, Malta, and the United Kingdom, and for measures to mitigate hunting effects (avoidance of overlap of hunting and breeding seasons), to collect hunting information, and to monitor populations. There was little activity associated with predictive modelling owing to a lack of robust data, and with working outside of the EU. However, most Member States carried out some form of habitat conservation work. </w:t>
      </w:r>
    </w:p>
    <w:p w14:paraId="735F28C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4AB57C5" w14:textId="525951D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sz w:val="20"/>
          <w:szCs w:val="22"/>
          <w:lang w:val="en-GB" w:eastAsia="ja-JP"/>
        </w:rPr>
        <w:t xml:space="preserve">A limited number of the activities carried out for </w:t>
      </w:r>
      <w:r w:rsidR="004006B8">
        <w:rPr>
          <w:rFonts w:eastAsia="MS Mincho"/>
          <w:sz w:val="20"/>
          <w:szCs w:val="22"/>
          <w:lang w:val="en-GB" w:eastAsia="ja-JP"/>
        </w:rPr>
        <w:t>the 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Pr="00C96521">
        <w:rPr>
          <w:rFonts w:eastAsia="MS Mincho"/>
          <w:sz w:val="20"/>
          <w:szCs w:val="22"/>
          <w:lang w:val="en-GB" w:eastAsia="ja-JP"/>
        </w:rPr>
        <w:t xml:space="preserve"> seem to have been triggered by the Management Plan, while most of the conservation measures were taken regardless of the Plan, under the framework of a wide range of different instruments: legislative, regulatory, planning, programmatic and financial. Many of the actions were carried out by academic institutions and NGOs, and hunting organi</w:t>
      </w:r>
      <w:r w:rsidR="004006B8">
        <w:rPr>
          <w:rFonts w:eastAsia="MS Mincho"/>
          <w:sz w:val="20"/>
          <w:szCs w:val="22"/>
          <w:lang w:val="en-GB" w:eastAsia="ja-JP"/>
        </w:rPr>
        <w:t>z</w:t>
      </w:r>
      <w:r w:rsidRPr="00C96521">
        <w:rPr>
          <w:rFonts w:eastAsia="MS Mincho"/>
          <w:sz w:val="20"/>
          <w:szCs w:val="22"/>
          <w:lang w:val="en-GB" w:eastAsia="ja-JP"/>
        </w:rPr>
        <w:t>ations contributed to implementation of some of the activities, including habitat management.</w:t>
      </w:r>
    </w:p>
    <w:p w14:paraId="5C52EA85" w14:textId="77777777" w:rsidR="00C96521" w:rsidRPr="00C96521" w:rsidRDefault="00C96521" w:rsidP="00C96521">
      <w:pPr>
        <w:widowControl/>
        <w:autoSpaceDE/>
        <w:autoSpaceDN/>
        <w:adjustRightInd/>
        <w:spacing w:line="276" w:lineRule="auto"/>
        <w:rPr>
          <w:rFonts w:eastAsia="MS Mincho"/>
          <w:sz w:val="20"/>
          <w:szCs w:val="22"/>
          <w:lang w:val="en-GB" w:eastAsia="ja-JP"/>
        </w:rPr>
        <w:sectPr w:rsidR="00C96521" w:rsidRPr="00C96521" w:rsidSect="00C96521">
          <w:headerReference w:type="even" r:id="rId32"/>
          <w:headerReference w:type="default" r:id="rId33"/>
          <w:footerReference w:type="default" r:id="rId34"/>
          <w:footerReference w:type="first" r:id="rId35"/>
          <w:pgSz w:w="11920" w:h="16840"/>
          <w:pgMar w:top="1276" w:right="1300" w:bottom="920" w:left="1300" w:header="730" w:footer="738" w:gutter="0"/>
          <w:cols w:space="720"/>
          <w:docGrid w:linePitch="299"/>
        </w:sectPr>
      </w:pPr>
    </w:p>
    <w:p w14:paraId="73FBD4DE"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12" w:name="_Toc478646897"/>
      <w:r w:rsidRPr="00C96521">
        <w:rPr>
          <w:rFonts w:eastAsia="MS Gothic"/>
          <w:b/>
          <w:bCs/>
          <w:color w:val="365F91"/>
          <w:sz w:val="32"/>
          <w:szCs w:val="28"/>
          <w:lang w:val="en-GB" w:eastAsia="ja-JP"/>
        </w:rPr>
        <w:lastRenderedPageBreak/>
        <w:t>2 - FRAMEWORK FOR ACTION</w:t>
      </w:r>
      <w:bookmarkEnd w:id="12"/>
    </w:p>
    <w:p w14:paraId="1F223FB6"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3" w:name="_Toc478646898"/>
      <w:r w:rsidRPr="00C96521">
        <w:rPr>
          <w:rFonts w:ascii="Cambria" w:eastAsia="MS Gothic" w:hAnsi="Cambria"/>
          <w:b/>
          <w:bCs/>
          <w:color w:val="4F81BD"/>
          <w:sz w:val="26"/>
          <w:szCs w:val="26"/>
          <w:lang w:val="en-GB" w:eastAsia="ja-JP"/>
        </w:rPr>
        <w:t>Goal</w:t>
      </w:r>
      <w:bookmarkEnd w:id="13"/>
    </w:p>
    <w:p w14:paraId="7FF2F4B7" w14:textId="04A31E5C" w:rsidR="00C96521" w:rsidRPr="00C96521" w:rsidRDefault="00C96521" w:rsidP="00C96521">
      <w:pPr>
        <w:widowControl/>
        <w:autoSpaceDE/>
        <w:autoSpaceDN/>
        <w:adjustRightInd/>
        <w:spacing w:before="120" w:line="276" w:lineRule="auto"/>
        <w:rPr>
          <w:rFonts w:eastAsia="MS Mincho"/>
          <w:sz w:val="20"/>
          <w:szCs w:val="22"/>
          <w:lang w:val="en-GB" w:eastAsia="ja-JP"/>
        </w:rPr>
      </w:pPr>
      <w:r w:rsidRPr="00C96521">
        <w:rPr>
          <w:rFonts w:eastAsia="MS Mincho"/>
          <w:sz w:val="20"/>
          <w:szCs w:val="22"/>
          <w:lang w:val="en-GB" w:eastAsia="ja-JP"/>
        </w:rPr>
        <w:t>To restore the European Turtle</w:t>
      </w:r>
      <w:r w:rsidR="004006B8">
        <w:rPr>
          <w:rFonts w:eastAsia="MS Mincho"/>
          <w:sz w:val="20"/>
          <w:szCs w:val="22"/>
          <w:lang w:val="en-GB" w:eastAsia="ja-JP"/>
        </w:rPr>
        <w:t xml:space="preserve"> Dov</w:t>
      </w:r>
      <w:r w:rsidRPr="00C96521">
        <w:rPr>
          <w:rFonts w:eastAsia="MS Mincho"/>
          <w:sz w:val="20"/>
          <w:szCs w:val="22"/>
          <w:lang w:val="en-GB" w:eastAsia="ja-JP"/>
        </w:rPr>
        <w:t>e (</w:t>
      </w:r>
      <w:r w:rsidRPr="00C96521">
        <w:rPr>
          <w:rFonts w:eastAsia="MS Mincho"/>
          <w:i/>
          <w:sz w:val="20"/>
          <w:szCs w:val="22"/>
          <w:lang w:val="en-GB" w:eastAsia="ja-JP"/>
        </w:rPr>
        <w:t>Streptopelia turtur</w:t>
      </w:r>
      <w:r w:rsidRPr="00C96521">
        <w:rPr>
          <w:rFonts w:eastAsia="MS Mincho"/>
          <w:sz w:val="20"/>
          <w:szCs w:val="22"/>
          <w:lang w:val="en-GB" w:eastAsia="ja-JP"/>
        </w:rPr>
        <w:t>) to a favourable population status so it can be safely removed from the threatened categories of the IUCN Red List.</w:t>
      </w:r>
    </w:p>
    <w:p w14:paraId="26A31B40"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4" w:name="_Toc478646899"/>
      <w:r w:rsidRPr="00C96521">
        <w:rPr>
          <w:rFonts w:ascii="Cambria" w:eastAsia="MS Gothic" w:hAnsi="Cambria"/>
          <w:b/>
          <w:bCs/>
          <w:color w:val="4F81BD"/>
          <w:sz w:val="26"/>
          <w:szCs w:val="26"/>
          <w:lang w:val="en-GB" w:eastAsia="ja-JP"/>
        </w:rPr>
        <w:t>High Level Objective</w:t>
      </w:r>
      <w:bookmarkEnd w:id="14"/>
    </w:p>
    <w:p w14:paraId="5A592903" w14:textId="28DE4019" w:rsidR="00C96521" w:rsidRPr="00C96521" w:rsidRDefault="00C96521" w:rsidP="00C96521">
      <w:pPr>
        <w:widowControl/>
        <w:autoSpaceDE/>
        <w:autoSpaceDN/>
        <w:adjustRightInd/>
        <w:spacing w:before="120" w:line="276" w:lineRule="auto"/>
        <w:rPr>
          <w:rFonts w:eastAsia="MS Mincho"/>
          <w:sz w:val="20"/>
          <w:szCs w:val="22"/>
          <w:lang w:val="en-GB" w:eastAsia="ja-JP"/>
        </w:rPr>
      </w:pPr>
      <w:r w:rsidRPr="00C96521">
        <w:rPr>
          <w:rFonts w:eastAsia="MS Mincho"/>
          <w:sz w:val="20"/>
          <w:szCs w:val="22"/>
          <w:lang w:val="en-GB" w:eastAsia="ja-JP"/>
        </w:rPr>
        <w:t>To halt the population decline of the European Turtle</w:t>
      </w:r>
      <w:r w:rsidR="004006B8">
        <w:rPr>
          <w:rFonts w:eastAsia="MS Mincho"/>
          <w:sz w:val="20"/>
          <w:szCs w:val="22"/>
          <w:lang w:val="en-GB" w:eastAsia="ja-JP"/>
        </w:rPr>
        <w:t xml:space="preserve"> D</w:t>
      </w:r>
      <w:r w:rsidRPr="00C96521">
        <w:rPr>
          <w:rFonts w:eastAsia="MS Mincho"/>
          <w:sz w:val="20"/>
          <w:szCs w:val="22"/>
          <w:lang w:val="en-GB" w:eastAsia="ja-JP"/>
        </w:rPr>
        <w:t>ove throughout most of its range, preparing the way for an increase in population sizes within each flyway during the period of the next version of the Action Plan.</w:t>
      </w:r>
    </w:p>
    <w:p w14:paraId="29872BDD"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5" w:name="_Toc478646900"/>
      <w:r w:rsidRPr="00C96521">
        <w:rPr>
          <w:rFonts w:ascii="Cambria" w:eastAsia="MS Gothic" w:hAnsi="Cambria"/>
          <w:b/>
          <w:bCs/>
          <w:color w:val="4F81BD"/>
          <w:sz w:val="26"/>
          <w:szCs w:val="26"/>
          <w:lang w:val="en-GB" w:eastAsia="ja-JP"/>
        </w:rPr>
        <w:t>Results and actions</w:t>
      </w:r>
      <w:bookmarkEnd w:id="15"/>
    </w:p>
    <w:p w14:paraId="41AA739C" w14:textId="77777777" w:rsidR="00C96521" w:rsidRPr="00C96521" w:rsidRDefault="00C96521" w:rsidP="00C96521">
      <w:pPr>
        <w:widowControl/>
        <w:autoSpaceDE/>
        <w:autoSpaceDN/>
        <w:adjustRightInd/>
        <w:spacing w:line="276" w:lineRule="auto"/>
        <w:rPr>
          <w:rFonts w:eastAsia="MS Mincho"/>
          <w:color w:val="FF0000"/>
          <w:sz w:val="20"/>
          <w:szCs w:val="22"/>
          <w:lang w:val="en-GB" w:eastAsia="ja-JP"/>
        </w:rPr>
      </w:pPr>
    </w:p>
    <w:p w14:paraId="4321F599" w14:textId="77777777" w:rsidR="00C96521" w:rsidRPr="00C96521" w:rsidRDefault="00C96521" w:rsidP="00C96521">
      <w:pPr>
        <w:widowControl/>
        <w:autoSpaceDE/>
        <w:autoSpaceDN/>
        <w:adjustRightInd/>
        <w:spacing w:line="276" w:lineRule="auto"/>
        <w:rPr>
          <w:rFonts w:eastAsia="MS Mincho"/>
          <w:color w:val="FF0000"/>
          <w:sz w:val="20"/>
          <w:szCs w:val="22"/>
          <w:lang w:val="en-GB" w:eastAsia="ja-JP"/>
        </w:rPr>
      </w:pPr>
      <w:r w:rsidRPr="00C96521">
        <w:rPr>
          <w:rFonts w:eastAsia="MS Mincho"/>
          <w:color w:val="FF0000"/>
          <w:sz w:val="20"/>
          <w:szCs w:val="22"/>
          <w:lang w:val="en-GB" w:eastAsia="ja-JP"/>
        </w:rPr>
        <w:t xml:space="preserve">Editors' note: any dates and values are provisional and have not been agreed.  They are inserted in </w:t>
      </w:r>
      <w:r w:rsidRPr="00C96521">
        <w:rPr>
          <w:rFonts w:eastAsia="MS Mincho"/>
          <w:i/>
          <w:color w:val="FF0000"/>
          <w:sz w:val="20"/>
          <w:szCs w:val="22"/>
          <w:lang w:val="en-GB" w:eastAsia="ja-JP"/>
        </w:rPr>
        <w:t>italics</w:t>
      </w:r>
      <w:r w:rsidRPr="00C96521">
        <w:rPr>
          <w:rFonts w:eastAsia="MS Mincho"/>
          <w:color w:val="FF0000"/>
          <w:sz w:val="20"/>
          <w:szCs w:val="22"/>
          <w:lang w:val="en-GB" w:eastAsia="ja-JP"/>
        </w:rPr>
        <w:t xml:space="preserve"> and [brackets].  Exact measures will be determined during the consultation process.</w:t>
      </w:r>
    </w:p>
    <w:p w14:paraId="08D7C4D4" w14:textId="77777777" w:rsidR="00C96521" w:rsidRPr="00C96521" w:rsidRDefault="00C96521" w:rsidP="00C96521">
      <w:pPr>
        <w:widowControl/>
        <w:autoSpaceDE/>
        <w:autoSpaceDN/>
        <w:adjustRightInd/>
        <w:spacing w:line="276" w:lineRule="auto"/>
        <w:rPr>
          <w:rFonts w:eastAsia="MS Mincho"/>
          <w:color w:val="FF0000"/>
          <w:sz w:val="20"/>
          <w:szCs w:val="22"/>
          <w:lang w:val="en-GB" w:eastAsia="ja-JP"/>
        </w:rPr>
      </w:pPr>
    </w:p>
    <w:tbl>
      <w:tblPr>
        <w:tblStyle w:val="TableGrid"/>
        <w:tblW w:w="0" w:type="auto"/>
        <w:tblLook w:val="04A0" w:firstRow="1" w:lastRow="0" w:firstColumn="1" w:lastColumn="0" w:noHBand="0" w:noVBand="1"/>
      </w:tblPr>
      <w:tblGrid>
        <w:gridCol w:w="6912"/>
        <w:gridCol w:w="1985"/>
        <w:gridCol w:w="5278"/>
      </w:tblGrid>
      <w:tr w:rsidR="00C96521" w:rsidRPr="005D4262" w14:paraId="4F7A0128" w14:textId="77777777" w:rsidTr="00C96521">
        <w:tc>
          <w:tcPr>
            <w:tcW w:w="6912" w:type="dxa"/>
            <w:shd w:val="clear" w:color="auto" w:fill="D9D9D9"/>
          </w:tcPr>
          <w:p w14:paraId="58A6AF1D"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Threat assessment</w:t>
            </w:r>
          </w:p>
        </w:tc>
        <w:tc>
          <w:tcPr>
            <w:tcW w:w="1985" w:type="dxa"/>
            <w:shd w:val="clear" w:color="auto" w:fill="D9D9D9"/>
          </w:tcPr>
          <w:p w14:paraId="0D98CAEC"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Action priority</w:t>
            </w:r>
          </w:p>
        </w:tc>
        <w:tc>
          <w:tcPr>
            <w:tcW w:w="5278" w:type="dxa"/>
            <w:shd w:val="clear" w:color="auto" w:fill="D9D9D9"/>
          </w:tcPr>
          <w:p w14:paraId="39AD7BFA"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Action timescale</w:t>
            </w:r>
          </w:p>
        </w:tc>
      </w:tr>
      <w:tr w:rsidR="00C96521" w:rsidRPr="005D4262" w14:paraId="3EFBDA0D" w14:textId="77777777" w:rsidTr="00C96521">
        <w:tc>
          <w:tcPr>
            <w:tcW w:w="6912" w:type="dxa"/>
          </w:tcPr>
          <w:p w14:paraId="168B457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Critical</w:t>
            </w:r>
            <w:r w:rsidRPr="005D4262">
              <w:rPr>
                <w:rFonts w:ascii="Arial" w:hAnsi="Arial" w:cs="Arial"/>
                <w:sz w:val="18"/>
                <w:szCs w:val="18"/>
                <w:lang w:val="en-GB"/>
              </w:rPr>
              <w:t xml:space="preserve"> - causing or likely to cause very rapid declines and/or extinction</w:t>
            </w:r>
          </w:p>
        </w:tc>
        <w:tc>
          <w:tcPr>
            <w:tcW w:w="1985" w:type="dxa"/>
          </w:tcPr>
          <w:p w14:paraId="77F55360"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Essential</w:t>
            </w:r>
          </w:p>
        </w:tc>
        <w:tc>
          <w:tcPr>
            <w:tcW w:w="5278" w:type="dxa"/>
          </w:tcPr>
          <w:p w14:paraId="198C85F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Immediate</w:t>
            </w:r>
            <w:r w:rsidRPr="005D4262">
              <w:rPr>
                <w:rFonts w:ascii="Arial" w:hAnsi="Arial" w:cs="Arial"/>
                <w:sz w:val="18"/>
                <w:szCs w:val="18"/>
                <w:lang w:val="en-GB"/>
              </w:rPr>
              <w:t xml:space="preserve"> - to commence within the next year</w:t>
            </w:r>
          </w:p>
        </w:tc>
      </w:tr>
      <w:tr w:rsidR="00C96521" w:rsidRPr="005D4262" w14:paraId="197E19AB" w14:textId="77777777" w:rsidTr="00C96521">
        <w:tc>
          <w:tcPr>
            <w:tcW w:w="6912" w:type="dxa"/>
          </w:tcPr>
          <w:p w14:paraId="5EE8FA9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High</w:t>
            </w:r>
            <w:r w:rsidRPr="005D4262">
              <w:rPr>
                <w:rFonts w:ascii="Arial" w:hAnsi="Arial" w:cs="Arial"/>
                <w:sz w:val="18"/>
                <w:szCs w:val="18"/>
                <w:lang w:val="en-GB"/>
              </w:rPr>
              <w:t xml:space="preserve"> - causing or likely to cause rapid decline leading to depletion</w:t>
            </w:r>
          </w:p>
        </w:tc>
        <w:tc>
          <w:tcPr>
            <w:tcW w:w="1985" w:type="dxa"/>
          </w:tcPr>
          <w:p w14:paraId="2AE252D7"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High</w:t>
            </w:r>
          </w:p>
        </w:tc>
        <w:tc>
          <w:tcPr>
            <w:tcW w:w="5278" w:type="dxa"/>
          </w:tcPr>
          <w:p w14:paraId="4790CFB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Short</w:t>
            </w:r>
            <w:r w:rsidRPr="005D4262">
              <w:rPr>
                <w:rFonts w:ascii="Arial" w:hAnsi="Arial" w:cs="Arial"/>
                <w:sz w:val="18"/>
                <w:szCs w:val="18"/>
                <w:lang w:val="en-GB"/>
              </w:rPr>
              <w:t xml:space="preserve"> - to commence within the next 3 years</w:t>
            </w:r>
          </w:p>
        </w:tc>
      </w:tr>
      <w:tr w:rsidR="00C96521" w:rsidRPr="005D4262" w14:paraId="575CB24B" w14:textId="77777777" w:rsidTr="00C96521">
        <w:tc>
          <w:tcPr>
            <w:tcW w:w="6912" w:type="dxa"/>
          </w:tcPr>
          <w:p w14:paraId="15AB7BB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Medium</w:t>
            </w:r>
            <w:r w:rsidRPr="005D4262">
              <w:rPr>
                <w:rFonts w:ascii="Arial" w:hAnsi="Arial" w:cs="Arial"/>
                <w:sz w:val="18"/>
                <w:szCs w:val="18"/>
                <w:lang w:val="en-GB"/>
              </w:rPr>
              <w:t xml:space="preserve"> - causing or likely to cause relatively slow, but significant, declines</w:t>
            </w:r>
          </w:p>
        </w:tc>
        <w:tc>
          <w:tcPr>
            <w:tcW w:w="1985" w:type="dxa"/>
          </w:tcPr>
          <w:p w14:paraId="6EB58646"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Medium</w:t>
            </w:r>
          </w:p>
        </w:tc>
        <w:tc>
          <w:tcPr>
            <w:tcW w:w="5278" w:type="dxa"/>
          </w:tcPr>
          <w:p w14:paraId="44ED1C1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Medium</w:t>
            </w:r>
            <w:r w:rsidRPr="005D4262">
              <w:rPr>
                <w:rFonts w:ascii="Arial" w:hAnsi="Arial" w:cs="Arial"/>
                <w:sz w:val="18"/>
                <w:szCs w:val="18"/>
                <w:lang w:val="en-GB"/>
              </w:rPr>
              <w:t xml:space="preserve"> - to commence within the next 5 years</w:t>
            </w:r>
          </w:p>
        </w:tc>
      </w:tr>
      <w:tr w:rsidR="00C96521" w:rsidRPr="005D4262" w14:paraId="1864385A" w14:textId="77777777" w:rsidTr="00C96521">
        <w:tc>
          <w:tcPr>
            <w:tcW w:w="6912" w:type="dxa"/>
          </w:tcPr>
          <w:p w14:paraId="1A30C9B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Low</w:t>
            </w:r>
            <w:r w:rsidRPr="005D4262">
              <w:rPr>
                <w:rFonts w:ascii="Arial" w:hAnsi="Arial" w:cs="Arial"/>
                <w:sz w:val="18"/>
                <w:szCs w:val="18"/>
                <w:lang w:val="en-GB"/>
              </w:rPr>
              <w:t xml:space="preserve"> - causing or likely to cause fluctuations or minimal change</w:t>
            </w:r>
          </w:p>
        </w:tc>
        <w:tc>
          <w:tcPr>
            <w:tcW w:w="1985" w:type="dxa"/>
          </w:tcPr>
          <w:p w14:paraId="5CB6CBCA"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Low</w:t>
            </w:r>
          </w:p>
        </w:tc>
        <w:tc>
          <w:tcPr>
            <w:tcW w:w="5278" w:type="dxa"/>
          </w:tcPr>
          <w:p w14:paraId="6BB4F69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Long</w:t>
            </w:r>
            <w:r w:rsidRPr="005D4262">
              <w:rPr>
                <w:rFonts w:ascii="Arial" w:hAnsi="Arial" w:cs="Arial"/>
                <w:sz w:val="18"/>
                <w:szCs w:val="18"/>
                <w:lang w:val="en-GB"/>
              </w:rPr>
              <w:t xml:space="preserve"> - to commence within the next 10 years</w:t>
            </w:r>
          </w:p>
        </w:tc>
      </w:tr>
      <w:tr w:rsidR="00C96521" w:rsidRPr="005D4262" w14:paraId="57DCCC92" w14:textId="77777777" w:rsidTr="00C96521">
        <w:tc>
          <w:tcPr>
            <w:tcW w:w="6912" w:type="dxa"/>
          </w:tcPr>
          <w:p w14:paraId="57D28B2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Local</w:t>
            </w:r>
            <w:r w:rsidRPr="005D4262">
              <w:rPr>
                <w:rFonts w:ascii="Arial" w:hAnsi="Arial" w:cs="Arial"/>
                <w:sz w:val="18"/>
                <w:szCs w:val="18"/>
                <w:lang w:val="en-GB"/>
              </w:rPr>
              <w:t xml:space="preserve"> - causing or likely to cause negligible declines in small parts of the population</w:t>
            </w:r>
          </w:p>
        </w:tc>
        <w:tc>
          <w:tcPr>
            <w:tcW w:w="1985" w:type="dxa"/>
          </w:tcPr>
          <w:p w14:paraId="4331CC7C" w14:textId="77777777" w:rsidR="00C96521" w:rsidRPr="005D4262" w:rsidRDefault="00C96521" w:rsidP="00C96521">
            <w:pPr>
              <w:widowControl/>
              <w:autoSpaceDE/>
              <w:autoSpaceDN/>
              <w:adjustRightInd/>
              <w:rPr>
                <w:rFonts w:ascii="Arial" w:hAnsi="Arial" w:cs="Arial"/>
                <w:b/>
                <w:sz w:val="18"/>
                <w:szCs w:val="18"/>
                <w:lang w:val="en-GB"/>
              </w:rPr>
            </w:pPr>
          </w:p>
        </w:tc>
        <w:tc>
          <w:tcPr>
            <w:tcW w:w="5278" w:type="dxa"/>
          </w:tcPr>
          <w:p w14:paraId="687E7F0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Ongoing</w:t>
            </w:r>
            <w:r w:rsidRPr="005D4262">
              <w:rPr>
                <w:rFonts w:ascii="Arial" w:hAnsi="Arial" w:cs="Arial"/>
                <w:sz w:val="18"/>
                <w:szCs w:val="18"/>
                <w:lang w:val="en-GB"/>
              </w:rPr>
              <w:t xml:space="preserve"> - currently implemented and should continue</w:t>
            </w:r>
          </w:p>
        </w:tc>
      </w:tr>
      <w:tr w:rsidR="00C96521" w:rsidRPr="005D4262" w14:paraId="62ADF1F0" w14:textId="77777777" w:rsidTr="00C96521">
        <w:tc>
          <w:tcPr>
            <w:tcW w:w="6912" w:type="dxa"/>
          </w:tcPr>
          <w:p w14:paraId="4CA0D56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Unknown</w:t>
            </w:r>
            <w:r w:rsidRPr="005D4262">
              <w:rPr>
                <w:rFonts w:ascii="Arial" w:hAnsi="Arial" w:cs="Arial"/>
                <w:sz w:val="18"/>
                <w:szCs w:val="18"/>
                <w:lang w:val="en-GB"/>
              </w:rPr>
              <w:t xml:space="preserve"> - likely to affect the species, but extent unknown</w:t>
            </w:r>
          </w:p>
        </w:tc>
        <w:tc>
          <w:tcPr>
            <w:tcW w:w="1985" w:type="dxa"/>
          </w:tcPr>
          <w:p w14:paraId="5126C9FF" w14:textId="77777777" w:rsidR="00C96521" w:rsidRPr="005D4262" w:rsidRDefault="00C96521" w:rsidP="00C96521">
            <w:pPr>
              <w:widowControl/>
              <w:autoSpaceDE/>
              <w:autoSpaceDN/>
              <w:adjustRightInd/>
              <w:rPr>
                <w:rFonts w:ascii="Arial" w:hAnsi="Arial" w:cs="Arial"/>
                <w:b/>
                <w:sz w:val="18"/>
                <w:szCs w:val="18"/>
                <w:lang w:val="en-GB"/>
              </w:rPr>
            </w:pPr>
          </w:p>
        </w:tc>
        <w:tc>
          <w:tcPr>
            <w:tcW w:w="5278" w:type="dxa"/>
          </w:tcPr>
          <w:p w14:paraId="58201AB8"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Completed</w:t>
            </w:r>
            <w:r w:rsidRPr="005D4262">
              <w:rPr>
                <w:rFonts w:ascii="Arial" w:hAnsi="Arial" w:cs="Arial"/>
                <w:sz w:val="18"/>
                <w:szCs w:val="18"/>
                <w:lang w:val="en-GB"/>
              </w:rPr>
              <w:t xml:space="preserve"> - completed during preparation of the Action Plan</w:t>
            </w:r>
          </w:p>
        </w:tc>
      </w:tr>
    </w:tbl>
    <w:p w14:paraId="46277002"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607"/>
        <w:gridCol w:w="3880"/>
        <w:gridCol w:w="61"/>
        <w:gridCol w:w="1880"/>
        <w:gridCol w:w="1315"/>
        <w:gridCol w:w="2355"/>
        <w:gridCol w:w="2077"/>
      </w:tblGrid>
      <w:tr w:rsidR="00C96521" w:rsidRPr="006A313E" w14:paraId="61B7BA79" w14:textId="77777777" w:rsidTr="006A313E">
        <w:trPr>
          <w:tblHeader/>
        </w:trPr>
        <w:tc>
          <w:tcPr>
            <w:tcW w:w="14175" w:type="dxa"/>
            <w:gridSpan w:val="7"/>
            <w:shd w:val="clear" w:color="auto" w:fill="BFBFBF" w:themeFill="background1" w:themeFillShade="BF"/>
          </w:tcPr>
          <w:p w14:paraId="7200E52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Objective 1: Good quality habitats, with available and accessible water and food, are maintained and increased on the breeding grounds.</w:t>
            </w:r>
          </w:p>
          <w:p w14:paraId="2764D12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Threat - Lack of one or more of the three essential requirements during the breeding season: food, water, nesting locations (Critical)</w:t>
            </w:r>
          </w:p>
        </w:tc>
      </w:tr>
      <w:tr w:rsidR="00C96521" w:rsidRPr="006A313E" w14:paraId="61649F2E" w14:textId="77777777" w:rsidTr="00C96521">
        <w:trPr>
          <w:tblHeader/>
        </w:trPr>
        <w:tc>
          <w:tcPr>
            <w:tcW w:w="2607" w:type="dxa"/>
            <w:shd w:val="clear" w:color="auto" w:fill="D9D9D9"/>
          </w:tcPr>
          <w:p w14:paraId="6079ABD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Result</w:t>
            </w:r>
          </w:p>
        </w:tc>
        <w:tc>
          <w:tcPr>
            <w:tcW w:w="3941" w:type="dxa"/>
            <w:gridSpan w:val="2"/>
            <w:shd w:val="clear" w:color="auto" w:fill="D9D9D9"/>
          </w:tcPr>
          <w:p w14:paraId="36C248E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and scope</w:t>
            </w:r>
          </w:p>
        </w:tc>
        <w:tc>
          <w:tcPr>
            <w:tcW w:w="1880" w:type="dxa"/>
            <w:shd w:val="clear" w:color="auto" w:fill="D9D9D9"/>
          </w:tcPr>
          <w:p w14:paraId="56745C3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Priority</w:t>
            </w:r>
          </w:p>
        </w:tc>
        <w:tc>
          <w:tcPr>
            <w:tcW w:w="1315" w:type="dxa"/>
            <w:shd w:val="clear" w:color="auto" w:fill="D9D9D9"/>
          </w:tcPr>
          <w:p w14:paraId="490201E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Timescale</w:t>
            </w:r>
          </w:p>
        </w:tc>
        <w:tc>
          <w:tcPr>
            <w:tcW w:w="2355" w:type="dxa"/>
            <w:shd w:val="clear" w:color="auto" w:fill="D9D9D9"/>
          </w:tcPr>
          <w:p w14:paraId="6D0F8136" w14:textId="4F88234E"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Organi</w:t>
            </w:r>
            <w:r w:rsidR="004006B8" w:rsidRPr="006A313E">
              <w:rPr>
                <w:rFonts w:ascii="Arial" w:hAnsi="Arial" w:cs="Arial"/>
                <w:sz w:val="18"/>
                <w:szCs w:val="18"/>
                <w:lang w:val="en-GB"/>
              </w:rPr>
              <w:t>z</w:t>
            </w:r>
            <w:r w:rsidRPr="006A313E">
              <w:rPr>
                <w:rFonts w:ascii="Arial" w:hAnsi="Arial" w:cs="Arial"/>
                <w:sz w:val="18"/>
                <w:szCs w:val="18"/>
                <w:lang w:val="en-GB"/>
              </w:rPr>
              <w:t>ations responsible</w:t>
            </w:r>
          </w:p>
        </w:tc>
        <w:tc>
          <w:tcPr>
            <w:tcW w:w="2077" w:type="dxa"/>
            <w:shd w:val="clear" w:color="auto" w:fill="D9D9D9"/>
          </w:tcPr>
          <w:p w14:paraId="06DCD85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Inputs required</w:t>
            </w:r>
          </w:p>
        </w:tc>
      </w:tr>
      <w:tr w:rsidR="00C96521" w:rsidRPr="006A313E" w14:paraId="43F84428" w14:textId="77777777" w:rsidTr="00C96521">
        <w:tc>
          <w:tcPr>
            <w:tcW w:w="2607" w:type="dxa"/>
          </w:tcPr>
          <w:p w14:paraId="6C3B812C" w14:textId="6E88986E"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1.1 Emergency scheme deployed to provide feeding opportunities for </w:t>
            </w:r>
            <w:r w:rsidR="004006B8" w:rsidRPr="006A313E">
              <w:rPr>
                <w:rFonts w:ascii="Arial" w:hAnsi="Arial" w:cs="Arial"/>
                <w:sz w:val="18"/>
                <w:szCs w:val="18"/>
                <w:lang w:val="en-GB"/>
              </w:rPr>
              <w:t>T</w:t>
            </w:r>
            <w:r w:rsidRPr="006A313E">
              <w:rPr>
                <w:rFonts w:ascii="Arial" w:hAnsi="Arial" w:cs="Arial"/>
                <w:sz w:val="18"/>
                <w:szCs w:val="18"/>
                <w:lang w:val="en-GB"/>
              </w:rPr>
              <w:t>urtle</w:t>
            </w:r>
            <w:r w:rsidR="004006B8" w:rsidRPr="006A313E">
              <w:rPr>
                <w:rFonts w:ascii="Arial" w:hAnsi="Arial" w:cs="Arial"/>
                <w:sz w:val="18"/>
                <w:szCs w:val="18"/>
                <w:lang w:val="en-GB"/>
              </w:rPr>
              <w:t xml:space="preserve"> D</w:t>
            </w:r>
            <w:r w:rsidRPr="006A313E">
              <w:rPr>
                <w:rFonts w:ascii="Arial" w:hAnsi="Arial" w:cs="Arial"/>
                <w:sz w:val="18"/>
                <w:szCs w:val="18"/>
                <w:lang w:val="en-GB"/>
              </w:rPr>
              <w:t>oves by [</w:t>
            </w:r>
            <w:r w:rsidRPr="006A313E">
              <w:rPr>
                <w:rFonts w:ascii="Arial" w:hAnsi="Arial" w:cs="Arial"/>
                <w:i/>
                <w:sz w:val="18"/>
                <w:szCs w:val="18"/>
                <w:lang w:val="en-GB"/>
              </w:rPr>
              <w:t>2018</w:t>
            </w:r>
            <w:r w:rsidRPr="006A313E">
              <w:rPr>
                <w:rFonts w:ascii="Arial" w:hAnsi="Arial" w:cs="Arial"/>
                <w:sz w:val="18"/>
                <w:szCs w:val="18"/>
                <w:lang w:val="en-GB"/>
              </w:rPr>
              <w:t>].</w:t>
            </w:r>
          </w:p>
        </w:tc>
        <w:tc>
          <w:tcPr>
            <w:tcW w:w="3941" w:type="dxa"/>
            <w:gridSpan w:val="2"/>
          </w:tcPr>
          <w:p w14:paraId="41D7708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1.1.1</w:t>
            </w:r>
          </w:p>
          <w:p w14:paraId="01054C3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Using existing knowledge, implement emergency feeding schemes to provide a short-term solution to food availability.</w:t>
            </w:r>
          </w:p>
          <w:p w14:paraId="43493A36" w14:textId="77777777" w:rsidR="00C96521" w:rsidRPr="006A313E" w:rsidRDefault="00C96521" w:rsidP="00C96521">
            <w:pPr>
              <w:widowControl/>
              <w:autoSpaceDE/>
              <w:autoSpaceDN/>
              <w:adjustRightInd/>
              <w:rPr>
                <w:rFonts w:ascii="Arial" w:hAnsi="Arial" w:cs="Arial"/>
                <w:sz w:val="18"/>
                <w:szCs w:val="18"/>
                <w:lang w:val="en-GB"/>
              </w:rPr>
            </w:pPr>
          </w:p>
          <w:p w14:paraId="6B4B02D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w:t>
            </w:r>
            <w:r w:rsidRPr="006A313E">
              <w:rPr>
                <w:rFonts w:ascii="Arial" w:hAnsi="Arial" w:cs="Arial"/>
                <w:i/>
                <w:sz w:val="18"/>
                <w:szCs w:val="18"/>
                <w:lang w:val="en-GB"/>
              </w:rPr>
              <w:t>Proposals for specific measures are being developed through a consultancy and will be incorporated to the second draft</w:t>
            </w:r>
            <w:r w:rsidRPr="006A313E">
              <w:rPr>
                <w:rFonts w:ascii="Arial" w:hAnsi="Arial" w:cs="Arial"/>
                <w:sz w:val="18"/>
                <w:szCs w:val="18"/>
                <w:lang w:val="en-GB"/>
              </w:rPr>
              <w:t>.]</w:t>
            </w:r>
          </w:p>
          <w:p w14:paraId="37B97DAD" w14:textId="77777777" w:rsidR="00C96521" w:rsidRPr="006A313E" w:rsidRDefault="00C96521" w:rsidP="00C96521">
            <w:pPr>
              <w:widowControl/>
              <w:autoSpaceDE/>
              <w:autoSpaceDN/>
              <w:adjustRightInd/>
              <w:rPr>
                <w:rFonts w:ascii="Arial" w:hAnsi="Arial" w:cs="Arial"/>
                <w:sz w:val="18"/>
                <w:szCs w:val="18"/>
                <w:lang w:val="en-GB"/>
              </w:rPr>
            </w:pPr>
          </w:p>
          <w:p w14:paraId="621721E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Applicable to: all EU Member States.</w:t>
            </w:r>
          </w:p>
        </w:tc>
        <w:tc>
          <w:tcPr>
            <w:tcW w:w="1880" w:type="dxa"/>
          </w:tcPr>
          <w:p w14:paraId="2C7C5C6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Essential</w:t>
            </w:r>
          </w:p>
        </w:tc>
        <w:tc>
          <w:tcPr>
            <w:tcW w:w="1315" w:type="dxa"/>
          </w:tcPr>
          <w:p w14:paraId="39F1D22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Immediate</w:t>
            </w:r>
          </w:p>
        </w:tc>
        <w:tc>
          <w:tcPr>
            <w:tcW w:w="2355" w:type="dxa"/>
          </w:tcPr>
          <w:p w14:paraId="0D1904B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European Commission, national farming agencies, conservation NGOs, academic institutions</w:t>
            </w:r>
          </w:p>
        </w:tc>
        <w:tc>
          <w:tcPr>
            <w:tcW w:w="2077" w:type="dxa"/>
          </w:tcPr>
          <w:p w14:paraId="13D7417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 existing scheme results.</w:t>
            </w:r>
          </w:p>
        </w:tc>
      </w:tr>
      <w:tr w:rsidR="00C96521" w:rsidRPr="006A313E" w14:paraId="725C0950" w14:textId="77777777" w:rsidTr="00C96521">
        <w:tc>
          <w:tcPr>
            <w:tcW w:w="2607" w:type="dxa"/>
            <w:vMerge w:val="restart"/>
          </w:tcPr>
          <w:p w14:paraId="265B940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1.2 Pillar I and Pillar II of the CAP provide mechanisms to cater for the ecological requirements of the turtle-dove by [</w:t>
            </w:r>
            <w:r w:rsidRPr="006A313E">
              <w:rPr>
                <w:rFonts w:ascii="Arial" w:hAnsi="Arial" w:cs="Arial"/>
                <w:i/>
                <w:sz w:val="18"/>
                <w:szCs w:val="18"/>
                <w:lang w:val="en-GB"/>
              </w:rPr>
              <w:t>2020</w:t>
            </w:r>
            <w:r w:rsidRPr="006A313E">
              <w:rPr>
                <w:rFonts w:ascii="Arial" w:hAnsi="Arial" w:cs="Arial"/>
                <w:sz w:val="18"/>
                <w:szCs w:val="18"/>
                <w:lang w:val="en-GB"/>
              </w:rPr>
              <w:t>].</w:t>
            </w:r>
          </w:p>
        </w:tc>
        <w:tc>
          <w:tcPr>
            <w:tcW w:w="3941" w:type="dxa"/>
            <w:gridSpan w:val="2"/>
          </w:tcPr>
          <w:p w14:paraId="224A1CF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1.2.1</w:t>
            </w:r>
          </w:p>
          <w:p w14:paraId="10471751" w14:textId="3C846C90"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Screen existing Pillar I (e</w:t>
            </w:r>
            <w:r w:rsidR="004006B8" w:rsidRPr="006A313E">
              <w:rPr>
                <w:rFonts w:ascii="Arial" w:hAnsi="Arial" w:cs="Arial"/>
                <w:sz w:val="18"/>
                <w:szCs w:val="18"/>
                <w:lang w:val="en-GB"/>
              </w:rPr>
              <w:t>.</w:t>
            </w:r>
            <w:r w:rsidRPr="006A313E">
              <w:rPr>
                <w:rFonts w:ascii="Arial" w:hAnsi="Arial" w:cs="Arial"/>
                <w:sz w:val="18"/>
                <w:szCs w:val="18"/>
                <w:lang w:val="en-GB"/>
              </w:rPr>
              <w:t>g greening measures) and Pillar II (e</w:t>
            </w:r>
            <w:r w:rsidR="004006B8" w:rsidRPr="006A313E">
              <w:rPr>
                <w:rFonts w:ascii="Arial" w:hAnsi="Arial" w:cs="Arial"/>
                <w:sz w:val="18"/>
                <w:szCs w:val="18"/>
                <w:lang w:val="en-GB"/>
              </w:rPr>
              <w:t>.</w:t>
            </w:r>
            <w:r w:rsidRPr="006A313E">
              <w:rPr>
                <w:rFonts w:ascii="Arial" w:hAnsi="Arial" w:cs="Arial"/>
                <w:sz w:val="18"/>
                <w:szCs w:val="18"/>
                <w:lang w:val="en-GB"/>
              </w:rPr>
              <w:t xml:space="preserve">g agri-environment packages) to assess which elements benefit </w:t>
            </w:r>
            <w:r w:rsidR="004006B8" w:rsidRPr="006A313E">
              <w:rPr>
                <w:rFonts w:ascii="Arial" w:hAnsi="Arial" w:cs="Arial"/>
                <w:sz w:val="18"/>
                <w:szCs w:val="18"/>
                <w:lang w:val="en-GB"/>
              </w:rPr>
              <w:t>T</w:t>
            </w:r>
            <w:r w:rsidRPr="006A313E">
              <w:rPr>
                <w:rFonts w:ascii="Arial" w:hAnsi="Arial" w:cs="Arial"/>
                <w:sz w:val="18"/>
                <w:szCs w:val="18"/>
                <w:lang w:val="en-GB"/>
              </w:rPr>
              <w:t xml:space="preserve">urtle </w:t>
            </w:r>
            <w:r w:rsidR="004006B8" w:rsidRPr="006A313E">
              <w:rPr>
                <w:rFonts w:ascii="Arial" w:hAnsi="Arial" w:cs="Arial"/>
                <w:sz w:val="18"/>
                <w:szCs w:val="18"/>
                <w:lang w:val="en-GB"/>
              </w:rPr>
              <w:t>D</w:t>
            </w:r>
            <w:r w:rsidRPr="006A313E">
              <w:rPr>
                <w:rFonts w:ascii="Arial" w:hAnsi="Arial" w:cs="Arial"/>
                <w:sz w:val="18"/>
                <w:szCs w:val="18"/>
                <w:lang w:val="en-GB"/>
              </w:rPr>
              <w:t>oves and other biodiversity (such as Ecological Focus Areas, late season cutting, low input traditional meadows, margins, providing subsidies to encourage low-intensity farming) and which elements are particularly detrimental.</w:t>
            </w:r>
          </w:p>
          <w:p w14:paraId="12562624" w14:textId="77777777" w:rsidR="00C96521" w:rsidRPr="006A313E" w:rsidRDefault="00C96521" w:rsidP="00C96521">
            <w:pPr>
              <w:widowControl/>
              <w:autoSpaceDE/>
              <w:autoSpaceDN/>
              <w:adjustRightInd/>
              <w:rPr>
                <w:rFonts w:ascii="Arial" w:hAnsi="Arial" w:cs="Arial"/>
                <w:sz w:val="18"/>
                <w:szCs w:val="18"/>
                <w:lang w:val="en-GB"/>
              </w:rPr>
            </w:pPr>
          </w:p>
          <w:p w14:paraId="0E01F0E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EU Member States.</w:t>
            </w:r>
          </w:p>
        </w:tc>
        <w:tc>
          <w:tcPr>
            <w:tcW w:w="1880" w:type="dxa"/>
          </w:tcPr>
          <w:p w14:paraId="7B83556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78707D4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0E82E86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European Commission, national farming agencies, national wildlife agencies, conservation NGOs, academic institutions</w:t>
            </w:r>
          </w:p>
        </w:tc>
        <w:tc>
          <w:tcPr>
            <w:tcW w:w="2077" w:type="dxa"/>
          </w:tcPr>
          <w:p w14:paraId="4F1BA37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LIFE funding; existing studies on diet, habitat requirements, and ecology; existing scheme results; previous Management Plan.</w:t>
            </w:r>
          </w:p>
        </w:tc>
      </w:tr>
      <w:tr w:rsidR="00C96521" w:rsidRPr="006A313E" w14:paraId="67E186A6" w14:textId="77777777" w:rsidTr="00C96521">
        <w:tc>
          <w:tcPr>
            <w:tcW w:w="2607" w:type="dxa"/>
            <w:vMerge/>
          </w:tcPr>
          <w:p w14:paraId="4FDE3B85"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1B9E481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22406DFA" w14:textId="58046A18"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Develop a National Spatial Conservation Strategy for Turtle</w:t>
            </w:r>
            <w:r w:rsidR="004006B8" w:rsidRPr="006A313E">
              <w:rPr>
                <w:rFonts w:ascii="Arial" w:hAnsi="Arial" w:cs="Arial"/>
                <w:sz w:val="18"/>
                <w:szCs w:val="18"/>
                <w:lang w:val="en-GB"/>
              </w:rPr>
              <w:t xml:space="preserve"> D</w:t>
            </w:r>
            <w:r w:rsidRPr="006A313E">
              <w:rPr>
                <w:rFonts w:ascii="Arial" w:hAnsi="Arial" w:cs="Arial"/>
                <w:sz w:val="18"/>
                <w:szCs w:val="18"/>
                <w:lang w:val="en-GB"/>
              </w:rPr>
              <w:t>ove that includes technical specification for agri-environment packages, based on availability and accessibility of food, water and breeding habitat, including a "bespoke seed package".  The specification required will vary between regions.</w:t>
            </w:r>
          </w:p>
          <w:p w14:paraId="1CC7DE93" w14:textId="77777777" w:rsidR="00C96521" w:rsidRPr="006A313E" w:rsidRDefault="00C96521" w:rsidP="00C96521">
            <w:pPr>
              <w:widowControl/>
              <w:autoSpaceDE/>
              <w:autoSpaceDN/>
              <w:adjustRightInd/>
              <w:rPr>
                <w:rFonts w:ascii="Arial" w:hAnsi="Arial" w:cs="Arial"/>
                <w:sz w:val="18"/>
                <w:szCs w:val="18"/>
                <w:lang w:val="en-GB"/>
              </w:rPr>
            </w:pPr>
          </w:p>
          <w:p w14:paraId="3AB25D3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EU Member States</w:t>
            </w:r>
          </w:p>
        </w:tc>
        <w:tc>
          <w:tcPr>
            <w:tcW w:w="1880" w:type="dxa"/>
          </w:tcPr>
          <w:p w14:paraId="67AE8FB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2ECD75E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1B308E1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national farming agencies, national wildlife agencies, conservation NGOs, academic institutions</w:t>
            </w:r>
          </w:p>
        </w:tc>
        <w:tc>
          <w:tcPr>
            <w:tcW w:w="2077" w:type="dxa"/>
          </w:tcPr>
          <w:p w14:paraId="30C6B44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1.2.1</w:t>
            </w:r>
          </w:p>
          <w:p w14:paraId="520012E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7.4.1</w:t>
            </w:r>
          </w:p>
        </w:tc>
      </w:tr>
      <w:tr w:rsidR="00C96521" w:rsidRPr="006A313E" w14:paraId="22A4EC51" w14:textId="77777777" w:rsidTr="00C96521">
        <w:tc>
          <w:tcPr>
            <w:tcW w:w="2607" w:type="dxa"/>
            <w:vMerge/>
          </w:tcPr>
          <w:p w14:paraId="51F775A1"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1D688DD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1.2.3</w:t>
            </w:r>
          </w:p>
          <w:p w14:paraId="4F16173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Promotion of the turtle-dove agri-environment packages and "bespoke seed package"</w:t>
            </w:r>
          </w:p>
          <w:p w14:paraId="1D8690D3" w14:textId="77777777" w:rsidR="00C96521" w:rsidRPr="006A313E" w:rsidRDefault="00C96521" w:rsidP="00C96521">
            <w:pPr>
              <w:widowControl/>
              <w:autoSpaceDE/>
              <w:autoSpaceDN/>
              <w:adjustRightInd/>
              <w:rPr>
                <w:rFonts w:ascii="Arial" w:hAnsi="Arial" w:cs="Arial"/>
                <w:sz w:val="18"/>
                <w:szCs w:val="18"/>
                <w:lang w:val="en-GB"/>
              </w:rPr>
            </w:pPr>
          </w:p>
          <w:p w14:paraId="4E6EA65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EU Member States</w:t>
            </w:r>
          </w:p>
        </w:tc>
        <w:tc>
          <w:tcPr>
            <w:tcW w:w="1880" w:type="dxa"/>
          </w:tcPr>
          <w:p w14:paraId="05EF966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536A5FA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32E4B99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European Commission</w:t>
            </w:r>
          </w:p>
        </w:tc>
        <w:tc>
          <w:tcPr>
            <w:tcW w:w="2077" w:type="dxa"/>
          </w:tcPr>
          <w:p w14:paraId="0BB10F4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17DF53BF" w14:textId="77777777" w:rsidTr="00C96521">
        <w:tc>
          <w:tcPr>
            <w:tcW w:w="2607" w:type="dxa"/>
            <w:vMerge/>
          </w:tcPr>
          <w:p w14:paraId="2C0AB61F"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31F97CC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1.2.4</w:t>
            </w:r>
          </w:p>
          <w:p w14:paraId="4B35D7D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Influence the CAP Reform process to reduce negative incentives/polices (such as conversion of extensive grassland management, promotion of intensive land-use practices) detrimental to turtle-dove.</w:t>
            </w:r>
          </w:p>
          <w:p w14:paraId="6BA6D169" w14:textId="77777777" w:rsidR="00C96521" w:rsidRPr="006A313E" w:rsidRDefault="00C96521" w:rsidP="00C96521">
            <w:pPr>
              <w:widowControl/>
              <w:autoSpaceDE/>
              <w:autoSpaceDN/>
              <w:adjustRightInd/>
              <w:rPr>
                <w:rFonts w:ascii="Arial" w:hAnsi="Arial" w:cs="Arial"/>
                <w:sz w:val="18"/>
                <w:szCs w:val="18"/>
                <w:lang w:val="en-GB"/>
              </w:rPr>
            </w:pPr>
          </w:p>
          <w:p w14:paraId="79BC95B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EU Member States.</w:t>
            </w:r>
          </w:p>
        </w:tc>
        <w:tc>
          <w:tcPr>
            <w:tcW w:w="1880" w:type="dxa"/>
          </w:tcPr>
          <w:p w14:paraId="52C86EF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6E55B95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69B446F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w:t>
            </w:r>
            <w:r w:rsidRPr="006A313E">
              <w:rPr>
                <w:rFonts w:ascii="Arial" w:hAnsi="Arial" w:cs="Arial"/>
                <w:sz w:val="18"/>
                <w:szCs w:val="18"/>
                <w:lang w:val="en-GB"/>
              </w:rPr>
              <w:t xml:space="preserve"> academic institutions</w:t>
            </w:r>
          </w:p>
        </w:tc>
        <w:tc>
          <w:tcPr>
            <w:tcW w:w="2077" w:type="dxa"/>
          </w:tcPr>
          <w:p w14:paraId="4413AEC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1.1.1</w:t>
            </w:r>
          </w:p>
          <w:p w14:paraId="4224C67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1.2.1-1.2.2</w:t>
            </w:r>
          </w:p>
        </w:tc>
      </w:tr>
      <w:tr w:rsidR="00C96521" w:rsidRPr="006A313E" w14:paraId="0F0FE2E7" w14:textId="77777777" w:rsidTr="00C96521">
        <w:tc>
          <w:tcPr>
            <w:tcW w:w="2607" w:type="dxa"/>
            <w:vMerge w:val="restart"/>
          </w:tcPr>
          <w:p w14:paraId="6D9C91E9" w14:textId="60433F60"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1.3 National agri-environment schemes cater for ecological requirements of the European Turtle</w:t>
            </w:r>
            <w:r w:rsidR="00FC6C34" w:rsidRPr="006A313E">
              <w:rPr>
                <w:rFonts w:ascii="Arial" w:hAnsi="Arial" w:cs="Arial"/>
                <w:sz w:val="18"/>
                <w:szCs w:val="18"/>
                <w:lang w:val="en-GB"/>
              </w:rPr>
              <w:t xml:space="preserve"> D</w:t>
            </w:r>
            <w:r w:rsidRPr="006A313E">
              <w:rPr>
                <w:rFonts w:ascii="Arial" w:hAnsi="Arial" w:cs="Arial"/>
                <w:sz w:val="18"/>
                <w:szCs w:val="18"/>
                <w:lang w:val="en-GB"/>
              </w:rPr>
              <w:t>ove by [</w:t>
            </w:r>
            <w:r w:rsidRPr="006A313E">
              <w:rPr>
                <w:rFonts w:ascii="Arial" w:hAnsi="Arial" w:cs="Arial"/>
                <w:i/>
                <w:sz w:val="18"/>
                <w:szCs w:val="18"/>
                <w:lang w:val="en-GB"/>
              </w:rPr>
              <w:t>2020</w:t>
            </w:r>
            <w:r w:rsidRPr="006A313E">
              <w:rPr>
                <w:rFonts w:ascii="Arial" w:hAnsi="Arial" w:cs="Arial"/>
                <w:sz w:val="18"/>
                <w:szCs w:val="18"/>
                <w:lang w:val="en-GB"/>
              </w:rPr>
              <w:t>].</w:t>
            </w:r>
          </w:p>
        </w:tc>
        <w:tc>
          <w:tcPr>
            <w:tcW w:w="3941" w:type="dxa"/>
            <w:gridSpan w:val="2"/>
          </w:tcPr>
          <w:p w14:paraId="2A969B7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1.3.1</w:t>
            </w:r>
          </w:p>
          <w:p w14:paraId="6ED62B5E" w14:textId="29AFA415"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turtle-doves (as part of national spatial conservation strategies for </w:t>
            </w:r>
            <w:r w:rsidR="00FC6C34" w:rsidRPr="006A313E">
              <w:rPr>
                <w:rFonts w:ascii="Arial" w:hAnsi="Arial" w:cs="Arial"/>
                <w:sz w:val="18"/>
                <w:szCs w:val="18"/>
                <w:lang w:val="en-GB"/>
              </w:rPr>
              <w:lastRenderedPageBreak/>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dove) by introducing or retaining </w:t>
            </w:r>
            <w:r w:rsidRPr="006A313E">
              <w:rPr>
                <w:rFonts w:ascii="Arial" w:hAnsi="Arial" w:cs="Arial"/>
                <w:sz w:val="18"/>
                <w:szCs w:val="18"/>
                <w:u w:val="single"/>
                <w:lang w:val="en-GB"/>
              </w:rPr>
              <w:t>fallow land</w:t>
            </w:r>
            <w:r w:rsidRPr="006A313E">
              <w:rPr>
                <w:rFonts w:ascii="Arial" w:hAnsi="Arial" w:cs="Arial"/>
                <w:sz w:val="18"/>
                <w:szCs w:val="18"/>
                <w:lang w:val="en-GB"/>
              </w:rPr>
              <w:t xml:space="preserve"> in the farmed landscape.</w:t>
            </w:r>
          </w:p>
          <w:p w14:paraId="294AB5E1" w14:textId="77777777" w:rsidR="00C96521" w:rsidRPr="006A313E" w:rsidRDefault="00C96521" w:rsidP="00C96521">
            <w:pPr>
              <w:widowControl/>
              <w:autoSpaceDE/>
              <w:autoSpaceDN/>
              <w:adjustRightInd/>
              <w:rPr>
                <w:rFonts w:ascii="Arial" w:hAnsi="Arial" w:cs="Arial"/>
                <w:sz w:val="18"/>
                <w:szCs w:val="18"/>
                <w:lang w:val="en-GB"/>
              </w:rPr>
            </w:pPr>
          </w:p>
          <w:p w14:paraId="32302E9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of [</w:t>
            </w:r>
            <w:r w:rsidRPr="006A313E">
              <w:rPr>
                <w:rFonts w:ascii="Arial" w:hAnsi="Arial" w:cs="Arial"/>
                <w:i/>
                <w:sz w:val="18"/>
                <w:szCs w:val="18"/>
                <w:lang w:val="en-GB"/>
              </w:rPr>
              <w:t>x</w:t>
            </w:r>
            <w:r w:rsidRPr="006A313E">
              <w:rPr>
                <w:rFonts w:ascii="Arial" w:hAnsi="Arial" w:cs="Arial"/>
                <w:sz w:val="18"/>
                <w:szCs w:val="18"/>
                <w:lang w:val="en-GB"/>
              </w:rPr>
              <w:t>] hectares of fallow land per 10,000 hectares of agricultural landscape.</w:t>
            </w:r>
          </w:p>
          <w:p w14:paraId="7D790783" w14:textId="77777777" w:rsidR="00C96521" w:rsidRPr="006A313E" w:rsidRDefault="00C96521" w:rsidP="00C96521">
            <w:pPr>
              <w:widowControl/>
              <w:autoSpaceDE/>
              <w:autoSpaceDN/>
              <w:adjustRightInd/>
              <w:rPr>
                <w:rFonts w:ascii="Arial" w:hAnsi="Arial" w:cs="Arial"/>
                <w:sz w:val="18"/>
                <w:szCs w:val="18"/>
                <w:lang w:val="en-GB"/>
              </w:rPr>
            </w:pPr>
          </w:p>
          <w:p w14:paraId="27221B8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 in north-western Europe.</w:t>
            </w:r>
          </w:p>
        </w:tc>
        <w:tc>
          <w:tcPr>
            <w:tcW w:w="1880" w:type="dxa"/>
          </w:tcPr>
          <w:p w14:paraId="6288173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Essential</w:t>
            </w:r>
          </w:p>
        </w:tc>
        <w:tc>
          <w:tcPr>
            <w:tcW w:w="1315" w:type="dxa"/>
          </w:tcPr>
          <w:p w14:paraId="19F0544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33DE0ED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w:t>
            </w:r>
            <w:r w:rsidRPr="006A313E">
              <w:rPr>
                <w:rFonts w:ascii="Arial" w:hAnsi="Arial" w:cs="Arial"/>
                <w:sz w:val="18"/>
                <w:szCs w:val="18"/>
                <w:lang w:val="en-GB"/>
              </w:rPr>
              <w:lastRenderedPageBreak/>
              <w:t>institutions, national farming agencies, national wildlife agencies</w:t>
            </w:r>
          </w:p>
          <w:p w14:paraId="68EB5EC3" w14:textId="77777777" w:rsidR="00C96521" w:rsidRPr="006A313E" w:rsidRDefault="00C96521" w:rsidP="00C96521">
            <w:pPr>
              <w:widowControl/>
              <w:autoSpaceDE/>
              <w:autoSpaceDN/>
              <w:adjustRightInd/>
              <w:rPr>
                <w:rFonts w:ascii="Arial" w:hAnsi="Arial" w:cs="Arial"/>
                <w:sz w:val="18"/>
                <w:szCs w:val="18"/>
                <w:lang w:val="en-GB"/>
              </w:rPr>
            </w:pPr>
          </w:p>
          <w:p w14:paraId="289F3BD4"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7FC6F77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Action 1.2.2</w:t>
            </w:r>
          </w:p>
        </w:tc>
      </w:tr>
      <w:tr w:rsidR="00C96521" w:rsidRPr="006A313E" w14:paraId="0144BAA2" w14:textId="77777777" w:rsidTr="00C96521">
        <w:tc>
          <w:tcPr>
            <w:tcW w:w="2607" w:type="dxa"/>
            <w:vMerge/>
          </w:tcPr>
          <w:p w14:paraId="6F806F96"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2D45CC1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1.3.2</w:t>
            </w:r>
          </w:p>
          <w:p w14:paraId="69B49A33" w14:textId="5AE73196"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 xml:space="preserve">urtle </w:t>
            </w:r>
            <w:r w:rsidR="00FC6C34" w:rsidRPr="006A313E">
              <w:rPr>
                <w:rFonts w:ascii="Arial" w:hAnsi="Arial" w:cs="Arial"/>
                <w:sz w:val="18"/>
                <w:szCs w:val="18"/>
                <w:lang w:val="en-GB"/>
              </w:rPr>
              <w:t>D</w:t>
            </w:r>
            <w:r w:rsidRPr="006A313E">
              <w:rPr>
                <w:rFonts w:ascii="Arial" w:hAnsi="Arial" w:cs="Arial"/>
                <w:sz w:val="18"/>
                <w:szCs w:val="18"/>
                <w:lang w:val="en-GB"/>
              </w:rPr>
              <w:t xml:space="preserve">oves (as part of national spatial conservation strategies for turtle-dove) by </w:t>
            </w:r>
            <w:r w:rsidRPr="006A313E">
              <w:rPr>
                <w:rFonts w:ascii="Arial" w:hAnsi="Arial" w:cs="Arial"/>
                <w:sz w:val="18"/>
                <w:szCs w:val="18"/>
                <w:u w:val="single"/>
                <w:lang w:val="en-GB"/>
              </w:rPr>
              <w:t>managing stubbles</w:t>
            </w:r>
            <w:r w:rsidRPr="006A313E">
              <w:rPr>
                <w:rFonts w:ascii="Arial" w:hAnsi="Arial" w:cs="Arial"/>
                <w:sz w:val="18"/>
                <w:szCs w:val="18"/>
                <w:lang w:val="en-GB"/>
              </w:rPr>
              <w:t>.</w:t>
            </w:r>
          </w:p>
          <w:p w14:paraId="508C87AB" w14:textId="77777777" w:rsidR="00C96521" w:rsidRPr="006A313E" w:rsidRDefault="00C96521" w:rsidP="00C96521">
            <w:pPr>
              <w:widowControl/>
              <w:autoSpaceDE/>
              <w:autoSpaceDN/>
              <w:adjustRightInd/>
              <w:rPr>
                <w:rFonts w:ascii="Arial" w:hAnsi="Arial" w:cs="Arial"/>
                <w:sz w:val="18"/>
                <w:szCs w:val="18"/>
                <w:lang w:val="en-GB"/>
              </w:rPr>
            </w:pPr>
          </w:p>
          <w:p w14:paraId="3A3D8F9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no burning or ploughing between [</w:t>
            </w:r>
            <w:r w:rsidRPr="006A313E">
              <w:rPr>
                <w:rFonts w:ascii="Arial" w:hAnsi="Arial" w:cs="Arial"/>
                <w:i/>
                <w:sz w:val="18"/>
                <w:szCs w:val="18"/>
                <w:lang w:val="en-GB"/>
              </w:rPr>
              <w:t>month</w:t>
            </w:r>
            <w:r w:rsidRPr="006A313E">
              <w:rPr>
                <w:rFonts w:ascii="Arial" w:hAnsi="Arial" w:cs="Arial"/>
                <w:sz w:val="18"/>
                <w:szCs w:val="18"/>
                <w:lang w:val="en-GB"/>
              </w:rPr>
              <w:t>] and [</w:t>
            </w:r>
            <w:r w:rsidRPr="006A313E">
              <w:rPr>
                <w:rFonts w:ascii="Arial" w:hAnsi="Arial" w:cs="Arial"/>
                <w:i/>
                <w:sz w:val="18"/>
                <w:szCs w:val="18"/>
                <w:lang w:val="en-GB"/>
              </w:rPr>
              <w:t>month</w:t>
            </w:r>
            <w:r w:rsidRPr="006A313E">
              <w:rPr>
                <w:rFonts w:ascii="Arial" w:hAnsi="Arial" w:cs="Arial"/>
                <w:sz w:val="18"/>
                <w:szCs w:val="18"/>
                <w:lang w:val="en-GB"/>
              </w:rPr>
              <w:t>].</w:t>
            </w:r>
          </w:p>
          <w:p w14:paraId="66BAD0AC" w14:textId="77777777" w:rsidR="00C96521" w:rsidRPr="006A313E" w:rsidRDefault="00C96521" w:rsidP="00C96521">
            <w:pPr>
              <w:widowControl/>
              <w:autoSpaceDE/>
              <w:autoSpaceDN/>
              <w:adjustRightInd/>
              <w:rPr>
                <w:rFonts w:ascii="Arial" w:hAnsi="Arial" w:cs="Arial"/>
                <w:sz w:val="18"/>
                <w:szCs w:val="18"/>
                <w:lang w:val="en-GB"/>
              </w:rPr>
            </w:pPr>
          </w:p>
          <w:p w14:paraId="27E44C8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 in north-western Europe.</w:t>
            </w:r>
          </w:p>
        </w:tc>
        <w:tc>
          <w:tcPr>
            <w:tcW w:w="1880" w:type="dxa"/>
          </w:tcPr>
          <w:p w14:paraId="7C57813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44044BE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73E1D18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39305A13"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0EFC548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3C554407" w14:textId="77777777" w:rsidTr="00C96521">
        <w:tc>
          <w:tcPr>
            <w:tcW w:w="2607" w:type="dxa"/>
            <w:vMerge/>
          </w:tcPr>
          <w:p w14:paraId="44B893AC"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7805F78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1.3.3</w:t>
            </w:r>
          </w:p>
          <w:p w14:paraId="17F55394" w14:textId="4C3928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 xml:space="preserve">urtle </w:t>
            </w:r>
            <w:r w:rsidR="00FC6C34" w:rsidRPr="006A313E">
              <w:rPr>
                <w:rFonts w:ascii="Arial" w:hAnsi="Arial" w:cs="Arial"/>
                <w:sz w:val="18"/>
                <w:szCs w:val="18"/>
                <w:lang w:val="en-GB"/>
              </w:rPr>
              <w:t>D</w:t>
            </w:r>
            <w:r w:rsidRPr="006A313E">
              <w:rPr>
                <w:rFonts w:ascii="Arial" w:hAnsi="Arial" w:cs="Arial"/>
                <w:sz w:val="18"/>
                <w:szCs w:val="18"/>
                <w:lang w:val="en-GB"/>
              </w:rPr>
              <w:t xml:space="preserve">oves (as part of national spatial conservation strategies for turtle-dove) by </w:t>
            </w:r>
            <w:r w:rsidRPr="006A313E">
              <w:rPr>
                <w:rFonts w:ascii="Arial" w:hAnsi="Arial" w:cs="Arial"/>
                <w:sz w:val="18"/>
                <w:szCs w:val="18"/>
                <w:u w:val="single"/>
                <w:lang w:val="en-GB"/>
              </w:rPr>
              <w:t>introducing/retaining</w:t>
            </w:r>
            <w:r w:rsidRPr="006A313E">
              <w:rPr>
                <w:rFonts w:ascii="Arial" w:hAnsi="Arial" w:cs="Arial"/>
                <w:sz w:val="18"/>
                <w:szCs w:val="18"/>
                <w:lang w:val="en-GB"/>
              </w:rPr>
              <w:t xml:space="preserve"> </w:t>
            </w:r>
            <w:r w:rsidRPr="006A313E">
              <w:rPr>
                <w:rFonts w:ascii="Arial" w:hAnsi="Arial" w:cs="Arial"/>
                <w:sz w:val="18"/>
                <w:szCs w:val="18"/>
                <w:u w:val="single"/>
                <w:lang w:val="en-GB"/>
              </w:rPr>
              <w:t>late season cutting and low-input traditional species-rich meadows</w:t>
            </w:r>
            <w:r w:rsidRPr="006A313E">
              <w:rPr>
                <w:rFonts w:ascii="Arial" w:hAnsi="Arial" w:cs="Arial"/>
                <w:sz w:val="18"/>
                <w:szCs w:val="18"/>
                <w:lang w:val="en-GB"/>
              </w:rPr>
              <w:t>.</w:t>
            </w:r>
          </w:p>
          <w:p w14:paraId="39941953" w14:textId="77777777" w:rsidR="00C96521" w:rsidRPr="006A313E" w:rsidRDefault="00C96521" w:rsidP="00C96521">
            <w:pPr>
              <w:widowControl/>
              <w:autoSpaceDE/>
              <w:autoSpaceDN/>
              <w:adjustRightInd/>
              <w:rPr>
                <w:rFonts w:ascii="Arial" w:hAnsi="Arial" w:cs="Arial"/>
                <w:sz w:val="18"/>
                <w:szCs w:val="18"/>
                <w:lang w:val="en-GB"/>
              </w:rPr>
            </w:pPr>
          </w:p>
          <w:p w14:paraId="019C66B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of [</w:t>
            </w:r>
            <w:r w:rsidRPr="006A313E">
              <w:rPr>
                <w:rFonts w:ascii="Arial" w:hAnsi="Arial" w:cs="Arial"/>
                <w:i/>
                <w:sz w:val="18"/>
                <w:szCs w:val="18"/>
                <w:lang w:val="en-GB"/>
              </w:rPr>
              <w:t>x</w:t>
            </w:r>
            <w:r w:rsidRPr="006A313E">
              <w:rPr>
                <w:rFonts w:ascii="Arial" w:hAnsi="Arial" w:cs="Arial"/>
                <w:sz w:val="18"/>
                <w:szCs w:val="18"/>
                <w:lang w:val="en-GB"/>
              </w:rPr>
              <w:t>] hectares of late-season cutting per 10,000 hectares of agricultural landscape.  No loss of existing low-input traditional species-rich meadows.</w:t>
            </w:r>
          </w:p>
          <w:p w14:paraId="681D1A9F" w14:textId="77777777" w:rsidR="00C96521" w:rsidRPr="006A313E" w:rsidRDefault="00C96521" w:rsidP="00C96521">
            <w:pPr>
              <w:widowControl/>
              <w:autoSpaceDE/>
              <w:autoSpaceDN/>
              <w:adjustRightInd/>
              <w:rPr>
                <w:rFonts w:ascii="Arial" w:hAnsi="Arial" w:cs="Arial"/>
                <w:sz w:val="18"/>
                <w:szCs w:val="18"/>
                <w:lang w:val="en-GB"/>
              </w:rPr>
            </w:pPr>
          </w:p>
          <w:p w14:paraId="3F93430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 with specific reference to Range States in the Baltic and south-eastern Europe.</w:t>
            </w:r>
          </w:p>
        </w:tc>
        <w:tc>
          <w:tcPr>
            <w:tcW w:w="1880" w:type="dxa"/>
          </w:tcPr>
          <w:p w14:paraId="0F7FD6E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3664814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48C0A2C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2131EDFC"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1383A4C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6E585A38" w14:textId="77777777" w:rsidTr="00C96521">
        <w:tc>
          <w:tcPr>
            <w:tcW w:w="2607" w:type="dxa"/>
            <w:vMerge/>
          </w:tcPr>
          <w:p w14:paraId="2E1FA34D"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0EC883E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1.3.4</w:t>
            </w:r>
          </w:p>
          <w:p w14:paraId="3D7856CF" w14:textId="7EBA8663"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w:t>
            </w:r>
            <w:r w:rsidRPr="006A313E">
              <w:rPr>
                <w:rFonts w:ascii="Arial" w:hAnsi="Arial" w:cs="Arial"/>
                <w:sz w:val="18"/>
                <w:szCs w:val="18"/>
                <w:lang w:val="en-GB"/>
              </w:rPr>
              <w:lastRenderedPageBreak/>
              <w:t xml:space="preserve">turtle-dove) by </w:t>
            </w:r>
            <w:r w:rsidRPr="006A313E">
              <w:rPr>
                <w:rFonts w:ascii="Arial" w:hAnsi="Arial" w:cs="Arial"/>
                <w:sz w:val="18"/>
                <w:szCs w:val="18"/>
                <w:u w:val="single"/>
                <w:lang w:val="en-GB"/>
              </w:rPr>
              <w:t>protection of margins through traditional farming</w:t>
            </w:r>
            <w:r w:rsidRPr="006A313E">
              <w:rPr>
                <w:rFonts w:ascii="Arial" w:hAnsi="Arial" w:cs="Arial"/>
                <w:sz w:val="18"/>
                <w:szCs w:val="18"/>
                <w:lang w:val="en-GB"/>
              </w:rPr>
              <w:t>.</w:t>
            </w:r>
          </w:p>
          <w:p w14:paraId="4CA717A5" w14:textId="77777777" w:rsidR="00C96521" w:rsidRPr="006A313E" w:rsidRDefault="00C96521" w:rsidP="00C96521">
            <w:pPr>
              <w:widowControl/>
              <w:autoSpaceDE/>
              <w:autoSpaceDN/>
              <w:adjustRightInd/>
              <w:rPr>
                <w:rFonts w:ascii="Arial" w:hAnsi="Arial" w:cs="Arial"/>
                <w:sz w:val="18"/>
                <w:szCs w:val="18"/>
                <w:lang w:val="en-GB"/>
              </w:rPr>
            </w:pPr>
          </w:p>
          <w:p w14:paraId="4142E39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metres around field edges left unploughed and suitable for grazing.</w:t>
            </w:r>
          </w:p>
          <w:p w14:paraId="3E22F399" w14:textId="77777777" w:rsidR="00C96521" w:rsidRPr="006A313E" w:rsidRDefault="00C96521" w:rsidP="00C96521">
            <w:pPr>
              <w:widowControl/>
              <w:autoSpaceDE/>
              <w:autoSpaceDN/>
              <w:adjustRightInd/>
              <w:rPr>
                <w:rFonts w:ascii="Arial" w:hAnsi="Arial" w:cs="Arial"/>
                <w:sz w:val="18"/>
                <w:szCs w:val="18"/>
                <w:lang w:val="en-GB"/>
              </w:rPr>
            </w:pPr>
          </w:p>
          <w:p w14:paraId="5DE80E3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 with specific reference to Range States in the Baltic and south-eastern Europe.</w:t>
            </w:r>
          </w:p>
        </w:tc>
        <w:tc>
          <w:tcPr>
            <w:tcW w:w="1880" w:type="dxa"/>
          </w:tcPr>
          <w:p w14:paraId="2A75774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Essential</w:t>
            </w:r>
          </w:p>
        </w:tc>
        <w:tc>
          <w:tcPr>
            <w:tcW w:w="1315" w:type="dxa"/>
          </w:tcPr>
          <w:p w14:paraId="776E5DF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6018F31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w:t>
            </w:r>
            <w:r w:rsidRPr="006A313E">
              <w:rPr>
                <w:rFonts w:ascii="Arial" w:hAnsi="Arial" w:cs="Arial"/>
                <w:sz w:val="18"/>
                <w:szCs w:val="18"/>
                <w:lang w:val="en-GB"/>
              </w:rPr>
              <w:lastRenderedPageBreak/>
              <w:t>farming agencies, national wildlife agencies</w:t>
            </w:r>
          </w:p>
          <w:p w14:paraId="383302D7"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1800B62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Action 1.2.2</w:t>
            </w:r>
          </w:p>
        </w:tc>
      </w:tr>
      <w:tr w:rsidR="00C96521" w:rsidRPr="006A313E" w14:paraId="77C173AA" w14:textId="77777777" w:rsidTr="00C96521">
        <w:tc>
          <w:tcPr>
            <w:tcW w:w="2607" w:type="dxa"/>
            <w:vMerge/>
          </w:tcPr>
          <w:p w14:paraId="4E89F9B3"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1E3D1C7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1.3.5</w:t>
            </w:r>
          </w:p>
          <w:p w14:paraId="297A1CA2" w14:textId="43E1CC30"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 xml:space="preserve">urtle </w:t>
            </w:r>
            <w:r w:rsidR="00FC6C34" w:rsidRPr="006A313E">
              <w:rPr>
                <w:rFonts w:ascii="Arial" w:hAnsi="Arial" w:cs="Arial"/>
                <w:sz w:val="18"/>
                <w:szCs w:val="18"/>
                <w:lang w:val="en-GB"/>
              </w:rPr>
              <w:t>D</w:t>
            </w:r>
            <w:r w:rsidRPr="006A313E">
              <w:rPr>
                <w:rFonts w:ascii="Arial" w:hAnsi="Arial" w:cs="Arial"/>
                <w:sz w:val="18"/>
                <w:szCs w:val="18"/>
                <w:lang w:val="en-GB"/>
              </w:rPr>
              <w:t xml:space="preserve">oves (as part of national spatial conservation strategies for turtle-dove) in </w:t>
            </w:r>
            <w:r w:rsidRPr="006A313E">
              <w:rPr>
                <w:rFonts w:ascii="Arial" w:hAnsi="Arial" w:cs="Arial"/>
                <w:sz w:val="18"/>
                <w:szCs w:val="18"/>
                <w:u w:val="single"/>
                <w:lang w:val="en-GB"/>
              </w:rPr>
              <w:t>deciduous forest, woodland and woodland edge habitats</w:t>
            </w:r>
            <w:r w:rsidRPr="006A313E">
              <w:rPr>
                <w:rFonts w:ascii="Arial" w:hAnsi="Arial" w:cs="Arial"/>
                <w:sz w:val="18"/>
                <w:szCs w:val="18"/>
                <w:lang w:val="en-GB"/>
              </w:rPr>
              <w:t>.</w:t>
            </w:r>
          </w:p>
          <w:p w14:paraId="4CA9420D" w14:textId="77777777" w:rsidR="00C96521" w:rsidRPr="006A313E" w:rsidRDefault="00C96521" w:rsidP="00C96521">
            <w:pPr>
              <w:widowControl/>
              <w:autoSpaceDE/>
              <w:autoSpaceDN/>
              <w:adjustRightInd/>
              <w:rPr>
                <w:rFonts w:ascii="Arial" w:hAnsi="Arial" w:cs="Arial"/>
                <w:sz w:val="18"/>
                <w:szCs w:val="18"/>
                <w:lang w:val="en-GB"/>
              </w:rPr>
            </w:pPr>
          </w:p>
          <w:p w14:paraId="1457C65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of open or herbaceous understory.</w:t>
            </w:r>
          </w:p>
          <w:p w14:paraId="0660B460" w14:textId="77777777" w:rsidR="00C96521" w:rsidRPr="006A313E" w:rsidRDefault="00C96521" w:rsidP="00C96521">
            <w:pPr>
              <w:widowControl/>
              <w:autoSpaceDE/>
              <w:autoSpaceDN/>
              <w:adjustRightInd/>
              <w:rPr>
                <w:rFonts w:ascii="Arial" w:hAnsi="Arial" w:cs="Arial"/>
                <w:sz w:val="18"/>
                <w:szCs w:val="18"/>
                <w:lang w:val="en-GB"/>
              </w:rPr>
            </w:pPr>
          </w:p>
          <w:p w14:paraId="46F4864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880" w:type="dxa"/>
          </w:tcPr>
          <w:p w14:paraId="2DCFABC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12FED42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551DBF9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714C2BD8"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123AE07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4FAB7F2A" w14:textId="77777777" w:rsidTr="00C96521">
        <w:tc>
          <w:tcPr>
            <w:tcW w:w="2607" w:type="dxa"/>
            <w:vMerge/>
          </w:tcPr>
          <w:p w14:paraId="537F436F"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544ACAC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1.3.6</w:t>
            </w:r>
          </w:p>
          <w:p w14:paraId="5451D26A" w14:textId="6DD0534D"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turtle-dove) in </w:t>
            </w:r>
            <w:r w:rsidRPr="006A313E">
              <w:rPr>
                <w:rFonts w:ascii="Arial" w:hAnsi="Arial" w:cs="Arial"/>
                <w:sz w:val="18"/>
                <w:szCs w:val="18"/>
                <w:u w:val="single"/>
                <w:lang w:val="en-GB"/>
              </w:rPr>
              <w:t>coniferous forest, woodland and woodland edge habitats</w:t>
            </w:r>
            <w:r w:rsidRPr="006A313E">
              <w:rPr>
                <w:rFonts w:ascii="Arial" w:hAnsi="Arial" w:cs="Arial"/>
                <w:sz w:val="18"/>
                <w:szCs w:val="18"/>
                <w:lang w:val="en-GB"/>
              </w:rPr>
              <w:t>.</w:t>
            </w:r>
          </w:p>
          <w:p w14:paraId="62020718" w14:textId="77777777" w:rsidR="00C96521" w:rsidRPr="006A313E" w:rsidRDefault="00C96521" w:rsidP="00C96521">
            <w:pPr>
              <w:widowControl/>
              <w:autoSpaceDE/>
              <w:autoSpaceDN/>
              <w:adjustRightInd/>
              <w:rPr>
                <w:rFonts w:ascii="Arial" w:hAnsi="Arial" w:cs="Arial"/>
                <w:sz w:val="18"/>
                <w:szCs w:val="18"/>
                <w:lang w:val="en-GB"/>
              </w:rPr>
            </w:pPr>
          </w:p>
          <w:p w14:paraId="02D714B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of open or herbaceous understory.</w:t>
            </w:r>
          </w:p>
          <w:p w14:paraId="104260AA" w14:textId="77777777" w:rsidR="00C96521" w:rsidRPr="006A313E" w:rsidRDefault="00C96521" w:rsidP="00C96521">
            <w:pPr>
              <w:widowControl/>
              <w:autoSpaceDE/>
              <w:autoSpaceDN/>
              <w:adjustRightInd/>
              <w:rPr>
                <w:rFonts w:ascii="Arial" w:hAnsi="Arial" w:cs="Arial"/>
                <w:sz w:val="18"/>
                <w:szCs w:val="18"/>
                <w:lang w:val="en-GB"/>
              </w:rPr>
            </w:pPr>
          </w:p>
          <w:p w14:paraId="5D83055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880" w:type="dxa"/>
          </w:tcPr>
          <w:p w14:paraId="0671CD0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56D446C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28AB74E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54B11930"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29201AA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2832AB21" w14:textId="77777777" w:rsidTr="00C96521">
        <w:tc>
          <w:tcPr>
            <w:tcW w:w="2607" w:type="dxa"/>
            <w:vMerge/>
          </w:tcPr>
          <w:p w14:paraId="013A49D3"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342ED5C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1.3.7</w:t>
            </w:r>
          </w:p>
          <w:p w14:paraId="03CC20FE" w14:textId="50ED7ADC"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 in </w:t>
            </w:r>
            <w:r w:rsidRPr="006A313E">
              <w:rPr>
                <w:rFonts w:ascii="Arial" w:hAnsi="Arial" w:cs="Arial"/>
                <w:sz w:val="18"/>
                <w:szCs w:val="18"/>
                <w:u w:val="single"/>
                <w:lang w:val="en-GB"/>
              </w:rPr>
              <w:t>mixed forest, woodland and woodland edge habitats</w:t>
            </w:r>
            <w:r w:rsidRPr="006A313E">
              <w:rPr>
                <w:rFonts w:ascii="Arial" w:hAnsi="Arial" w:cs="Arial"/>
                <w:sz w:val="18"/>
                <w:szCs w:val="18"/>
                <w:lang w:val="en-GB"/>
              </w:rPr>
              <w:t>.</w:t>
            </w:r>
          </w:p>
          <w:p w14:paraId="491A6C41" w14:textId="77777777" w:rsidR="00C96521" w:rsidRPr="006A313E" w:rsidRDefault="00C96521" w:rsidP="00C96521">
            <w:pPr>
              <w:widowControl/>
              <w:autoSpaceDE/>
              <w:autoSpaceDN/>
              <w:adjustRightInd/>
              <w:rPr>
                <w:rFonts w:ascii="Arial" w:hAnsi="Arial" w:cs="Arial"/>
                <w:sz w:val="18"/>
                <w:szCs w:val="18"/>
                <w:lang w:val="en-GB"/>
              </w:rPr>
            </w:pPr>
          </w:p>
          <w:p w14:paraId="15B7CFB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of open or herbaceous understory.</w:t>
            </w:r>
          </w:p>
          <w:p w14:paraId="47A9912D" w14:textId="77777777" w:rsidR="00C96521" w:rsidRPr="006A313E" w:rsidRDefault="00C96521" w:rsidP="00C96521">
            <w:pPr>
              <w:widowControl/>
              <w:autoSpaceDE/>
              <w:autoSpaceDN/>
              <w:adjustRightInd/>
              <w:rPr>
                <w:rFonts w:ascii="Arial" w:hAnsi="Arial" w:cs="Arial"/>
                <w:sz w:val="18"/>
                <w:szCs w:val="18"/>
                <w:lang w:val="en-GB"/>
              </w:rPr>
            </w:pPr>
          </w:p>
          <w:p w14:paraId="4F334D6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880" w:type="dxa"/>
          </w:tcPr>
          <w:p w14:paraId="7E2E45E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Essential</w:t>
            </w:r>
          </w:p>
        </w:tc>
        <w:tc>
          <w:tcPr>
            <w:tcW w:w="1315" w:type="dxa"/>
          </w:tcPr>
          <w:p w14:paraId="503BCF8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21958BE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0125855A"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17796C0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66FEDC70" w14:textId="77777777" w:rsidTr="00C96521">
        <w:tc>
          <w:tcPr>
            <w:tcW w:w="2607" w:type="dxa"/>
            <w:vMerge w:val="restart"/>
          </w:tcPr>
          <w:p w14:paraId="3ADBDAC1"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1F64046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1.3.8</w:t>
            </w:r>
          </w:p>
          <w:p w14:paraId="5B0AB7BE" w14:textId="72DA6B95"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turtle-dove) in </w:t>
            </w:r>
            <w:r w:rsidRPr="006A313E">
              <w:rPr>
                <w:rFonts w:ascii="Arial" w:hAnsi="Arial" w:cs="Arial"/>
                <w:sz w:val="18"/>
                <w:szCs w:val="18"/>
                <w:u w:val="single"/>
                <w:lang w:val="en-GB"/>
              </w:rPr>
              <w:t>forest plantations</w:t>
            </w:r>
            <w:r w:rsidRPr="006A313E">
              <w:rPr>
                <w:rFonts w:ascii="Arial" w:hAnsi="Arial" w:cs="Arial"/>
                <w:sz w:val="18"/>
                <w:szCs w:val="18"/>
                <w:lang w:val="en-GB"/>
              </w:rPr>
              <w:t>.</w:t>
            </w:r>
          </w:p>
          <w:p w14:paraId="4537CE50" w14:textId="77777777" w:rsidR="00C96521" w:rsidRPr="006A313E" w:rsidRDefault="00C96521" w:rsidP="00C96521">
            <w:pPr>
              <w:widowControl/>
              <w:autoSpaceDE/>
              <w:autoSpaceDN/>
              <w:adjustRightInd/>
              <w:rPr>
                <w:rFonts w:ascii="Arial" w:hAnsi="Arial" w:cs="Arial"/>
                <w:sz w:val="18"/>
                <w:szCs w:val="18"/>
                <w:lang w:val="en-GB"/>
              </w:rPr>
            </w:pPr>
          </w:p>
          <w:p w14:paraId="08F2A82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of open or herbaceous understory.</w:t>
            </w:r>
          </w:p>
          <w:p w14:paraId="602AD3BC" w14:textId="77777777" w:rsidR="00C96521" w:rsidRPr="006A313E" w:rsidRDefault="00C96521" w:rsidP="00C96521">
            <w:pPr>
              <w:widowControl/>
              <w:autoSpaceDE/>
              <w:autoSpaceDN/>
              <w:adjustRightInd/>
              <w:rPr>
                <w:rFonts w:ascii="Arial" w:hAnsi="Arial" w:cs="Arial"/>
                <w:sz w:val="18"/>
                <w:szCs w:val="18"/>
                <w:lang w:val="en-GB"/>
              </w:rPr>
            </w:pPr>
          </w:p>
          <w:p w14:paraId="6609CA2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941" w:type="dxa"/>
            <w:gridSpan w:val="2"/>
          </w:tcPr>
          <w:p w14:paraId="209C575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28CF680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37D733C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55E95113" w14:textId="77777777" w:rsidR="00C96521" w:rsidRPr="006A313E" w:rsidRDefault="00C96521" w:rsidP="00C96521">
            <w:pPr>
              <w:widowControl/>
              <w:autoSpaceDE/>
              <w:autoSpaceDN/>
              <w:adjustRightInd/>
              <w:rPr>
                <w:rFonts w:ascii="Arial" w:hAnsi="Arial" w:cs="Arial"/>
                <w:b/>
                <w:sz w:val="18"/>
                <w:szCs w:val="18"/>
                <w:lang w:val="en-GB"/>
              </w:rPr>
            </w:pPr>
          </w:p>
        </w:tc>
        <w:tc>
          <w:tcPr>
            <w:tcW w:w="2077" w:type="dxa"/>
          </w:tcPr>
          <w:p w14:paraId="72D8173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0830E018" w14:textId="77777777" w:rsidTr="00C96521">
        <w:tc>
          <w:tcPr>
            <w:tcW w:w="2607" w:type="dxa"/>
            <w:vMerge/>
          </w:tcPr>
          <w:p w14:paraId="5A5B9784"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06D0933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1.3.9</w:t>
            </w:r>
          </w:p>
          <w:p w14:paraId="0AABC2C1" w14:textId="1B5CB158" w:rsidR="00C96521" w:rsidRPr="006A313E" w:rsidRDefault="00C96521" w:rsidP="00C96521">
            <w:pPr>
              <w:widowControl/>
              <w:autoSpaceDE/>
              <w:autoSpaceDN/>
              <w:adjustRightInd/>
              <w:rPr>
                <w:rFonts w:ascii="Arial" w:hAnsi="Arial" w:cs="Arial"/>
                <w:sz w:val="18"/>
                <w:szCs w:val="18"/>
                <w:u w:val="single"/>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turtle-dove) in </w:t>
            </w:r>
            <w:r w:rsidRPr="006A313E">
              <w:rPr>
                <w:rFonts w:ascii="Arial" w:hAnsi="Arial" w:cs="Arial"/>
                <w:sz w:val="18"/>
                <w:szCs w:val="18"/>
                <w:u w:val="single"/>
                <w:lang w:val="en-GB"/>
              </w:rPr>
              <w:t>orchard habitats, including olive groves.</w:t>
            </w:r>
          </w:p>
          <w:p w14:paraId="7A5B1491" w14:textId="77777777" w:rsidR="00C96521" w:rsidRPr="006A313E" w:rsidRDefault="00C96521" w:rsidP="00C96521">
            <w:pPr>
              <w:widowControl/>
              <w:autoSpaceDE/>
              <w:autoSpaceDN/>
              <w:adjustRightInd/>
              <w:rPr>
                <w:rFonts w:ascii="Arial" w:hAnsi="Arial" w:cs="Arial"/>
                <w:sz w:val="18"/>
                <w:szCs w:val="18"/>
                <w:lang w:val="en-GB"/>
              </w:rPr>
            </w:pPr>
          </w:p>
          <w:p w14:paraId="1330F03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of open or herbaceous understory.</w:t>
            </w:r>
          </w:p>
          <w:p w14:paraId="577B68D5" w14:textId="77777777" w:rsidR="00C96521" w:rsidRPr="006A313E" w:rsidRDefault="00C96521" w:rsidP="00C96521">
            <w:pPr>
              <w:widowControl/>
              <w:autoSpaceDE/>
              <w:autoSpaceDN/>
              <w:adjustRightInd/>
              <w:rPr>
                <w:rFonts w:ascii="Arial" w:hAnsi="Arial" w:cs="Arial"/>
                <w:sz w:val="18"/>
                <w:szCs w:val="18"/>
                <w:lang w:val="en-GB"/>
              </w:rPr>
            </w:pPr>
          </w:p>
          <w:p w14:paraId="347195D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 with particular focus on Range States in the Mediterranean region</w:t>
            </w:r>
          </w:p>
        </w:tc>
        <w:tc>
          <w:tcPr>
            <w:tcW w:w="1941" w:type="dxa"/>
            <w:gridSpan w:val="2"/>
          </w:tcPr>
          <w:p w14:paraId="048E002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56A8574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1328C504"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tc>
        <w:tc>
          <w:tcPr>
            <w:tcW w:w="2077" w:type="dxa"/>
          </w:tcPr>
          <w:p w14:paraId="1E1AE0D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1F65A07F" w14:textId="77777777" w:rsidTr="00C96521">
        <w:tc>
          <w:tcPr>
            <w:tcW w:w="2607" w:type="dxa"/>
            <w:vMerge/>
          </w:tcPr>
          <w:p w14:paraId="5611A47A"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7DDFB92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1.3.10</w:t>
            </w:r>
          </w:p>
          <w:p w14:paraId="0ACF0F66" w14:textId="1F27D80B"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turtle-dove) to </w:t>
            </w:r>
            <w:r w:rsidRPr="006A313E">
              <w:rPr>
                <w:rFonts w:ascii="Arial" w:hAnsi="Arial" w:cs="Arial"/>
                <w:sz w:val="18"/>
                <w:szCs w:val="18"/>
                <w:u w:val="single"/>
                <w:lang w:val="en-GB"/>
              </w:rPr>
              <w:t>maintain/restore woody linear habitats</w:t>
            </w:r>
            <w:r w:rsidRPr="006A313E">
              <w:rPr>
                <w:rFonts w:ascii="Arial" w:hAnsi="Arial" w:cs="Arial"/>
                <w:sz w:val="18"/>
                <w:szCs w:val="18"/>
                <w:lang w:val="en-GB"/>
              </w:rPr>
              <w:t>.</w:t>
            </w:r>
          </w:p>
          <w:p w14:paraId="448E63D7" w14:textId="77777777" w:rsidR="00C96521" w:rsidRPr="006A313E" w:rsidRDefault="00C96521" w:rsidP="00C96521">
            <w:pPr>
              <w:widowControl/>
              <w:autoSpaceDE/>
              <w:autoSpaceDN/>
              <w:adjustRightInd/>
              <w:rPr>
                <w:rFonts w:ascii="Arial" w:hAnsi="Arial" w:cs="Arial"/>
                <w:sz w:val="18"/>
                <w:szCs w:val="18"/>
                <w:lang w:val="en-GB"/>
              </w:rPr>
            </w:pPr>
          </w:p>
          <w:p w14:paraId="25991A4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hectares of tree lines, arboreal hedgerows or riparian galleries, as appropriate, per 10,000 hectares of agricultural landscape.</w:t>
            </w:r>
          </w:p>
          <w:p w14:paraId="7D90FFB5" w14:textId="77777777" w:rsidR="00C96521" w:rsidRPr="006A313E" w:rsidRDefault="00C96521" w:rsidP="00C96521">
            <w:pPr>
              <w:widowControl/>
              <w:autoSpaceDE/>
              <w:autoSpaceDN/>
              <w:adjustRightInd/>
              <w:rPr>
                <w:rFonts w:ascii="Arial" w:hAnsi="Arial" w:cs="Arial"/>
                <w:sz w:val="18"/>
                <w:szCs w:val="18"/>
                <w:lang w:val="en-GB"/>
              </w:rPr>
            </w:pPr>
          </w:p>
          <w:p w14:paraId="3EAEC9A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941" w:type="dxa"/>
            <w:gridSpan w:val="2"/>
          </w:tcPr>
          <w:p w14:paraId="5279D72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2740508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695D546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tc>
        <w:tc>
          <w:tcPr>
            <w:tcW w:w="2077" w:type="dxa"/>
          </w:tcPr>
          <w:p w14:paraId="3C7CEB8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4F098D60" w14:textId="77777777" w:rsidTr="00C96521">
        <w:tc>
          <w:tcPr>
            <w:tcW w:w="2607" w:type="dxa"/>
            <w:vMerge/>
          </w:tcPr>
          <w:p w14:paraId="18CAEFEC"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3C62E4A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1.3.11</w:t>
            </w:r>
          </w:p>
          <w:p w14:paraId="38EAFC84" w14:textId="597501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Lobby national governments, farming organisations and agricultural agencies to </w:t>
            </w:r>
            <w:r w:rsidRPr="006A313E">
              <w:rPr>
                <w:rFonts w:ascii="Arial" w:hAnsi="Arial" w:cs="Arial"/>
                <w:sz w:val="18"/>
                <w:szCs w:val="18"/>
                <w:lang w:val="en-GB"/>
              </w:rPr>
              <w:lastRenderedPageBreak/>
              <w:t xml:space="preserve">promote the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dove agri-environment packages.</w:t>
            </w:r>
          </w:p>
          <w:p w14:paraId="29E6149E" w14:textId="77777777" w:rsidR="00C96521" w:rsidRPr="006A313E" w:rsidRDefault="00C96521" w:rsidP="00C96521">
            <w:pPr>
              <w:widowControl/>
              <w:autoSpaceDE/>
              <w:autoSpaceDN/>
              <w:adjustRightInd/>
              <w:rPr>
                <w:rFonts w:ascii="Arial" w:hAnsi="Arial" w:cs="Arial"/>
                <w:sz w:val="18"/>
                <w:szCs w:val="18"/>
                <w:lang w:val="en-GB"/>
              </w:rPr>
            </w:pPr>
          </w:p>
          <w:p w14:paraId="7AB1C1D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941" w:type="dxa"/>
            <w:gridSpan w:val="2"/>
          </w:tcPr>
          <w:p w14:paraId="1067650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Essential</w:t>
            </w:r>
          </w:p>
        </w:tc>
        <w:tc>
          <w:tcPr>
            <w:tcW w:w="1315" w:type="dxa"/>
          </w:tcPr>
          <w:p w14:paraId="699A748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65749251"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CONSERVATION NGOs, FACE</w:t>
            </w:r>
          </w:p>
        </w:tc>
        <w:tc>
          <w:tcPr>
            <w:tcW w:w="2077" w:type="dxa"/>
          </w:tcPr>
          <w:p w14:paraId="441E074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1.3.1-1.3.10</w:t>
            </w:r>
          </w:p>
        </w:tc>
      </w:tr>
      <w:tr w:rsidR="00C96521" w:rsidRPr="006A313E" w14:paraId="569CA343" w14:textId="77777777" w:rsidTr="00C96521">
        <w:tc>
          <w:tcPr>
            <w:tcW w:w="2607" w:type="dxa"/>
            <w:vMerge w:val="restart"/>
          </w:tcPr>
          <w:p w14:paraId="3C81754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1.4 Turtle-dove breeding season requirements guidelines are available to key stakeholders by [</w:t>
            </w:r>
            <w:r w:rsidRPr="006A313E">
              <w:rPr>
                <w:rFonts w:ascii="Arial" w:hAnsi="Arial" w:cs="Arial"/>
                <w:i/>
                <w:sz w:val="18"/>
                <w:szCs w:val="18"/>
                <w:lang w:val="en-GB"/>
              </w:rPr>
              <w:t>2020</w:t>
            </w:r>
            <w:r w:rsidRPr="006A313E">
              <w:rPr>
                <w:rFonts w:ascii="Arial" w:hAnsi="Arial" w:cs="Arial"/>
                <w:sz w:val="18"/>
                <w:szCs w:val="18"/>
                <w:lang w:val="en-GB"/>
              </w:rPr>
              <w:t>], and incorporated into planning by [</w:t>
            </w:r>
            <w:r w:rsidRPr="006A313E">
              <w:rPr>
                <w:rFonts w:ascii="Arial" w:hAnsi="Arial" w:cs="Arial"/>
                <w:i/>
                <w:sz w:val="18"/>
                <w:szCs w:val="18"/>
                <w:lang w:val="en-GB"/>
              </w:rPr>
              <w:t>2025</w:t>
            </w:r>
            <w:r w:rsidRPr="006A313E">
              <w:rPr>
                <w:rFonts w:ascii="Arial" w:hAnsi="Arial" w:cs="Arial"/>
                <w:sz w:val="18"/>
                <w:szCs w:val="18"/>
                <w:lang w:val="en-GB"/>
              </w:rPr>
              <w:t>].</w:t>
            </w:r>
          </w:p>
        </w:tc>
        <w:tc>
          <w:tcPr>
            <w:tcW w:w="3880" w:type="dxa"/>
          </w:tcPr>
          <w:p w14:paraId="4D7C7FE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1.4.1</w:t>
            </w:r>
          </w:p>
          <w:p w14:paraId="3C44993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roll-out guidelines on suitable management of </w:t>
            </w:r>
            <w:r w:rsidRPr="006A313E">
              <w:rPr>
                <w:rFonts w:ascii="Arial" w:hAnsi="Arial" w:cs="Arial"/>
                <w:sz w:val="18"/>
                <w:szCs w:val="18"/>
                <w:u w:val="single"/>
                <w:lang w:val="en-GB"/>
              </w:rPr>
              <w:t>understory vegetation in Mediterranean zones</w:t>
            </w:r>
            <w:r w:rsidRPr="006A313E">
              <w:rPr>
                <w:rFonts w:ascii="Arial" w:hAnsi="Arial" w:cs="Arial"/>
                <w:sz w:val="18"/>
                <w:szCs w:val="18"/>
                <w:lang w:val="en-GB"/>
              </w:rPr>
              <w:t xml:space="preserve"> (Spain, Portugal and Greece) for turtle-doves. </w:t>
            </w:r>
          </w:p>
          <w:p w14:paraId="2EB69EF6" w14:textId="77777777" w:rsidR="00C96521" w:rsidRPr="006A313E" w:rsidRDefault="00C96521" w:rsidP="00C96521">
            <w:pPr>
              <w:widowControl/>
              <w:autoSpaceDE/>
              <w:autoSpaceDN/>
              <w:adjustRightInd/>
              <w:rPr>
                <w:rFonts w:ascii="Arial" w:hAnsi="Arial" w:cs="Arial"/>
                <w:sz w:val="18"/>
                <w:szCs w:val="18"/>
                <w:lang w:val="en-GB"/>
              </w:rPr>
            </w:pPr>
          </w:p>
          <w:p w14:paraId="2EFCFDE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forest and woodland managers; water/river managers; community and local authorities; national authorities; Protected Area managers (including Ecological Focus Areas and Natura 2000 sites); military land holding managers; hunting estates; quarry managers.</w:t>
            </w:r>
          </w:p>
        </w:tc>
        <w:tc>
          <w:tcPr>
            <w:tcW w:w="1941" w:type="dxa"/>
            <w:gridSpan w:val="2"/>
          </w:tcPr>
          <w:p w14:paraId="3AA4C1F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5DB2B63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2C0440E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farming agencies, national forestry agencies, national wildlife agencies</w:t>
            </w:r>
          </w:p>
          <w:p w14:paraId="3A39D1BA"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572FAC2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w:t>
            </w:r>
          </w:p>
          <w:p w14:paraId="5AED31D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589E93E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3AFE1862" w14:textId="77777777" w:rsidTr="00C96521">
        <w:tc>
          <w:tcPr>
            <w:tcW w:w="2607" w:type="dxa"/>
            <w:vMerge/>
          </w:tcPr>
          <w:p w14:paraId="523030D5"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1DCE400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1.4.2</w:t>
            </w:r>
          </w:p>
          <w:p w14:paraId="0C7A6465" w14:textId="5573C54B"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roll-out breeding season guidelines on suitable management of </w:t>
            </w:r>
            <w:r w:rsidRPr="006A313E">
              <w:rPr>
                <w:rFonts w:ascii="Arial" w:hAnsi="Arial" w:cs="Arial"/>
                <w:sz w:val="18"/>
                <w:szCs w:val="18"/>
                <w:u w:val="single"/>
                <w:lang w:val="en-GB"/>
              </w:rPr>
              <w:t>riparian forests</w:t>
            </w:r>
            <w:r w:rsidRPr="006A313E">
              <w:rPr>
                <w:rFonts w:ascii="Arial" w:hAnsi="Arial" w:cs="Arial"/>
                <w:sz w:val="18"/>
                <w:szCs w:val="18"/>
                <w:lang w:val="en-GB"/>
              </w:rPr>
              <w:t xml:space="preserve"> for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w:t>
            </w:r>
          </w:p>
          <w:p w14:paraId="4E6A3E19" w14:textId="77777777" w:rsidR="00C96521" w:rsidRPr="006A313E" w:rsidRDefault="00C96521" w:rsidP="00C96521">
            <w:pPr>
              <w:widowControl/>
              <w:autoSpaceDE/>
              <w:autoSpaceDN/>
              <w:adjustRightInd/>
              <w:rPr>
                <w:rFonts w:ascii="Arial" w:hAnsi="Arial" w:cs="Arial"/>
                <w:sz w:val="18"/>
                <w:szCs w:val="18"/>
                <w:lang w:val="en-GB"/>
              </w:rPr>
            </w:pPr>
          </w:p>
          <w:p w14:paraId="5CDD22E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forest and woodland managers; water/river managers; community and local authorities; national authorities; Protected Area managers (including Ecological Focus Areas and Natura 2000 sites); military land holding managers; hunting estates; quarry managers.</w:t>
            </w:r>
          </w:p>
        </w:tc>
        <w:tc>
          <w:tcPr>
            <w:tcW w:w="1941" w:type="dxa"/>
            <w:gridSpan w:val="2"/>
          </w:tcPr>
          <w:p w14:paraId="2A906E8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01EDFC6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21F7D0F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river agencies, national forestry agencies, national wildlife agencies</w:t>
            </w:r>
          </w:p>
          <w:p w14:paraId="3B1817EE"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265AD68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w:t>
            </w:r>
          </w:p>
          <w:p w14:paraId="05E50DC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3F4E542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3A0E632C" w14:textId="77777777" w:rsidTr="00C96521">
        <w:tc>
          <w:tcPr>
            <w:tcW w:w="2607" w:type="dxa"/>
            <w:vMerge/>
          </w:tcPr>
          <w:p w14:paraId="40FA2964"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5812A73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1.4.3</w:t>
            </w:r>
          </w:p>
          <w:p w14:paraId="5EA694B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roll-out breeding season guidelines for turtle-doves in </w:t>
            </w:r>
            <w:r w:rsidRPr="006A313E">
              <w:rPr>
                <w:rFonts w:ascii="Arial" w:hAnsi="Arial" w:cs="Arial"/>
                <w:sz w:val="18"/>
                <w:szCs w:val="18"/>
                <w:u w:val="single"/>
                <w:lang w:val="en-GB"/>
              </w:rPr>
              <w:t>Protected Areas</w:t>
            </w:r>
            <w:r w:rsidRPr="006A313E">
              <w:rPr>
                <w:rFonts w:ascii="Arial" w:hAnsi="Arial" w:cs="Arial"/>
                <w:sz w:val="18"/>
                <w:szCs w:val="18"/>
                <w:lang w:val="en-GB"/>
              </w:rPr>
              <w:t xml:space="preserve"> (including Ecological Focus Areas and Natura 2000 sites). </w:t>
            </w:r>
          </w:p>
          <w:p w14:paraId="37A339B8" w14:textId="77777777" w:rsidR="00C96521" w:rsidRPr="006A313E" w:rsidRDefault="00C96521" w:rsidP="00C96521">
            <w:pPr>
              <w:widowControl/>
              <w:autoSpaceDE/>
              <w:autoSpaceDN/>
              <w:adjustRightInd/>
              <w:rPr>
                <w:rFonts w:ascii="Arial" w:hAnsi="Arial" w:cs="Arial"/>
                <w:sz w:val="18"/>
                <w:szCs w:val="18"/>
                <w:lang w:val="en-GB"/>
              </w:rPr>
            </w:pPr>
          </w:p>
          <w:p w14:paraId="0BEA258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Protected Area managers (including Ecological Focus Areas and Natura 2000 sites).</w:t>
            </w:r>
          </w:p>
        </w:tc>
        <w:tc>
          <w:tcPr>
            <w:tcW w:w="1941" w:type="dxa"/>
            <w:gridSpan w:val="2"/>
          </w:tcPr>
          <w:p w14:paraId="30ADA1A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101F4AB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1B81965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Protected Area agencies, national wildlife agencies</w:t>
            </w:r>
          </w:p>
          <w:p w14:paraId="55721F63"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162AFC3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w:t>
            </w:r>
          </w:p>
          <w:p w14:paraId="0A1BCA3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672964D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27803D12" w14:textId="77777777" w:rsidTr="00C96521">
        <w:tc>
          <w:tcPr>
            <w:tcW w:w="2607" w:type="dxa"/>
            <w:vMerge/>
          </w:tcPr>
          <w:p w14:paraId="54FF6B5F"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65C6F3E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1.4.4</w:t>
            </w:r>
          </w:p>
          <w:p w14:paraId="1C88B1D4" w14:textId="52A8CEFF"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 xml:space="preserve">Develop and roll-out breeding season guidelines on suitable management for </w:t>
            </w:r>
            <w:r w:rsidR="008807BF" w:rsidRPr="006A313E">
              <w:rPr>
                <w:rFonts w:ascii="Arial" w:hAnsi="Arial" w:cs="Arial"/>
                <w:sz w:val="18"/>
                <w:szCs w:val="18"/>
                <w:lang w:val="en-GB"/>
              </w:rPr>
              <w:t>Turtle Dove</w:t>
            </w:r>
            <w:r w:rsidRPr="006A313E">
              <w:rPr>
                <w:rFonts w:ascii="Arial" w:hAnsi="Arial" w:cs="Arial"/>
                <w:sz w:val="18"/>
                <w:szCs w:val="18"/>
                <w:lang w:val="en-GB"/>
              </w:rPr>
              <w:t xml:space="preserve">s on </w:t>
            </w:r>
            <w:r w:rsidRPr="006A313E">
              <w:rPr>
                <w:rFonts w:ascii="Arial" w:hAnsi="Arial" w:cs="Arial"/>
                <w:sz w:val="18"/>
                <w:szCs w:val="18"/>
                <w:u w:val="single"/>
                <w:lang w:val="en-GB"/>
              </w:rPr>
              <w:t>military land</w:t>
            </w:r>
            <w:r w:rsidRPr="006A313E">
              <w:rPr>
                <w:rFonts w:ascii="Arial" w:hAnsi="Arial" w:cs="Arial"/>
                <w:sz w:val="18"/>
                <w:szCs w:val="18"/>
                <w:lang w:val="en-GB"/>
              </w:rPr>
              <w:t xml:space="preserve">. </w:t>
            </w:r>
          </w:p>
          <w:p w14:paraId="431AC69E" w14:textId="77777777" w:rsidR="00C96521" w:rsidRPr="006A313E" w:rsidRDefault="00C96521" w:rsidP="00C96521">
            <w:pPr>
              <w:widowControl/>
              <w:autoSpaceDE/>
              <w:autoSpaceDN/>
              <w:adjustRightInd/>
              <w:rPr>
                <w:rFonts w:ascii="Arial" w:hAnsi="Arial" w:cs="Arial"/>
                <w:sz w:val="18"/>
                <w:szCs w:val="18"/>
                <w:lang w:val="en-GB"/>
              </w:rPr>
            </w:pPr>
          </w:p>
          <w:p w14:paraId="7542628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military land holding managers.</w:t>
            </w:r>
          </w:p>
        </w:tc>
        <w:tc>
          <w:tcPr>
            <w:tcW w:w="1941" w:type="dxa"/>
            <w:gridSpan w:val="2"/>
          </w:tcPr>
          <w:p w14:paraId="0EC9D72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High</w:t>
            </w:r>
          </w:p>
        </w:tc>
        <w:tc>
          <w:tcPr>
            <w:tcW w:w="1315" w:type="dxa"/>
          </w:tcPr>
          <w:p w14:paraId="70503A1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50D1DB1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 xml:space="preserve">CONSERVATION NGOs, FACE, ACADEMIC </w:t>
            </w:r>
            <w:r w:rsidRPr="006A313E">
              <w:rPr>
                <w:rFonts w:ascii="Arial" w:hAnsi="Arial" w:cs="Arial"/>
                <w:b/>
                <w:sz w:val="18"/>
                <w:szCs w:val="18"/>
                <w:lang w:val="en-GB"/>
              </w:rPr>
              <w:lastRenderedPageBreak/>
              <w:t>INSTITUTIONS,</w:t>
            </w:r>
            <w:r w:rsidRPr="006A313E">
              <w:rPr>
                <w:rFonts w:ascii="Arial" w:hAnsi="Arial" w:cs="Arial"/>
                <w:sz w:val="18"/>
                <w:szCs w:val="18"/>
                <w:lang w:val="en-GB"/>
              </w:rPr>
              <w:t xml:space="preserve"> national wildlife agencies, military</w:t>
            </w:r>
          </w:p>
          <w:p w14:paraId="1DCF3E67"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3299B39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 xml:space="preserve">Existing studies on diet, habitat </w:t>
            </w:r>
            <w:r w:rsidRPr="006A313E">
              <w:rPr>
                <w:rFonts w:ascii="Arial" w:hAnsi="Arial" w:cs="Arial"/>
                <w:sz w:val="18"/>
                <w:szCs w:val="18"/>
                <w:lang w:val="en-GB"/>
              </w:rPr>
              <w:lastRenderedPageBreak/>
              <w:t>requirements, and ecology.</w:t>
            </w:r>
          </w:p>
          <w:p w14:paraId="4D8C385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175B600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446AAF74" w14:textId="77777777" w:rsidTr="00C96521">
        <w:tc>
          <w:tcPr>
            <w:tcW w:w="2607" w:type="dxa"/>
            <w:vMerge/>
          </w:tcPr>
          <w:p w14:paraId="7DB3A26B"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6F6ADCA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1.4.5</w:t>
            </w:r>
          </w:p>
          <w:p w14:paraId="719EECC5" w14:textId="2C13DFC1"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roll-out breeding season guidelines for </w:t>
            </w:r>
            <w:r w:rsidR="00DC6B90" w:rsidRPr="006A313E">
              <w:rPr>
                <w:rFonts w:ascii="Arial" w:hAnsi="Arial" w:cs="Arial"/>
                <w:sz w:val="18"/>
                <w:szCs w:val="18"/>
                <w:lang w:val="en-GB"/>
              </w:rPr>
              <w:t>T</w:t>
            </w:r>
            <w:r w:rsidRPr="006A313E">
              <w:rPr>
                <w:rFonts w:ascii="Arial" w:hAnsi="Arial" w:cs="Arial"/>
                <w:sz w:val="18"/>
                <w:szCs w:val="18"/>
                <w:lang w:val="en-GB"/>
              </w:rPr>
              <w:t>urtle</w:t>
            </w:r>
            <w:r w:rsidR="00DC6B90" w:rsidRPr="006A313E">
              <w:rPr>
                <w:rFonts w:ascii="Arial" w:hAnsi="Arial" w:cs="Arial"/>
                <w:sz w:val="18"/>
                <w:szCs w:val="18"/>
                <w:lang w:val="en-GB"/>
              </w:rPr>
              <w:t xml:space="preserve"> D</w:t>
            </w:r>
            <w:r w:rsidRPr="006A313E">
              <w:rPr>
                <w:rFonts w:ascii="Arial" w:hAnsi="Arial" w:cs="Arial"/>
                <w:sz w:val="18"/>
                <w:szCs w:val="18"/>
                <w:lang w:val="en-GB"/>
              </w:rPr>
              <w:t xml:space="preserve">oves on </w:t>
            </w:r>
            <w:r w:rsidRPr="006A313E">
              <w:rPr>
                <w:rFonts w:ascii="Arial" w:hAnsi="Arial" w:cs="Arial"/>
                <w:sz w:val="18"/>
                <w:szCs w:val="18"/>
                <w:u w:val="single"/>
                <w:lang w:val="en-GB"/>
              </w:rPr>
              <w:t>hunting estates</w:t>
            </w:r>
            <w:r w:rsidRPr="006A313E">
              <w:rPr>
                <w:rFonts w:ascii="Arial" w:hAnsi="Arial" w:cs="Arial"/>
                <w:sz w:val="18"/>
                <w:szCs w:val="18"/>
                <w:lang w:val="en-GB"/>
              </w:rPr>
              <w:t xml:space="preserve">. </w:t>
            </w:r>
          </w:p>
          <w:p w14:paraId="78EE2B23" w14:textId="77777777" w:rsidR="00C96521" w:rsidRPr="006A313E" w:rsidRDefault="00C96521" w:rsidP="00C96521">
            <w:pPr>
              <w:widowControl/>
              <w:autoSpaceDE/>
              <w:autoSpaceDN/>
              <w:adjustRightInd/>
              <w:rPr>
                <w:rFonts w:ascii="Arial" w:hAnsi="Arial" w:cs="Arial"/>
                <w:sz w:val="18"/>
                <w:szCs w:val="18"/>
                <w:lang w:val="en-GB"/>
              </w:rPr>
            </w:pPr>
          </w:p>
          <w:p w14:paraId="63F9DB5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hunting estates.</w:t>
            </w:r>
          </w:p>
        </w:tc>
        <w:tc>
          <w:tcPr>
            <w:tcW w:w="1941" w:type="dxa"/>
            <w:gridSpan w:val="2"/>
          </w:tcPr>
          <w:p w14:paraId="0361968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51D818F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6A42EC2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FACE, CONSERVATION NGOs, ACADEMIC INSTITUTIONS,</w:t>
            </w:r>
            <w:r w:rsidRPr="006A313E">
              <w:rPr>
                <w:rFonts w:ascii="Arial" w:hAnsi="Arial" w:cs="Arial"/>
                <w:sz w:val="18"/>
                <w:szCs w:val="18"/>
                <w:lang w:val="en-GB"/>
              </w:rPr>
              <w:t xml:space="preserve"> national hunting agencies, national wildlife agencies</w:t>
            </w:r>
          </w:p>
        </w:tc>
        <w:tc>
          <w:tcPr>
            <w:tcW w:w="2077" w:type="dxa"/>
          </w:tcPr>
          <w:p w14:paraId="246BBE3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w:t>
            </w:r>
          </w:p>
          <w:p w14:paraId="546CF01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724461D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5676882B" w14:textId="77777777" w:rsidTr="00C96521">
        <w:tc>
          <w:tcPr>
            <w:tcW w:w="2607" w:type="dxa"/>
            <w:vMerge/>
          </w:tcPr>
          <w:p w14:paraId="4BD9C517"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7C6AD5E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1.4.6</w:t>
            </w:r>
          </w:p>
          <w:p w14:paraId="299DC562" w14:textId="6E125163"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roll-out breeding season guidelines for </w:t>
            </w:r>
            <w:r w:rsidR="00DC6B90" w:rsidRPr="006A313E">
              <w:rPr>
                <w:rFonts w:ascii="Arial" w:hAnsi="Arial" w:cs="Arial"/>
                <w:sz w:val="18"/>
                <w:szCs w:val="18"/>
                <w:lang w:val="en-GB"/>
              </w:rPr>
              <w:t>T</w:t>
            </w:r>
            <w:r w:rsidRPr="006A313E">
              <w:rPr>
                <w:rFonts w:ascii="Arial" w:hAnsi="Arial" w:cs="Arial"/>
                <w:sz w:val="18"/>
                <w:szCs w:val="18"/>
                <w:lang w:val="en-GB"/>
              </w:rPr>
              <w:t>urtle</w:t>
            </w:r>
            <w:r w:rsidR="00DC6B90" w:rsidRPr="006A313E">
              <w:rPr>
                <w:rFonts w:ascii="Arial" w:hAnsi="Arial" w:cs="Arial"/>
                <w:sz w:val="18"/>
                <w:szCs w:val="18"/>
                <w:lang w:val="en-GB"/>
              </w:rPr>
              <w:t xml:space="preserve"> D</w:t>
            </w:r>
            <w:r w:rsidRPr="006A313E">
              <w:rPr>
                <w:rFonts w:ascii="Arial" w:hAnsi="Arial" w:cs="Arial"/>
                <w:sz w:val="18"/>
                <w:szCs w:val="18"/>
                <w:lang w:val="en-GB"/>
              </w:rPr>
              <w:t xml:space="preserve">oves in </w:t>
            </w:r>
            <w:r w:rsidRPr="006A313E">
              <w:rPr>
                <w:rFonts w:ascii="Arial" w:hAnsi="Arial" w:cs="Arial"/>
                <w:sz w:val="18"/>
                <w:szCs w:val="18"/>
                <w:u w:val="single"/>
                <w:lang w:val="en-GB"/>
              </w:rPr>
              <w:t>quarries</w:t>
            </w:r>
            <w:r w:rsidRPr="006A313E">
              <w:rPr>
                <w:rFonts w:ascii="Arial" w:hAnsi="Arial" w:cs="Arial"/>
                <w:sz w:val="18"/>
                <w:szCs w:val="18"/>
                <w:lang w:val="en-GB"/>
              </w:rPr>
              <w:t xml:space="preserve">. </w:t>
            </w:r>
          </w:p>
          <w:p w14:paraId="24AA03D0" w14:textId="77777777" w:rsidR="00C96521" w:rsidRPr="006A313E" w:rsidRDefault="00C96521" w:rsidP="00C96521">
            <w:pPr>
              <w:widowControl/>
              <w:autoSpaceDE/>
              <w:autoSpaceDN/>
              <w:adjustRightInd/>
              <w:rPr>
                <w:rFonts w:ascii="Arial" w:hAnsi="Arial" w:cs="Arial"/>
                <w:sz w:val="18"/>
                <w:szCs w:val="18"/>
                <w:lang w:val="en-GB"/>
              </w:rPr>
            </w:pPr>
          </w:p>
          <w:p w14:paraId="296119C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quarry managers.</w:t>
            </w:r>
          </w:p>
        </w:tc>
        <w:tc>
          <w:tcPr>
            <w:tcW w:w="1941" w:type="dxa"/>
            <w:gridSpan w:val="2"/>
          </w:tcPr>
          <w:p w14:paraId="0D26D19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25446A9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4CB94A8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wildlife agencies, aggregate/quarry industry</w:t>
            </w:r>
          </w:p>
          <w:p w14:paraId="7B6C7DDF"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0C25BEA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w:t>
            </w:r>
          </w:p>
          <w:p w14:paraId="1F0F38F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2609866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3EDADF10" w14:textId="77777777" w:rsidTr="00C96521">
        <w:tc>
          <w:tcPr>
            <w:tcW w:w="2607" w:type="dxa"/>
            <w:vMerge/>
          </w:tcPr>
          <w:p w14:paraId="1C52B689"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2C31623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1.4.7</w:t>
            </w:r>
          </w:p>
          <w:p w14:paraId="7D928809" w14:textId="772FAEA8"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Reassess existing Key Biodiversity Areas (KBAs) for </w:t>
            </w:r>
            <w:r w:rsidR="00DC6B90" w:rsidRPr="006A313E">
              <w:rPr>
                <w:rFonts w:ascii="Arial" w:hAnsi="Arial" w:cs="Arial"/>
                <w:sz w:val="18"/>
                <w:szCs w:val="18"/>
                <w:lang w:val="en-GB"/>
              </w:rPr>
              <w:t>T</w:t>
            </w:r>
            <w:r w:rsidRPr="006A313E">
              <w:rPr>
                <w:rFonts w:ascii="Arial" w:hAnsi="Arial" w:cs="Arial"/>
                <w:sz w:val="18"/>
                <w:szCs w:val="18"/>
                <w:lang w:val="en-GB"/>
              </w:rPr>
              <w:t>urtle</w:t>
            </w:r>
            <w:r w:rsidR="00DC6B90" w:rsidRPr="006A313E">
              <w:rPr>
                <w:rFonts w:ascii="Arial" w:hAnsi="Arial" w:cs="Arial"/>
                <w:sz w:val="18"/>
                <w:szCs w:val="18"/>
                <w:lang w:val="en-GB"/>
              </w:rPr>
              <w:t xml:space="preserve"> D</w:t>
            </w:r>
            <w:r w:rsidRPr="006A313E">
              <w:rPr>
                <w:rFonts w:ascii="Arial" w:hAnsi="Arial" w:cs="Arial"/>
                <w:sz w:val="18"/>
                <w:szCs w:val="18"/>
                <w:lang w:val="en-GB"/>
              </w:rPr>
              <w:t>ove, and ensure that turtle-dove is listed as a management requirement.</w:t>
            </w:r>
          </w:p>
          <w:p w14:paraId="7979C537" w14:textId="77777777" w:rsidR="00C96521" w:rsidRPr="006A313E" w:rsidRDefault="00C96521" w:rsidP="00C96521">
            <w:pPr>
              <w:widowControl/>
              <w:autoSpaceDE/>
              <w:autoSpaceDN/>
              <w:adjustRightInd/>
              <w:rPr>
                <w:rFonts w:ascii="Arial" w:hAnsi="Arial" w:cs="Arial"/>
                <w:sz w:val="18"/>
                <w:szCs w:val="18"/>
                <w:lang w:val="en-GB"/>
              </w:rPr>
            </w:pPr>
          </w:p>
          <w:p w14:paraId="4F8FCA3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941" w:type="dxa"/>
            <w:gridSpan w:val="2"/>
          </w:tcPr>
          <w:p w14:paraId="5A4E585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0AA07ED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4A2FBC0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wildlife agencies</w:t>
            </w:r>
          </w:p>
        </w:tc>
        <w:tc>
          <w:tcPr>
            <w:tcW w:w="2077" w:type="dxa"/>
          </w:tcPr>
          <w:p w14:paraId="244D26EC" w14:textId="7A314802"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KBA inventories, national </w:t>
            </w:r>
            <w:r w:rsidR="00DC6B90" w:rsidRPr="006A313E">
              <w:rPr>
                <w:rFonts w:ascii="Arial" w:hAnsi="Arial" w:cs="Arial"/>
                <w:sz w:val="18"/>
                <w:szCs w:val="18"/>
                <w:lang w:val="en-GB"/>
              </w:rPr>
              <w:t xml:space="preserve">Turtle Dove </w:t>
            </w:r>
            <w:r w:rsidRPr="006A313E">
              <w:rPr>
                <w:rFonts w:ascii="Arial" w:hAnsi="Arial" w:cs="Arial"/>
                <w:sz w:val="18"/>
                <w:szCs w:val="18"/>
                <w:lang w:val="en-GB"/>
              </w:rPr>
              <w:t>data</w:t>
            </w:r>
          </w:p>
        </w:tc>
      </w:tr>
      <w:tr w:rsidR="00C96521" w:rsidRPr="006A313E" w14:paraId="6E51C319" w14:textId="77777777" w:rsidTr="00C96521">
        <w:tc>
          <w:tcPr>
            <w:tcW w:w="2607" w:type="dxa"/>
            <w:vMerge/>
          </w:tcPr>
          <w:p w14:paraId="6DAC2C8C"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0135D87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1.4.8</w:t>
            </w:r>
          </w:p>
          <w:p w14:paraId="09BF2754" w14:textId="1539369F"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Reassess existing Special Protection Areas (SPAs) for </w:t>
            </w:r>
            <w:r w:rsidR="00DC6B90" w:rsidRPr="006A313E">
              <w:rPr>
                <w:rFonts w:ascii="Arial" w:hAnsi="Arial" w:cs="Arial"/>
                <w:sz w:val="18"/>
                <w:szCs w:val="18"/>
                <w:lang w:val="en-GB"/>
              </w:rPr>
              <w:t>Turtle Dove</w:t>
            </w:r>
            <w:r w:rsidRPr="006A313E">
              <w:rPr>
                <w:rFonts w:ascii="Arial" w:hAnsi="Arial" w:cs="Arial"/>
                <w:sz w:val="18"/>
                <w:szCs w:val="18"/>
                <w:lang w:val="en-GB"/>
              </w:rPr>
              <w:t xml:space="preserve">, and ensure that </w:t>
            </w:r>
            <w:r w:rsidR="00DC6B90" w:rsidRPr="006A313E">
              <w:rPr>
                <w:rFonts w:ascii="Arial" w:hAnsi="Arial" w:cs="Arial"/>
                <w:sz w:val="18"/>
                <w:szCs w:val="18"/>
                <w:lang w:val="en-GB"/>
              </w:rPr>
              <w:t xml:space="preserve">Turtle Dove </w:t>
            </w:r>
            <w:r w:rsidRPr="006A313E">
              <w:rPr>
                <w:rFonts w:ascii="Arial" w:hAnsi="Arial" w:cs="Arial"/>
                <w:sz w:val="18"/>
                <w:szCs w:val="18"/>
                <w:lang w:val="en-GB"/>
              </w:rPr>
              <w:t>is listed as a management requirement.</w:t>
            </w:r>
          </w:p>
          <w:p w14:paraId="055474EC" w14:textId="77777777" w:rsidR="00C96521" w:rsidRPr="006A313E" w:rsidRDefault="00C96521" w:rsidP="00C96521">
            <w:pPr>
              <w:widowControl/>
              <w:autoSpaceDE/>
              <w:autoSpaceDN/>
              <w:adjustRightInd/>
              <w:rPr>
                <w:rFonts w:ascii="Arial" w:hAnsi="Arial" w:cs="Arial"/>
                <w:sz w:val="18"/>
                <w:szCs w:val="18"/>
                <w:lang w:val="en-GB"/>
              </w:rPr>
            </w:pPr>
          </w:p>
          <w:p w14:paraId="1416319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EU Range States.</w:t>
            </w:r>
          </w:p>
        </w:tc>
        <w:tc>
          <w:tcPr>
            <w:tcW w:w="1941" w:type="dxa"/>
            <w:gridSpan w:val="2"/>
          </w:tcPr>
          <w:p w14:paraId="3278C09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High </w:t>
            </w:r>
          </w:p>
        </w:tc>
        <w:tc>
          <w:tcPr>
            <w:tcW w:w="1315" w:type="dxa"/>
          </w:tcPr>
          <w:p w14:paraId="5D80229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17BB43D3"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WILDLIFE AGENCIES</w:t>
            </w:r>
            <w:r w:rsidRPr="006A313E">
              <w:rPr>
                <w:rFonts w:ascii="Arial" w:hAnsi="Arial" w:cs="Arial"/>
                <w:sz w:val="18"/>
                <w:szCs w:val="18"/>
                <w:lang w:val="en-GB"/>
              </w:rPr>
              <w:t>, conservation NGOs, academic institutions</w:t>
            </w:r>
          </w:p>
        </w:tc>
        <w:tc>
          <w:tcPr>
            <w:tcW w:w="2077" w:type="dxa"/>
          </w:tcPr>
          <w:p w14:paraId="0625AC5B" w14:textId="7518A4F1"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KBA inventories, national </w:t>
            </w:r>
            <w:r w:rsidR="00DC6B90" w:rsidRPr="006A313E">
              <w:rPr>
                <w:rFonts w:ascii="Arial" w:hAnsi="Arial" w:cs="Arial"/>
                <w:sz w:val="18"/>
                <w:szCs w:val="18"/>
                <w:lang w:val="en-GB"/>
              </w:rPr>
              <w:t xml:space="preserve">Turtle Dove </w:t>
            </w:r>
            <w:r w:rsidRPr="006A313E">
              <w:rPr>
                <w:rFonts w:ascii="Arial" w:hAnsi="Arial" w:cs="Arial"/>
                <w:sz w:val="18"/>
                <w:szCs w:val="18"/>
                <w:lang w:val="en-GB"/>
              </w:rPr>
              <w:t>data</w:t>
            </w:r>
          </w:p>
        </w:tc>
      </w:tr>
      <w:tr w:rsidR="00C96521" w:rsidRPr="006A313E" w14:paraId="6C630C5D" w14:textId="77777777" w:rsidTr="00C96521">
        <w:tc>
          <w:tcPr>
            <w:tcW w:w="2607" w:type="dxa"/>
            <w:vMerge/>
          </w:tcPr>
          <w:p w14:paraId="51B67E15"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610FC9F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1.4.9</w:t>
            </w:r>
          </w:p>
          <w:p w14:paraId="35C3D682" w14:textId="0971000B"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Promote at the national level the inclusion of </w:t>
            </w:r>
            <w:r w:rsidR="00DC6B90" w:rsidRPr="006A313E">
              <w:rPr>
                <w:rFonts w:ascii="Arial" w:hAnsi="Arial" w:cs="Arial"/>
                <w:sz w:val="18"/>
                <w:szCs w:val="18"/>
                <w:lang w:val="en-GB"/>
              </w:rPr>
              <w:t xml:space="preserve">Turtle Dove </w:t>
            </w:r>
            <w:r w:rsidRPr="006A313E">
              <w:rPr>
                <w:rFonts w:ascii="Arial" w:hAnsi="Arial" w:cs="Arial"/>
                <w:sz w:val="18"/>
                <w:szCs w:val="18"/>
                <w:lang w:val="en-GB"/>
              </w:rPr>
              <w:t>requirements into Site Management Plans.</w:t>
            </w:r>
          </w:p>
          <w:p w14:paraId="35090189" w14:textId="77777777" w:rsidR="00C96521" w:rsidRPr="006A313E" w:rsidRDefault="00C96521" w:rsidP="00C96521">
            <w:pPr>
              <w:widowControl/>
              <w:autoSpaceDE/>
              <w:autoSpaceDN/>
              <w:adjustRightInd/>
              <w:rPr>
                <w:rFonts w:ascii="Arial" w:hAnsi="Arial" w:cs="Arial"/>
                <w:sz w:val="18"/>
                <w:szCs w:val="18"/>
                <w:lang w:val="en-GB"/>
              </w:rPr>
            </w:pPr>
          </w:p>
          <w:p w14:paraId="358CA31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all land managers.</w:t>
            </w:r>
          </w:p>
        </w:tc>
        <w:tc>
          <w:tcPr>
            <w:tcW w:w="1941" w:type="dxa"/>
            <w:gridSpan w:val="2"/>
          </w:tcPr>
          <w:p w14:paraId="6F5A47C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7581937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0703DA6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wildlife agencies, all land managers</w:t>
            </w:r>
          </w:p>
        </w:tc>
        <w:tc>
          <w:tcPr>
            <w:tcW w:w="2077" w:type="dxa"/>
          </w:tcPr>
          <w:p w14:paraId="39DDAF7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08A0C46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p w14:paraId="1A9BF71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1.4.7-1.4.8</w:t>
            </w:r>
          </w:p>
        </w:tc>
      </w:tr>
      <w:tr w:rsidR="00C96521" w:rsidRPr="006A313E" w14:paraId="34A6445D" w14:textId="77777777" w:rsidTr="00C96521">
        <w:tc>
          <w:tcPr>
            <w:tcW w:w="2607" w:type="dxa"/>
          </w:tcPr>
          <w:p w14:paraId="2EDE31E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1.5 [</w:t>
            </w:r>
            <w:r w:rsidRPr="006A313E">
              <w:rPr>
                <w:rFonts w:ascii="Arial" w:hAnsi="Arial" w:cs="Arial"/>
                <w:i/>
                <w:sz w:val="18"/>
                <w:szCs w:val="18"/>
                <w:lang w:val="en-GB"/>
              </w:rPr>
              <w:t>n</w:t>
            </w:r>
            <w:r w:rsidRPr="006A313E">
              <w:rPr>
                <w:rFonts w:ascii="Arial" w:hAnsi="Arial" w:cs="Arial"/>
                <w:sz w:val="18"/>
                <w:szCs w:val="18"/>
                <w:lang w:val="en-GB"/>
              </w:rPr>
              <w:t>] locally supported small-scale projects are promoted across the breeding range by [</w:t>
            </w:r>
            <w:r w:rsidRPr="006A313E">
              <w:rPr>
                <w:rFonts w:ascii="Arial" w:hAnsi="Arial" w:cs="Arial"/>
                <w:i/>
                <w:sz w:val="18"/>
                <w:szCs w:val="18"/>
                <w:lang w:val="en-GB"/>
              </w:rPr>
              <w:t>2020</w:t>
            </w:r>
            <w:r w:rsidRPr="006A313E">
              <w:rPr>
                <w:rFonts w:ascii="Arial" w:hAnsi="Arial" w:cs="Arial"/>
                <w:sz w:val="18"/>
                <w:szCs w:val="18"/>
                <w:lang w:val="en-GB"/>
              </w:rPr>
              <w:t>].</w:t>
            </w:r>
          </w:p>
        </w:tc>
        <w:tc>
          <w:tcPr>
            <w:tcW w:w="3880" w:type="dxa"/>
          </w:tcPr>
          <w:p w14:paraId="1D2DA7A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1.5.1</w:t>
            </w:r>
          </w:p>
          <w:p w14:paraId="7B85ED6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Best practice and case study examples of small-scale local projects are promoted across the breeding range.</w:t>
            </w:r>
          </w:p>
          <w:p w14:paraId="5BF2C2DE" w14:textId="77777777" w:rsidR="00C96521" w:rsidRPr="006A313E" w:rsidRDefault="00C96521" w:rsidP="00C96521">
            <w:pPr>
              <w:widowControl/>
              <w:autoSpaceDE/>
              <w:autoSpaceDN/>
              <w:adjustRightInd/>
              <w:rPr>
                <w:rFonts w:ascii="Arial" w:hAnsi="Arial" w:cs="Arial"/>
                <w:sz w:val="18"/>
                <w:szCs w:val="18"/>
                <w:lang w:val="en-GB"/>
              </w:rPr>
            </w:pPr>
          </w:p>
          <w:p w14:paraId="0B2AAF1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941" w:type="dxa"/>
            <w:gridSpan w:val="2"/>
          </w:tcPr>
          <w:p w14:paraId="7F8CDE0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Low</w:t>
            </w:r>
          </w:p>
        </w:tc>
        <w:tc>
          <w:tcPr>
            <w:tcW w:w="1315" w:type="dxa"/>
          </w:tcPr>
          <w:p w14:paraId="5A2E7AF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2355" w:type="dxa"/>
          </w:tcPr>
          <w:p w14:paraId="44317B5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p>
        </w:tc>
        <w:tc>
          <w:tcPr>
            <w:tcW w:w="2077" w:type="dxa"/>
          </w:tcPr>
          <w:p w14:paraId="3956090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1.4.1</w:t>
            </w:r>
          </w:p>
        </w:tc>
      </w:tr>
      <w:tr w:rsidR="00C96521" w:rsidRPr="006A313E" w14:paraId="46E9E910" w14:textId="77777777" w:rsidTr="00C96521">
        <w:tc>
          <w:tcPr>
            <w:tcW w:w="2607" w:type="dxa"/>
          </w:tcPr>
          <w:p w14:paraId="69997B4D" w14:textId="2B764A88"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1.6 Environmental Impact Assessments include a </w:t>
            </w:r>
            <w:r w:rsidR="008807BF" w:rsidRPr="006A313E">
              <w:rPr>
                <w:rFonts w:ascii="Arial" w:hAnsi="Arial" w:cs="Arial"/>
                <w:sz w:val="18"/>
                <w:szCs w:val="18"/>
                <w:lang w:val="en-GB"/>
              </w:rPr>
              <w:t>Turtle Dove</w:t>
            </w:r>
            <w:r w:rsidRPr="006A313E">
              <w:rPr>
                <w:rFonts w:ascii="Arial" w:hAnsi="Arial" w:cs="Arial"/>
                <w:sz w:val="18"/>
                <w:szCs w:val="18"/>
                <w:lang w:val="en-GB"/>
              </w:rPr>
              <w:t xml:space="preserve"> evaluation by [</w:t>
            </w:r>
            <w:r w:rsidRPr="006A313E">
              <w:rPr>
                <w:rFonts w:ascii="Arial" w:hAnsi="Arial" w:cs="Arial"/>
                <w:i/>
                <w:sz w:val="18"/>
                <w:szCs w:val="18"/>
                <w:lang w:val="en-GB"/>
              </w:rPr>
              <w:t>2020</w:t>
            </w:r>
            <w:r w:rsidRPr="006A313E">
              <w:rPr>
                <w:rFonts w:ascii="Arial" w:hAnsi="Arial" w:cs="Arial"/>
                <w:sz w:val="18"/>
                <w:szCs w:val="18"/>
                <w:lang w:val="en-GB"/>
              </w:rPr>
              <w:t>].</w:t>
            </w:r>
          </w:p>
        </w:tc>
        <w:tc>
          <w:tcPr>
            <w:tcW w:w="3880" w:type="dxa"/>
          </w:tcPr>
          <w:p w14:paraId="401C18C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1.6.1</w:t>
            </w:r>
          </w:p>
          <w:p w14:paraId="10F07CE4" w14:textId="28166112"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Influence legislation/guideline sat national level for inclusion of impact assessment on turtle-dove conservation in EIA processes (e</w:t>
            </w:r>
            <w:r w:rsidR="008807BF" w:rsidRPr="006A313E">
              <w:rPr>
                <w:rFonts w:ascii="Arial" w:hAnsi="Arial" w:cs="Arial"/>
                <w:sz w:val="18"/>
                <w:szCs w:val="18"/>
                <w:lang w:val="en-GB"/>
              </w:rPr>
              <w:t>.</w:t>
            </w:r>
            <w:r w:rsidRPr="006A313E">
              <w:rPr>
                <w:rFonts w:ascii="Arial" w:hAnsi="Arial" w:cs="Arial"/>
                <w:sz w:val="18"/>
                <w:szCs w:val="18"/>
                <w:lang w:val="en-GB"/>
              </w:rPr>
              <w:t>g</w:t>
            </w:r>
            <w:r w:rsidR="008807BF" w:rsidRPr="006A313E">
              <w:rPr>
                <w:rFonts w:ascii="Arial" w:hAnsi="Arial" w:cs="Arial"/>
                <w:sz w:val="18"/>
                <w:szCs w:val="18"/>
                <w:lang w:val="en-GB"/>
              </w:rPr>
              <w:t>.</w:t>
            </w:r>
            <w:r w:rsidRPr="006A313E">
              <w:rPr>
                <w:rFonts w:ascii="Arial" w:hAnsi="Arial" w:cs="Arial"/>
                <w:sz w:val="18"/>
                <w:szCs w:val="18"/>
                <w:lang w:val="en-GB"/>
              </w:rPr>
              <w:t xml:space="preserve"> for important roosts).</w:t>
            </w:r>
          </w:p>
          <w:p w14:paraId="74F3F970" w14:textId="77777777" w:rsidR="00C96521" w:rsidRPr="006A313E" w:rsidRDefault="00C96521" w:rsidP="00C96521">
            <w:pPr>
              <w:widowControl/>
              <w:autoSpaceDE/>
              <w:autoSpaceDN/>
              <w:adjustRightInd/>
              <w:rPr>
                <w:rFonts w:ascii="Arial" w:hAnsi="Arial" w:cs="Arial"/>
                <w:sz w:val="18"/>
                <w:szCs w:val="18"/>
                <w:lang w:val="en-GB"/>
              </w:rPr>
            </w:pPr>
          </w:p>
          <w:p w14:paraId="4EB529E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941" w:type="dxa"/>
            <w:gridSpan w:val="2"/>
          </w:tcPr>
          <w:p w14:paraId="1714A80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1315" w:type="dxa"/>
          </w:tcPr>
          <w:p w14:paraId="0E7F081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3A65EAEA"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wildlife agencies</w:t>
            </w:r>
          </w:p>
        </w:tc>
        <w:tc>
          <w:tcPr>
            <w:tcW w:w="2077" w:type="dxa"/>
          </w:tcPr>
          <w:p w14:paraId="72F1F250" w14:textId="77777777" w:rsidR="00C96521" w:rsidRPr="006A313E" w:rsidRDefault="00C96521" w:rsidP="00C96521">
            <w:pPr>
              <w:widowControl/>
              <w:autoSpaceDE/>
              <w:autoSpaceDN/>
              <w:adjustRightInd/>
              <w:rPr>
                <w:rFonts w:ascii="Arial" w:hAnsi="Arial" w:cs="Arial"/>
                <w:sz w:val="18"/>
                <w:szCs w:val="18"/>
                <w:lang w:val="en-GB"/>
              </w:rPr>
            </w:pPr>
          </w:p>
        </w:tc>
      </w:tr>
      <w:tr w:rsidR="00C96521" w:rsidRPr="006A313E" w14:paraId="3624D65A" w14:textId="77777777" w:rsidTr="00C96521">
        <w:tc>
          <w:tcPr>
            <w:tcW w:w="2607" w:type="dxa"/>
          </w:tcPr>
          <w:p w14:paraId="169EEA5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1.7 Compliance with EU stubble burning regulations by [</w:t>
            </w:r>
            <w:r w:rsidRPr="006A313E">
              <w:rPr>
                <w:rFonts w:ascii="Arial" w:hAnsi="Arial" w:cs="Arial"/>
                <w:i/>
                <w:sz w:val="18"/>
                <w:szCs w:val="18"/>
                <w:lang w:val="en-GB"/>
              </w:rPr>
              <w:t>2020</w:t>
            </w:r>
            <w:r w:rsidRPr="006A313E">
              <w:rPr>
                <w:rFonts w:ascii="Arial" w:hAnsi="Arial" w:cs="Arial"/>
                <w:sz w:val="18"/>
                <w:szCs w:val="18"/>
                <w:lang w:val="en-GB"/>
              </w:rPr>
              <w:t>].</w:t>
            </w:r>
          </w:p>
        </w:tc>
        <w:tc>
          <w:tcPr>
            <w:tcW w:w="3880" w:type="dxa"/>
          </w:tcPr>
          <w:p w14:paraId="6991228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1.7.1</w:t>
            </w:r>
          </w:p>
          <w:p w14:paraId="7FE5CEA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Governments enforce existing legislation on the burning of stubbles.</w:t>
            </w:r>
          </w:p>
          <w:p w14:paraId="2E36FA46" w14:textId="77777777" w:rsidR="00C96521" w:rsidRPr="006A313E" w:rsidRDefault="00C96521" w:rsidP="00C96521">
            <w:pPr>
              <w:widowControl/>
              <w:autoSpaceDE/>
              <w:autoSpaceDN/>
              <w:adjustRightInd/>
              <w:rPr>
                <w:rFonts w:ascii="Arial" w:hAnsi="Arial" w:cs="Arial"/>
                <w:sz w:val="18"/>
                <w:szCs w:val="18"/>
                <w:lang w:val="en-GB"/>
              </w:rPr>
            </w:pPr>
          </w:p>
          <w:p w14:paraId="0E2C1C1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EU Member States.</w:t>
            </w:r>
          </w:p>
        </w:tc>
        <w:tc>
          <w:tcPr>
            <w:tcW w:w="1941" w:type="dxa"/>
            <w:gridSpan w:val="2"/>
          </w:tcPr>
          <w:p w14:paraId="4D3E248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1315" w:type="dxa"/>
          </w:tcPr>
          <w:p w14:paraId="640B184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18AFCE4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national enforcement agencies</w:t>
            </w:r>
          </w:p>
        </w:tc>
        <w:tc>
          <w:tcPr>
            <w:tcW w:w="2077" w:type="dxa"/>
          </w:tcPr>
          <w:p w14:paraId="2B88B21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EU cross-compliance.</w:t>
            </w:r>
          </w:p>
        </w:tc>
      </w:tr>
      <w:tr w:rsidR="00C96521" w:rsidRPr="006A313E" w14:paraId="30A2BEBD" w14:textId="77777777" w:rsidTr="00C96521">
        <w:tc>
          <w:tcPr>
            <w:tcW w:w="2607" w:type="dxa"/>
          </w:tcPr>
          <w:p w14:paraId="3E4004CD" w14:textId="2913F676"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1.8 Chemical-free zones introduced in important </w:t>
            </w:r>
            <w:r w:rsidR="008807BF" w:rsidRPr="006A313E">
              <w:rPr>
                <w:rFonts w:ascii="Arial" w:hAnsi="Arial" w:cs="Arial"/>
                <w:sz w:val="18"/>
                <w:szCs w:val="18"/>
                <w:lang w:val="en-GB"/>
              </w:rPr>
              <w:t>Turtle Dove</w:t>
            </w:r>
            <w:r w:rsidRPr="006A313E">
              <w:rPr>
                <w:rFonts w:ascii="Arial" w:hAnsi="Arial" w:cs="Arial"/>
                <w:sz w:val="18"/>
                <w:szCs w:val="18"/>
                <w:lang w:val="en-GB"/>
              </w:rPr>
              <w:t xml:space="preserve"> areas by [</w:t>
            </w:r>
            <w:r w:rsidRPr="006A313E">
              <w:rPr>
                <w:rFonts w:ascii="Arial" w:hAnsi="Arial" w:cs="Arial"/>
                <w:i/>
                <w:sz w:val="18"/>
                <w:szCs w:val="18"/>
                <w:lang w:val="en-GB"/>
              </w:rPr>
              <w:t>2025</w:t>
            </w:r>
            <w:r w:rsidRPr="006A313E">
              <w:rPr>
                <w:rFonts w:ascii="Arial" w:hAnsi="Arial" w:cs="Arial"/>
                <w:sz w:val="18"/>
                <w:szCs w:val="18"/>
                <w:lang w:val="en-GB"/>
              </w:rPr>
              <w:t>].</w:t>
            </w:r>
          </w:p>
        </w:tc>
        <w:tc>
          <w:tcPr>
            <w:tcW w:w="3880" w:type="dxa"/>
          </w:tcPr>
          <w:p w14:paraId="3904F89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1.8.1</w:t>
            </w:r>
          </w:p>
          <w:p w14:paraId="0EC1F46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Chemical-free zones introduced in key turtle-dove breeding areas.</w:t>
            </w:r>
          </w:p>
          <w:p w14:paraId="41C9DFB2" w14:textId="77777777" w:rsidR="00C96521" w:rsidRPr="006A313E" w:rsidRDefault="00C96521" w:rsidP="00C96521">
            <w:pPr>
              <w:widowControl/>
              <w:autoSpaceDE/>
              <w:autoSpaceDN/>
              <w:adjustRightInd/>
              <w:rPr>
                <w:rFonts w:ascii="Arial" w:hAnsi="Arial" w:cs="Arial"/>
                <w:sz w:val="18"/>
                <w:szCs w:val="18"/>
                <w:lang w:val="en-GB"/>
              </w:rPr>
            </w:pPr>
          </w:p>
          <w:p w14:paraId="7897860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941" w:type="dxa"/>
            <w:gridSpan w:val="2"/>
          </w:tcPr>
          <w:p w14:paraId="67FEB17B" w14:textId="77777777" w:rsidR="00C96521" w:rsidRPr="006A313E" w:rsidDel="00AD2FBC"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1315" w:type="dxa"/>
          </w:tcPr>
          <w:p w14:paraId="30EBB931" w14:textId="77777777" w:rsidR="00C96521" w:rsidRPr="006A313E" w:rsidDel="00AD2FBC"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2355" w:type="dxa"/>
          </w:tcPr>
          <w:p w14:paraId="5E2C49CA"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GOVERNMENTS</w:t>
            </w:r>
          </w:p>
        </w:tc>
        <w:tc>
          <w:tcPr>
            <w:tcW w:w="2077" w:type="dxa"/>
          </w:tcPr>
          <w:p w14:paraId="6417C50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scientific literature on risk posed by pesticides</w:t>
            </w:r>
          </w:p>
          <w:p w14:paraId="7EEEF7B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7.11.1</w:t>
            </w:r>
          </w:p>
        </w:tc>
      </w:tr>
      <w:tr w:rsidR="00C96521" w:rsidRPr="006A313E" w14:paraId="4DFBFCEE" w14:textId="77777777" w:rsidTr="00C96521">
        <w:tc>
          <w:tcPr>
            <w:tcW w:w="2607" w:type="dxa"/>
          </w:tcPr>
          <w:p w14:paraId="6E7C319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1.9 Land-sharing promoted in important agricultural landscapes for turtle-dove by [</w:t>
            </w:r>
            <w:r w:rsidRPr="006A313E">
              <w:rPr>
                <w:rFonts w:ascii="Arial" w:hAnsi="Arial" w:cs="Arial"/>
                <w:i/>
                <w:sz w:val="18"/>
                <w:szCs w:val="18"/>
                <w:lang w:val="en-GB"/>
              </w:rPr>
              <w:t>2025</w:t>
            </w:r>
            <w:r w:rsidRPr="006A313E">
              <w:rPr>
                <w:rFonts w:ascii="Arial" w:hAnsi="Arial" w:cs="Arial"/>
                <w:sz w:val="18"/>
                <w:szCs w:val="18"/>
                <w:lang w:val="en-GB"/>
              </w:rPr>
              <w:t>]</w:t>
            </w:r>
          </w:p>
        </w:tc>
        <w:tc>
          <w:tcPr>
            <w:tcW w:w="3880" w:type="dxa"/>
          </w:tcPr>
          <w:p w14:paraId="2D87ABB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1.9.1</w:t>
            </w:r>
          </w:p>
          <w:p w14:paraId="48D3BCD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Land-sharing practices introduced to ensure nesting and feeding habitats in agricultural areas.</w:t>
            </w:r>
          </w:p>
          <w:p w14:paraId="7E003568" w14:textId="77777777" w:rsidR="00C96521" w:rsidRPr="006A313E" w:rsidRDefault="00C96521" w:rsidP="00C96521">
            <w:pPr>
              <w:widowControl/>
              <w:autoSpaceDE/>
              <w:autoSpaceDN/>
              <w:adjustRightInd/>
              <w:rPr>
                <w:rFonts w:ascii="Arial" w:hAnsi="Arial" w:cs="Arial"/>
                <w:sz w:val="18"/>
                <w:szCs w:val="18"/>
                <w:lang w:val="en-GB"/>
              </w:rPr>
            </w:pPr>
          </w:p>
          <w:p w14:paraId="690DC48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941" w:type="dxa"/>
            <w:gridSpan w:val="2"/>
          </w:tcPr>
          <w:p w14:paraId="503A331B" w14:textId="77777777" w:rsidR="00C96521" w:rsidRPr="006A313E" w:rsidDel="0099772C"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1315" w:type="dxa"/>
          </w:tcPr>
          <w:p w14:paraId="63C7838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Long</w:t>
            </w:r>
          </w:p>
        </w:tc>
        <w:tc>
          <w:tcPr>
            <w:tcW w:w="2355" w:type="dxa"/>
          </w:tcPr>
          <w:p w14:paraId="780CA687"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GOVERNMENTS</w:t>
            </w:r>
          </w:p>
        </w:tc>
        <w:tc>
          <w:tcPr>
            <w:tcW w:w="2077" w:type="dxa"/>
          </w:tcPr>
          <w:p w14:paraId="185D91D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scientific literature on land-sharing</w:t>
            </w:r>
          </w:p>
          <w:p w14:paraId="58B198D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7.4.1</w:t>
            </w:r>
          </w:p>
          <w:p w14:paraId="30412382" w14:textId="77777777" w:rsidR="00C96521" w:rsidRPr="006A313E" w:rsidRDefault="00C96521" w:rsidP="00C96521">
            <w:pPr>
              <w:widowControl/>
              <w:autoSpaceDE/>
              <w:autoSpaceDN/>
              <w:adjustRightInd/>
              <w:rPr>
                <w:rFonts w:ascii="Arial" w:hAnsi="Arial" w:cs="Arial"/>
                <w:sz w:val="18"/>
                <w:szCs w:val="18"/>
                <w:lang w:val="en-GB"/>
              </w:rPr>
            </w:pPr>
          </w:p>
        </w:tc>
      </w:tr>
    </w:tbl>
    <w:p w14:paraId="572313F8"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77C2054E"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278"/>
        <w:gridCol w:w="4411"/>
        <w:gridCol w:w="1262"/>
        <w:gridCol w:w="1229"/>
        <w:gridCol w:w="2620"/>
        <w:gridCol w:w="2375"/>
      </w:tblGrid>
      <w:tr w:rsidR="00C96521" w:rsidRPr="006A313E" w14:paraId="0C729163" w14:textId="77777777" w:rsidTr="006A313E">
        <w:trPr>
          <w:tblHeader/>
        </w:trPr>
        <w:tc>
          <w:tcPr>
            <w:tcW w:w="14175" w:type="dxa"/>
            <w:gridSpan w:val="6"/>
            <w:shd w:val="clear" w:color="auto" w:fill="BFBFBF" w:themeFill="background1" w:themeFillShade="BF"/>
          </w:tcPr>
          <w:p w14:paraId="695276F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Objective 2: Eradicate illegal killing in the European Union and reduce elsewhere.</w:t>
            </w:r>
          </w:p>
          <w:p w14:paraId="1BAB0F3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Threat - Illegal killing (Critical)</w:t>
            </w:r>
          </w:p>
        </w:tc>
      </w:tr>
      <w:tr w:rsidR="00C96521" w:rsidRPr="006A313E" w14:paraId="7B69B19E" w14:textId="77777777" w:rsidTr="00C96521">
        <w:trPr>
          <w:tblHeader/>
        </w:trPr>
        <w:tc>
          <w:tcPr>
            <w:tcW w:w="2278" w:type="dxa"/>
            <w:shd w:val="clear" w:color="auto" w:fill="D9D9D9"/>
          </w:tcPr>
          <w:p w14:paraId="22403A7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Result</w:t>
            </w:r>
          </w:p>
        </w:tc>
        <w:tc>
          <w:tcPr>
            <w:tcW w:w="4411" w:type="dxa"/>
            <w:shd w:val="clear" w:color="auto" w:fill="D9D9D9"/>
          </w:tcPr>
          <w:p w14:paraId="151097B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and scope</w:t>
            </w:r>
          </w:p>
        </w:tc>
        <w:tc>
          <w:tcPr>
            <w:tcW w:w="1262" w:type="dxa"/>
            <w:shd w:val="clear" w:color="auto" w:fill="D9D9D9"/>
          </w:tcPr>
          <w:p w14:paraId="389A0EB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Priority</w:t>
            </w:r>
          </w:p>
        </w:tc>
        <w:tc>
          <w:tcPr>
            <w:tcW w:w="1229" w:type="dxa"/>
            <w:shd w:val="clear" w:color="auto" w:fill="D9D9D9"/>
          </w:tcPr>
          <w:p w14:paraId="09327EC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Timescale</w:t>
            </w:r>
          </w:p>
        </w:tc>
        <w:tc>
          <w:tcPr>
            <w:tcW w:w="2620" w:type="dxa"/>
            <w:shd w:val="clear" w:color="auto" w:fill="D9D9D9"/>
          </w:tcPr>
          <w:p w14:paraId="7135A5E0" w14:textId="3109E412"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Organi</w:t>
            </w:r>
            <w:r w:rsidR="008807BF" w:rsidRPr="006A313E">
              <w:rPr>
                <w:rFonts w:ascii="Arial" w:hAnsi="Arial" w:cs="Arial"/>
                <w:sz w:val="18"/>
                <w:szCs w:val="18"/>
                <w:lang w:val="en-GB"/>
              </w:rPr>
              <w:t>z</w:t>
            </w:r>
            <w:r w:rsidRPr="006A313E">
              <w:rPr>
                <w:rFonts w:ascii="Arial" w:hAnsi="Arial" w:cs="Arial"/>
                <w:sz w:val="18"/>
                <w:szCs w:val="18"/>
                <w:lang w:val="en-GB"/>
              </w:rPr>
              <w:t>ations responsible</w:t>
            </w:r>
          </w:p>
        </w:tc>
        <w:tc>
          <w:tcPr>
            <w:tcW w:w="2375" w:type="dxa"/>
            <w:shd w:val="clear" w:color="auto" w:fill="D9D9D9"/>
          </w:tcPr>
          <w:p w14:paraId="3229749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Inputs required</w:t>
            </w:r>
          </w:p>
        </w:tc>
      </w:tr>
      <w:tr w:rsidR="00C96521" w:rsidRPr="006A313E" w14:paraId="01CA5CFA" w14:textId="77777777" w:rsidTr="00C96521">
        <w:tc>
          <w:tcPr>
            <w:tcW w:w="2278" w:type="dxa"/>
            <w:vMerge w:val="restart"/>
          </w:tcPr>
          <w:p w14:paraId="20CFFD8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2.1 Evaluation of the scale of illegal killing by [</w:t>
            </w:r>
            <w:r w:rsidRPr="006A313E">
              <w:rPr>
                <w:rFonts w:ascii="Arial" w:hAnsi="Arial" w:cs="Arial"/>
                <w:i/>
                <w:sz w:val="18"/>
                <w:szCs w:val="18"/>
                <w:lang w:val="en-GB"/>
              </w:rPr>
              <w:t>mid-2018</w:t>
            </w:r>
            <w:r w:rsidRPr="006A313E">
              <w:rPr>
                <w:rFonts w:ascii="Arial" w:hAnsi="Arial" w:cs="Arial"/>
                <w:sz w:val="18"/>
                <w:szCs w:val="18"/>
                <w:lang w:val="en-GB"/>
              </w:rPr>
              <w:t>].</w:t>
            </w:r>
          </w:p>
        </w:tc>
        <w:tc>
          <w:tcPr>
            <w:tcW w:w="4411" w:type="dxa"/>
          </w:tcPr>
          <w:p w14:paraId="663DD2B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2.1.1</w:t>
            </w:r>
          </w:p>
          <w:p w14:paraId="6CC9E34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Assess and report on the scale of illegal killing across the range of the turtle-dove. </w:t>
            </w:r>
          </w:p>
          <w:p w14:paraId="18207C4D" w14:textId="77777777" w:rsidR="00C96521" w:rsidRPr="006A313E" w:rsidRDefault="00C96521" w:rsidP="00C96521">
            <w:pPr>
              <w:widowControl/>
              <w:autoSpaceDE/>
              <w:autoSpaceDN/>
              <w:adjustRightInd/>
              <w:rPr>
                <w:rFonts w:ascii="Arial" w:hAnsi="Arial" w:cs="Arial"/>
                <w:sz w:val="18"/>
                <w:szCs w:val="18"/>
                <w:lang w:val="en-GB"/>
              </w:rPr>
            </w:pPr>
          </w:p>
          <w:p w14:paraId="314D4C4C" w14:textId="77777777" w:rsidR="00C96521" w:rsidRPr="006A313E" w:rsidRDefault="00C96521" w:rsidP="00C96521">
            <w:pPr>
              <w:widowControl/>
              <w:autoSpaceDE/>
              <w:autoSpaceDN/>
              <w:adjustRightInd/>
              <w:rPr>
                <w:rFonts w:ascii="Arial" w:hAnsi="Arial" w:cs="Arial"/>
                <w:sz w:val="18"/>
                <w:szCs w:val="18"/>
                <w:lang w:val="en-GB"/>
              </w:rPr>
            </w:pPr>
          </w:p>
          <w:p w14:paraId="7D74CD88" w14:textId="77777777" w:rsidR="00C96521" w:rsidRPr="006A313E" w:rsidRDefault="00C96521" w:rsidP="00C96521">
            <w:pPr>
              <w:widowControl/>
              <w:autoSpaceDE/>
              <w:autoSpaceDN/>
              <w:adjustRightInd/>
              <w:rPr>
                <w:rFonts w:ascii="Arial" w:hAnsi="Arial" w:cs="Arial"/>
                <w:sz w:val="18"/>
                <w:szCs w:val="18"/>
                <w:lang w:val="en-GB"/>
              </w:rPr>
            </w:pPr>
          </w:p>
          <w:p w14:paraId="04FDD704" w14:textId="77777777" w:rsidR="00C96521" w:rsidRPr="006A313E" w:rsidRDefault="00C96521" w:rsidP="00C96521">
            <w:pPr>
              <w:widowControl/>
              <w:autoSpaceDE/>
              <w:autoSpaceDN/>
              <w:adjustRightInd/>
              <w:rPr>
                <w:rFonts w:ascii="Arial" w:hAnsi="Arial" w:cs="Arial"/>
                <w:sz w:val="18"/>
                <w:szCs w:val="18"/>
                <w:lang w:val="en-GB"/>
              </w:rPr>
            </w:pPr>
          </w:p>
          <w:p w14:paraId="192E6AA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Applicable to: all Range States, with focus on areas of current poor information, such as the Middle East and Africa, and some Mediterranean islands. </w:t>
            </w:r>
          </w:p>
        </w:tc>
        <w:tc>
          <w:tcPr>
            <w:tcW w:w="1262" w:type="dxa"/>
          </w:tcPr>
          <w:p w14:paraId="24BD627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Essential</w:t>
            </w:r>
          </w:p>
        </w:tc>
        <w:tc>
          <w:tcPr>
            <w:tcW w:w="1229" w:type="dxa"/>
          </w:tcPr>
          <w:p w14:paraId="1077C0C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Immediate</w:t>
            </w:r>
          </w:p>
        </w:tc>
        <w:tc>
          <w:tcPr>
            <w:tcW w:w="2620" w:type="dxa"/>
          </w:tcPr>
          <w:p w14:paraId="5D2C7A8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conservation NGOs, FACE, national hunting federations, academic institutions</w:t>
            </w:r>
          </w:p>
        </w:tc>
        <w:tc>
          <w:tcPr>
            <w:tcW w:w="2375" w:type="dxa"/>
          </w:tcPr>
          <w:p w14:paraId="0E66334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National reports to the Berne Convention, EU Road-Map, CMS MIKT, IMPEL, National Action Plans, tagging projects and research, reports and </w:t>
            </w:r>
            <w:r w:rsidRPr="006A313E">
              <w:rPr>
                <w:rFonts w:ascii="Arial" w:hAnsi="Arial" w:cs="Arial"/>
                <w:sz w:val="18"/>
                <w:szCs w:val="18"/>
                <w:lang w:val="en-GB"/>
              </w:rPr>
              <w:lastRenderedPageBreak/>
              <w:t xml:space="preserve">data from NGOs and national authorities. Mediterranean region data (Brochet </w:t>
            </w:r>
            <w:r w:rsidRPr="006A313E">
              <w:rPr>
                <w:rFonts w:ascii="Arial" w:hAnsi="Arial" w:cs="Arial"/>
                <w:i/>
                <w:sz w:val="18"/>
                <w:szCs w:val="18"/>
                <w:lang w:val="en-GB"/>
              </w:rPr>
              <w:t>et al</w:t>
            </w:r>
            <w:r w:rsidRPr="006A313E">
              <w:rPr>
                <w:rFonts w:ascii="Arial" w:hAnsi="Arial" w:cs="Arial"/>
                <w:sz w:val="18"/>
                <w:szCs w:val="18"/>
                <w:lang w:val="en-GB"/>
              </w:rPr>
              <w:t xml:space="preserve"> 2016).</w:t>
            </w:r>
          </w:p>
        </w:tc>
      </w:tr>
      <w:tr w:rsidR="00C96521" w:rsidRPr="006A313E" w14:paraId="3CEC2ADC" w14:textId="77777777" w:rsidTr="00C96521">
        <w:tc>
          <w:tcPr>
            <w:tcW w:w="2278" w:type="dxa"/>
            <w:vMerge/>
          </w:tcPr>
          <w:p w14:paraId="4B5D940C" w14:textId="77777777" w:rsidR="00C96521" w:rsidRPr="006A313E" w:rsidRDefault="00C96521" w:rsidP="00C96521">
            <w:pPr>
              <w:widowControl/>
              <w:autoSpaceDE/>
              <w:autoSpaceDN/>
              <w:adjustRightInd/>
              <w:rPr>
                <w:rFonts w:ascii="Arial" w:hAnsi="Arial" w:cs="Arial"/>
                <w:sz w:val="18"/>
                <w:szCs w:val="18"/>
                <w:lang w:val="en-GB"/>
              </w:rPr>
            </w:pPr>
          </w:p>
        </w:tc>
        <w:tc>
          <w:tcPr>
            <w:tcW w:w="4411" w:type="dxa"/>
          </w:tcPr>
          <w:p w14:paraId="6005772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2.1.2</w:t>
            </w:r>
          </w:p>
          <w:p w14:paraId="4CB958D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Identify and police of illegal killing hot-spots. </w:t>
            </w:r>
          </w:p>
          <w:p w14:paraId="7D919D4C" w14:textId="77777777" w:rsidR="00C96521" w:rsidRPr="006A313E" w:rsidRDefault="00C96521" w:rsidP="00C96521">
            <w:pPr>
              <w:widowControl/>
              <w:autoSpaceDE/>
              <w:autoSpaceDN/>
              <w:adjustRightInd/>
              <w:rPr>
                <w:rFonts w:ascii="Arial" w:hAnsi="Arial" w:cs="Arial"/>
                <w:sz w:val="18"/>
                <w:szCs w:val="18"/>
                <w:lang w:val="en-GB"/>
              </w:rPr>
            </w:pPr>
          </w:p>
          <w:p w14:paraId="564C561B" w14:textId="77777777" w:rsidR="00C96521" w:rsidRPr="006A313E" w:rsidRDefault="00C96521" w:rsidP="00C96521">
            <w:pPr>
              <w:widowControl/>
              <w:autoSpaceDE/>
              <w:autoSpaceDN/>
              <w:adjustRightInd/>
              <w:rPr>
                <w:rFonts w:ascii="Arial" w:hAnsi="Arial" w:cs="Arial"/>
                <w:sz w:val="18"/>
                <w:szCs w:val="18"/>
                <w:lang w:val="en-GB"/>
              </w:rPr>
            </w:pPr>
          </w:p>
          <w:p w14:paraId="4990406B" w14:textId="77777777" w:rsidR="00C96521" w:rsidRPr="006A313E" w:rsidRDefault="00C96521" w:rsidP="00C96521">
            <w:pPr>
              <w:widowControl/>
              <w:autoSpaceDE/>
              <w:autoSpaceDN/>
              <w:adjustRightInd/>
              <w:rPr>
                <w:rFonts w:ascii="Arial" w:hAnsi="Arial" w:cs="Arial"/>
                <w:sz w:val="18"/>
                <w:szCs w:val="18"/>
                <w:lang w:val="en-GB"/>
              </w:rPr>
            </w:pPr>
          </w:p>
          <w:p w14:paraId="3E043751" w14:textId="77777777" w:rsidR="00C96521" w:rsidRPr="006A313E" w:rsidRDefault="00C96521" w:rsidP="00C96521">
            <w:pPr>
              <w:widowControl/>
              <w:autoSpaceDE/>
              <w:autoSpaceDN/>
              <w:adjustRightInd/>
              <w:rPr>
                <w:rFonts w:ascii="Arial" w:hAnsi="Arial" w:cs="Arial"/>
                <w:sz w:val="18"/>
                <w:szCs w:val="18"/>
                <w:lang w:val="en-GB"/>
              </w:rPr>
            </w:pPr>
          </w:p>
          <w:p w14:paraId="42CAEE39" w14:textId="77777777" w:rsidR="00C96521" w:rsidRPr="006A313E" w:rsidRDefault="00C96521" w:rsidP="00C96521">
            <w:pPr>
              <w:widowControl/>
              <w:autoSpaceDE/>
              <w:autoSpaceDN/>
              <w:adjustRightInd/>
              <w:rPr>
                <w:rFonts w:ascii="Arial" w:hAnsi="Arial" w:cs="Arial"/>
                <w:sz w:val="18"/>
                <w:szCs w:val="18"/>
                <w:lang w:val="en-GB"/>
              </w:rPr>
            </w:pPr>
          </w:p>
          <w:p w14:paraId="7E21EBB3" w14:textId="77777777" w:rsidR="00C96521" w:rsidRPr="006A313E" w:rsidRDefault="00C96521" w:rsidP="00C96521">
            <w:pPr>
              <w:widowControl/>
              <w:autoSpaceDE/>
              <w:autoSpaceDN/>
              <w:adjustRightInd/>
              <w:rPr>
                <w:rFonts w:ascii="Arial" w:hAnsi="Arial" w:cs="Arial"/>
                <w:sz w:val="18"/>
                <w:szCs w:val="18"/>
                <w:lang w:val="en-GB"/>
              </w:rPr>
            </w:pPr>
          </w:p>
          <w:p w14:paraId="765C40E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eastern Mediterranean, Middle Eastern and African Range States.</w:t>
            </w:r>
          </w:p>
        </w:tc>
        <w:tc>
          <w:tcPr>
            <w:tcW w:w="1262" w:type="dxa"/>
          </w:tcPr>
          <w:p w14:paraId="4C3339D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229" w:type="dxa"/>
          </w:tcPr>
          <w:p w14:paraId="643E7EB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20" w:type="dxa"/>
          </w:tcPr>
          <w:p w14:paraId="4C90004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conservation NGOs, FACE, national hunting federations, academic institutions</w:t>
            </w:r>
          </w:p>
        </w:tc>
        <w:tc>
          <w:tcPr>
            <w:tcW w:w="2375" w:type="dxa"/>
          </w:tcPr>
          <w:p w14:paraId="4B66AC4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National reports to the Berne Convention, EU Road-Map, CMS MIKT, IMPEL, National Action Plans, tagging projects and research, reports and data from NGOs and national authorities. Mediterranean region data (Brochet </w:t>
            </w:r>
            <w:r w:rsidRPr="006A313E">
              <w:rPr>
                <w:rFonts w:ascii="Arial" w:hAnsi="Arial" w:cs="Arial"/>
                <w:i/>
                <w:sz w:val="18"/>
                <w:szCs w:val="18"/>
                <w:lang w:val="en-GB"/>
              </w:rPr>
              <w:t>et al</w:t>
            </w:r>
            <w:r w:rsidRPr="006A313E">
              <w:rPr>
                <w:rFonts w:ascii="Arial" w:hAnsi="Arial" w:cs="Arial"/>
                <w:sz w:val="18"/>
                <w:szCs w:val="18"/>
                <w:lang w:val="en-GB"/>
              </w:rPr>
              <w:t xml:space="preserve"> 2016).</w:t>
            </w:r>
          </w:p>
        </w:tc>
      </w:tr>
      <w:tr w:rsidR="00C96521" w:rsidRPr="006A313E" w14:paraId="405ED50C" w14:textId="77777777" w:rsidTr="00C96521">
        <w:tc>
          <w:tcPr>
            <w:tcW w:w="2278" w:type="dxa"/>
          </w:tcPr>
          <w:p w14:paraId="4B35188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2.2 Guidance on effective mechanisms for enforcing hunting regulations by [</w:t>
            </w:r>
            <w:r w:rsidRPr="006A313E">
              <w:rPr>
                <w:rFonts w:ascii="Arial" w:hAnsi="Arial" w:cs="Arial"/>
                <w:i/>
                <w:sz w:val="18"/>
                <w:szCs w:val="18"/>
                <w:lang w:val="en-GB"/>
              </w:rPr>
              <w:t>2018</w:t>
            </w:r>
            <w:r w:rsidRPr="006A313E">
              <w:rPr>
                <w:rFonts w:ascii="Arial" w:hAnsi="Arial" w:cs="Arial"/>
                <w:sz w:val="18"/>
                <w:szCs w:val="18"/>
                <w:lang w:val="en-GB"/>
              </w:rPr>
              <w:t>].</w:t>
            </w:r>
          </w:p>
        </w:tc>
        <w:tc>
          <w:tcPr>
            <w:tcW w:w="4411" w:type="dxa"/>
          </w:tcPr>
          <w:p w14:paraId="4EFBE93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2.2.1</w:t>
            </w:r>
          </w:p>
          <w:p w14:paraId="312F80FC" w14:textId="0601C8A8"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guidance on effective voluntary and </w:t>
            </w:r>
            <w:r w:rsidR="008807BF" w:rsidRPr="006A313E">
              <w:rPr>
                <w:rFonts w:ascii="Arial" w:hAnsi="Arial" w:cs="Arial"/>
                <w:sz w:val="18"/>
                <w:szCs w:val="18"/>
                <w:lang w:val="en-GB"/>
              </w:rPr>
              <w:t>S</w:t>
            </w:r>
            <w:r w:rsidRPr="006A313E">
              <w:rPr>
                <w:rFonts w:ascii="Arial" w:hAnsi="Arial" w:cs="Arial"/>
                <w:sz w:val="18"/>
                <w:szCs w:val="18"/>
                <w:lang w:val="en-GB"/>
              </w:rPr>
              <w:t>tate mechanisms for enforcing hunting regulations.</w:t>
            </w:r>
          </w:p>
          <w:p w14:paraId="06740364" w14:textId="77777777" w:rsidR="00C96521" w:rsidRPr="006A313E" w:rsidRDefault="00C96521" w:rsidP="00C96521">
            <w:pPr>
              <w:widowControl/>
              <w:autoSpaceDE/>
              <w:autoSpaceDN/>
              <w:adjustRightInd/>
              <w:rPr>
                <w:rFonts w:ascii="Arial" w:hAnsi="Arial" w:cs="Arial"/>
                <w:sz w:val="18"/>
                <w:szCs w:val="18"/>
                <w:lang w:val="en-GB"/>
              </w:rPr>
            </w:pPr>
          </w:p>
          <w:p w14:paraId="2BB2BD84" w14:textId="77777777" w:rsidR="00C96521" w:rsidRPr="006A313E" w:rsidRDefault="00C96521" w:rsidP="00C96521">
            <w:pPr>
              <w:widowControl/>
              <w:autoSpaceDE/>
              <w:autoSpaceDN/>
              <w:adjustRightInd/>
              <w:rPr>
                <w:rFonts w:ascii="Arial" w:hAnsi="Arial" w:cs="Arial"/>
                <w:sz w:val="18"/>
                <w:szCs w:val="18"/>
                <w:lang w:val="en-GB"/>
              </w:rPr>
            </w:pPr>
          </w:p>
          <w:p w14:paraId="031D2E8C" w14:textId="77777777" w:rsidR="00C96521" w:rsidRPr="006A313E" w:rsidRDefault="00C96521" w:rsidP="00C96521">
            <w:pPr>
              <w:widowControl/>
              <w:autoSpaceDE/>
              <w:autoSpaceDN/>
              <w:adjustRightInd/>
              <w:rPr>
                <w:rFonts w:ascii="Arial" w:hAnsi="Arial" w:cs="Arial"/>
                <w:sz w:val="18"/>
                <w:szCs w:val="18"/>
                <w:lang w:val="en-GB"/>
              </w:rPr>
            </w:pPr>
          </w:p>
          <w:p w14:paraId="118F702D" w14:textId="77777777" w:rsidR="00C96521" w:rsidRPr="006A313E" w:rsidRDefault="00C96521" w:rsidP="00C96521">
            <w:pPr>
              <w:widowControl/>
              <w:autoSpaceDE/>
              <w:autoSpaceDN/>
              <w:adjustRightInd/>
              <w:rPr>
                <w:rFonts w:ascii="Arial" w:hAnsi="Arial" w:cs="Arial"/>
                <w:sz w:val="18"/>
                <w:szCs w:val="18"/>
                <w:lang w:val="en-GB"/>
              </w:rPr>
            </w:pPr>
          </w:p>
          <w:p w14:paraId="46CF347C" w14:textId="77777777" w:rsidR="00C96521" w:rsidRPr="006A313E" w:rsidRDefault="00C96521" w:rsidP="00C96521">
            <w:pPr>
              <w:widowControl/>
              <w:autoSpaceDE/>
              <w:autoSpaceDN/>
              <w:adjustRightInd/>
              <w:rPr>
                <w:rFonts w:ascii="Arial" w:hAnsi="Arial" w:cs="Arial"/>
                <w:sz w:val="18"/>
                <w:szCs w:val="18"/>
                <w:lang w:val="en-GB"/>
              </w:rPr>
            </w:pPr>
          </w:p>
          <w:p w14:paraId="161D4421" w14:textId="77777777" w:rsidR="00C96521" w:rsidRPr="006A313E" w:rsidRDefault="00C96521" w:rsidP="00C96521">
            <w:pPr>
              <w:widowControl/>
              <w:autoSpaceDE/>
              <w:autoSpaceDN/>
              <w:adjustRightInd/>
              <w:rPr>
                <w:rFonts w:ascii="Arial" w:hAnsi="Arial" w:cs="Arial"/>
                <w:sz w:val="18"/>
                <w:szCs w:val="18"/>
                <w:lang w:val="en-GB"/>
              </w:rPr>
            </w:pPr>
          </w:p>
          <w:p w14:paraId="7BCB599C" w14:textId="77777777" w:rsidR="00C96521" w:rsidRPr="006A313E" w:rsidRDefault="00C96521" w:rsidP="00C96521">
            <w:pPr>
              <w:widowControl/>
              <w:autoSpaceDE/>
              <w:autoSpaceDN/>
              <w:adjustRightInd/>
              <w:rPr>
                <w:rFonts w:ascii="Arial" w:hAnsi="Arial" w:cs="Arial"/>
                <w:sz w:val="18"/>
                <w:szCs w:val="18"/>
                <w:lang w:val="en-GB"/>
              </w:rPr>
            </w:pPr>
          </w:p>
          <w:p w14:paraId="4339BBA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262" w:type="dxa"/>
          </w:tcPr>
          <w:p w14:paraId="18E07A1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229" w:type="dxa"/>
          </w:tcPr>
          <w:p w14:paraId="76B8935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Immediate</w:t>
            </w:r>
          </w:p>
        </w:tc>
        <w:tc>
          <w:tcPr>
            <w:tcW w:w="2620" w:type="dxa"/>
          </w:tcPr>
          <w:p w14:paraId="21F8E89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w:t>
            </w:r>
            <w:r w:rsidRPr="006A313E">
              <w:rPr>
                <w:rFonts w:ascii="Arial" w:hAnsi="Arial" w:cs="Arial"/>
                <w:b/>
                <w:sz w:val="18"/>
                <w:szCs w:val="18"/>
                <w:lang w:val="en-GB"/>
              </w:rPr>
              <w:t>ENFORCEMENT AGENCIES</w:t>
            </w:r>
            <w:r w:rsidRPr="006A313E">
              <w:rPr>
                <w:rFonts w:ascii="Arial" w:hAnsi="Arial" w:cs="Arial"/>
                <w:sz w:val="18"/>
                <w:szCs w:val="18"/>
                <w:lang w:val="en-GB"/>
              </w:rPr>
              <w:t>, conservation NGOs, FACE, national hunting federations, academic institutions</w:t>
            </w:r>
          </w:p>
        </w:tc>
        <w:tc>
          <w:tcPr>
            <w:tcW w:w="2375" w:type="dxa"/>
          </w:tcPr>
          <w:p w14:paraId="64FFB20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Guidance already developed by the Government of Malta. National reports to the Berne Convention, EU Road-Map, CMS MIKT, IMPEL, National Action Plans, tagging projects and research, reports and data from NGOs and national authorities.</w:t>
            </w:r>
          </w:p>
        </w:tc>
      </w:tr>
      <w:tr w:rsidR="00C96521" w:rsidRPr="006A313E" w14:paraId="63A55455" w14:textId="77777777" w:rsidTr="00C96521">
        <w:tc>
          <w:tcPr>
            <w:tcW w:w="2278" w:type="dxa"/>
            <w:vMerge w:val="restart"/>
          </w:tcPr>
          <w:p w14:paraId="112000E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2.3 Enhanced enforcement in EU hot-spots by [</w:t>
            </w:r>
            <w:r w:rsidRPr="006A313E">
              <w:rPr>
                <w:rFonts w:ascii="Arial" w:hAnsi="Arial" w:cs="Arial"/>
                <w:i/>
                <w:sz w:val="18"/>
                <w:szCs w:val="18"/>
                <w:lang w:val="en-GB"/>
              </w:rPr>
              <w:t>2020</w:t>
            </w:r>
            <w:r w:rsidRPr="006A313E">
              <w:rPr>
                <w:rFonts w:ascii="Arial" w:hAnsi="Arial" w:cs="Arial"/>
                <w:sz w:val="18"/>
                <w:szCs w:val="18"/>
                <w:lang w:val="en-GB"/>
              </w:rPr>
              <w:t>] and non-EU hot-spots by [</w:t>
            </w:r>
            <w:r w:rsidRPr="006A313E">
              <w:rPr>
                <w:rFonts w:ascii="Arial" w:hAnsi="Arial" w:cs="Arial"/>
                <w:i/>
                <w:sz w:val="18"/>
                <w:szCs w:val="18"/>
                <w:lang w:val="en-GB"/>
              </w:rPr>
              <w:t>2025</w:t>
            </w:r>
            <w:r w:rsidRPr="006A313E">
              <w:rPr>
                <w:rFonts w:ascii="Arial" w:hAnsi="Arial" w:cs="Arial"/>
                <w:sz w:val="18"/>
                <w:szCs w:val="18"/>
                <w:lang w:val="en-GB"/>
              </w:rPr>
              <w:t>].</w:t>
            </w:r>
          </w:p>
        </w:tc>
        <w:tc>
          <w:tcPr>
            <w:tcW w:w="4411" w:type="dxa"/>
          </w:tcPr>
          <w:p w14:paraId="13CF8C1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2.3.1</w:t>
            </w:r>
          </w:p>
          <w:p w14:paraId="1C3D1C1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deploy training to enhance enforcement of hunting laws in hot-spot areas, both for local enforcement officers and the judiciary. </w:t>
            </w:r>
          </w:p>
          <w:p w14:paraId="6F6BE690" w14:textId="77777777" w:rsidR="00C96521" w:rsidRPr="006A313E" w:rsidRDefault="00C96521" w:rsidP="00C96521">
            <w:pPr>
              <w:widowControl/>
              <w:autoSpaceDE/>
              <w:autoSpaceDN/>
              <w:adjustRightInd/>
              <w:rPr>
                <w:rFonts w:ascii="Arial" w:hAnsi="Arial" w:cs="Arial"/>
                <w:sz w:val="18"/>
                <w:szCs w:val="18"/>
                <w:lang w:val="en-GB"/>
              </w:rPr>
            </w:pPr>
          </w:p>
          <w:p w14:paraId="19790957" w14:textId="77777777" w:rsidR="00C96521" w:rsidRPr="006A313E" w:rsidRDefault="00C96521" w:rsidP="00C96521">
            <w:pPr>
              <w:widowControl/>
              <w:autoSpaceDE/>
              <w:autoSpaceDN/>
              <w:adjustRightInd/>
              <w:rPr>
                <w:rFonts w:ascii="Arial" w:hAnsi="Arial" w:cs="Arial"/>
                <w:sz w:val="18"/>
                <w:szCs w:val="18"/>
                <w:lang w:val="en-GB"/>
              </w:rPr>
            </w:pPr>
          </w:p>
          <w:p w14:paraId="53681F2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262" w:type="dxa"/>
          </w:tcPr>
          <w:p w14:paraId="5C7FFF1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229" w:type="dxa"/>
          </w:tcPr>
          <w:p w14:paraId="356B2DF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20" w:type="dxa"/>
          </w:tcPr>
          <w:p w14:paraId="6BCE3CA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w:t>
            </w:r>
            <w:r w:rsidRPr="006A313E">
              <w:rPr>
                <w:rFonts w:ascii="Arial" w:hAnsi="Arial" w:cs="Arial"/>
                <w:b/>
                <w:sz w:val="18"/>
                <w:szCs w:val="18"/>
                <w:lang w:val="en-GB"/>
              </w:rPr>
              <w:t>ENFORCEMENT AGENCIES</w:t>
            </w:r>
          </w:p>
        </w:tc>
        <w:tc>
          <w:tcPr>
            <w:tcW w:w="2375" w:type="dxa"/>
          </w:tcPr>
          <w:p w14:paraId="61FAE00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Programme of Work of the CMS Task Force on the Illegal Killing of Birds in the Mediterranean</w:t>
            </w:r>
          </w:p>
          <w:p w14:paraId="7070B63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2.1.1-2.1.2</w:t>
            </w:r>
          </w:p>
          <w:p w14:paraId="2F0B681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2.2.1</w:t>
            </w:r>
          </w:p>
        </w:tc>
      </w:tr>
      <w:tr w:rsidR="00C96521" w:rsidRPr="006A313E" w14:paraId="3CE5A6C1" w14:textId="77777777" w:rsidTr="00C96521">
        <w:tc>
          <w:tcPr>
            <w:tcW w:w="2278" w:type="dxa"/>
            <w:vMerge/>
          </w:tcPr>
          <w:p w14:paraId="58A12522" w14:textId="77777777" w:rsidR="00C96521" w:rsidRPr="006A313E" w:rsidRDefault="00C96521" w:rsidP="00C96521">
            <w:pPr>
              <w:widowControl/>
              <w:autoSpaceDE/>
              <w:autoSpaceDN/>
              <w:adjustRightInd/>
              <w:rPr>
                <w:rFonts w:ascii="Arial" w:hAnsi="Arial" w:cs="Arial"/>
                <w:sz w:val="18"/>
                <w:szCs w:val="18"/>
                <w:lang w:val="en-GB"/>
              </w:rPr>
            </w:pPr>
          </w:p>
        </w:tc>
        <w:tc>
          <w:tcPr>
            <w:tcW w:w="4411" w:type="dxa"/>
          </w:tcPr>
          <w:p w14:paraId="391A648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2.3.2</w:t>
            </w:r>
          </w:p>
          <w:p w14:paraId="448FDE2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Increase investment in enforcement.</w:t>
            </w:r>
          </w:p>
          <w:p w14:paraId="5E4A0D60" w14:textId="77777777" w:rsidR="00C96521" w:rsidRPr="006A313E" w:rsidRDefault="00C96521" w:rsidP="00C96521">
            <w:pPr>
              <w:widowControl/>
              <w:autoSpaceDE/>
              <w:autoSpaceDN/>
              <w:adjustRightInd/>
              <w:rPr>
                <w:rFonts w:ascii="Arial" w:hAnsi="Arial" w:cs="Arial"/>
                <w:sz w:val="18"/>
                <w:szCs w:val="18"/>
                <w:lang w:val="en-GB"/>
              </w:rPr>
            </w:pPr>
          </w:p>
          <w:p w14:paraId="59F0173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262" w:type="dxa"/>
          </w:tcPr>
          <w:p w14:paraId="6AB7255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229" w:type="dxa"/>
          </w:tcPr>
          <w:p w14:paraId="0F2079B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20" w:type="dxa"/>
          </w:tcPr>
          <w:p w14:paraId="6BE90ACF"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GOVERNMENTS</w:t>
            </w:r>
          </w:p>
        </w:tc>
        <w:tc>
          <w:tcPr>
            <w:tcW w:w="2375" w:type="dxa"/>
          </w:tcPr>
          <w:p w14:paraId="6650980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2.3.1</w:t>
            </w:r>
          </w:p>
        </w:tc>
      </w:tr>
    </w:tbl>
    <w:p w14:paraId="513AFBE6"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5EDE92D3"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326"/>
        <w:gridCol w:w="4516"/>
        <w:gridCol w:w="1126"/>
        <w:gridCol w:w="1131"/>
        <w:gridCol w:w="2657"/>
        <w:gridCol w:w="2419"/>
      </w:tblGrid>
      <w:tr w:rsidR="00C96521" w:rsidRPr="006A313E" w14:paraId="3F68B774" w14:textId="77777777" w:rsidTr="006A313E">
        <w:trPr>
          <w:tblHeader/>
        </w:trPr>
        <w:tc>
          <w:tcPr>
            <w:tcW w:w="14175" w:type="dxa"/>
            <w:gridSpan w:val="6"/>
            <w:shd w:val="clear" w:color="auto" w:fill="BFBFBF" w:themeFill="background1" w:themeFillShade="BF"/>
          </w:tcPr>
          <w:p w14:paraId="1BB3948D" w14:textId="2FE6CC9E"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Objective 3: Hunting across the range of the European Turtle</w:t>
            </w:r>
            <w:r w:rsidR="008807BF" w:rsidRPr="006A313E">
              <w:rPr>
                <w:rFonts w:ascii="Arial" w:hAnsi="Arial" w:cs="Arial"/>
                <w:sz w:val="18"/>
                <w:szCs w:val="18"/>
                <w:lang w:val="en-GB"/>
              </w:rPr>
              <w:t xml:space="preserve"> D</w:t>
            </w:r>
            <w:r w:rsidRPr="006A313E">
              <w:rPr>
                <w:rFonts w:ascii="Arial" w:hAnsi="Arial" w:cs="Arial"/>
                <w:sz w:val="18"/>
                <w:szCs w:val="18"/>
                <w:lang w:val="en-GB"/>
              </w:rPr>
              <w:t>ove is carried out at locally and internationally sustainable levels.</w:t>
            </w:r>
          </w:p>
          <w:p w14:paraId="5356AE4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Threat - Unsustainable hunting (High/Critical)</w:t>
            </w:r>
          </w:p>
        </w:tc>
      </w:tr>
      <w:tr w:rsidR="00C96521" w:rsidRPr="006A313E" w14:paraId="14155AC7" w14:textId="77777777" w:rsidTr="00C96521">
        <w:trPr>
          <w:tblHeader/>
        </w:trPr>
        <w:tc>
          <w:tcPr>
            <w:tcW w:w="2326" w:type="dxa"/>
            <w:shd w:val="clear" w:color="auto" w:fill="D9D9D9"/>
          </w:tcPr>
          <w:p w14:paraId="2F52B8E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Result</w:t>
            </w:r>
          </w:p>
        </w:tc>
        <w:tc>
          <w:tcPr>
            <w:tcW w:w="4516" w:type="dxa"/>
            <w:shd w:val="clear" w:color="auto" w:fill="D9D9D9"/>
          </w:tcPr>
          <w:p w14:paraId="138D497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and scope</w:t>
            </w:r>
          </w:p>
        </w:tc>
        <w:tc>
          <w:tcPr>
            <w:tcW w:w="1126" w:type="dxa"/>
            <w:shd w:val="clear" w:color="auto" w:fill="D9D9D9"/>
          </w:tcPr>
          <w:p w14:paraId="2E49481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Priority</w:t>
            </w:r>
          </w:p>
        </w:tc>
        <w:tc>
          <w:tcPr>
            <w:tcW w:w="1131" w:type="dxa"/>
            <w:shd w:val="clear" w:color="auto" w:fill="D9D9D9"/>
          </w:tcPr>
          <w:p w14:paraId="4C600BC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Timescale</w:t>
            </w:r>
          </w:p>
        </w:tc>
        <w:tc>
          <w:tcPr>
            <w:tcW w:w="2657" w:type="dxa"/>
            <w:shd w:val="clear" w:color="auto" w:fill="D9D9D9"/>
          </w:tcPr>
          <w:p w14:paraId="1BB08E36" w14:textId="55E99DDA"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Organi</w:t>
            </w:r>
            <w:r w:rsidR="008807BF" w:rsidRPr="006A313E">
              <w:rPr>
                <w:rFonts w:ascii="Arial" w:hAnsi="Arial" w:cs="Arial"/>
                <w:sz w:val="18"/>
                <w:szCs w:val="18"/>
                <w:lang w:val="en-GB"/>
              </w:rPr>
              <w:t>z</w:t>
            </w:r>
            <w:r w:rsidRPr="006A313E">
              <w:rPr>
                <w:rFonts w:ascii="Arial" w:hAnsi="Arial" w:cs="Arial"/>
                <w:sz w:val="18"/>
                <w:szCs w:val="18"/>
                <w:lang w:val="en-GB"/>
              </w:rPr>
              <w:t>ations responsible</w:t>
            </w:r>
          </w:p>
        </w:tc>
        <w:tc>
          <w:tcPr>
            <w:tcW w:w="2419" w:type="dxa"/>
            <w:shd w:val="clear" w:color="auto" w:fill="D9D9D9"/>
          </w:tcPr>
          <w:p w14:paraId="5F4C7AF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Inputs required</w:t>
            </w:r>
          </w:p>
        </w:tc>
      </w:tr>
      <w:tr w:rsidR="00C96521" w:rsidRPr="006A313E" w14:paraId="355F23C8" w14:textId="77777777" w:rsidTr="00C96521">
        <w:tc>
          <w:tcPr>
            <w:tcW w:w="2326" w:type="dxa"/>
            <w:vMerge w:val="restart"/>
          </w:tcPr>
          <w:p w14:paraId="1248350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3.1 Interim measures to ensure that hunting is at sustainable levels implemented by end [</w:t>
            </w:r>
            <w:r w:rsidRPr="006A313E">
              <w:rPr>
                <w:rFonts w:ascii="Arial" w:hAnsi="Arial" w:cs="Arial"/>
                <w:i/>
                <w:sz w:val="18"/>
                <w:szCs w:val="18"/>
                <w:lang w:val="en-GB"/>
              </w:rPr>
              <w:t>2017</w:t>
            </w:r>
            <w:r w:rsidRPr="006A313E">
              <w:rPr>
                <w:rFonts w:ascii="Arial" w:hAnsi="Arial" w:cs="Arial"/>
                <w:sz w:val="18"/>
                <w:szCs w:val="18"/>
                <w:lang w:val="en-GB"/>
              </w:rPr>
              <w:t>].</w:t>
            </w:r>
          </w:p>
        </w:tc>
        <w:tc>
          <w:tcPr>
            <w:tcW w:w="4516" w:type="dxa"/>
          </w:tcPr>
          <w:p w14:paraId="7725F70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3.1.1</w:t>
            </w:r>
          </w:p>
          <w:p w14:paraId="0682799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Develop initial harvest model for the western flyway to assess sustainability of current levels of hunting and propose management measures required until an adaptive sustainable harvest modelling framework is financed and implemented</w:t>
            </w:r>
          </w:p>
          <w:p w14:paraId="567FA2F2" w14:textId="77777777" w:rsidR="00C96521" w:rsidRPr="006A313E" w:rsidRDefault="00C96521" w:rsidP="00C96521">
            <w:pPr>
              <w:widowControl/>
              <w:autoSpaceDE/>
              <w:autoSpaceDN/>
              <w:adjustRightInd/>
              <w:rPr>
                <w:rFonts w:ascii="Arial" w:hAnsi="Arial" w:cs="Arial"/>
                <w:sz w:val="18"/>
                <w:szCs w:val="18"/>
                <w:lang w:val="en-GB"/>
              </w:rPr>
            </w:pPr>
          </w:p>
          <w:p w14:paraId="799AF8E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 with hunting.</w:t>
            </w:r>
          </w:p>
        </w:tc>
        <w:tc>
          <w:tcPr>
            <w:tcW w:w="1126" w:type="dxa"/>
          </w:tcPr>
          <w:p w14:paraId="494A96D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131" w:type="dxa"/>
          </w:tcPr>
          <w:p w14:paraId="4D89C4D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Ongoing</w:t>
            </w:r>
          </w:p>
        </w:tc>
        <w:tc>
          <w:tcPr>
            <w:tcW w:w="2657" w:type="dxa"/>
          </w:tcPr>
          <w:p w14:paraId="39516D4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FACE, CONSERVATION NGOs, ACADEMIC INSTITUTIONS, NATIONAL HUNTING FEDERATIONS</w:t>
            </w:r>
            <w:r w:rsidRPr="006A313E">
              <w:rPr>
                <w:rFonts w:ascii="Arial" w:hAnsi="Arial" w:cs="Arial"/>
                <w:sz w:val="18"/>
                <w:szCs w:val="18"/>
                <w:lang w:val="en-GB"/>
              </w:rPr>
              <w:t>, national governments, national wildlife agencies</w:t>
            </w:r>
          </w:p>
        </w:tc>
        <w:tc>
          <w:tcPr>
            <w:tcW w:w="2419" w:type="dxa"/>
          </w:tcPr>
          <w:p w14:paraId="03DA42B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Existing population, trend and hunting data; demographic data (including survival, productivity), </w:t>
            </w:r>
          </w:p>
          <w:p w14:paraId="673D4A7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7.2.2</w:t>
            </w:r>
          </w:p>
        </w:tc>
      </w:tr>
      <w:tr w:rsidR="00C96521" w:rsidRPr="006A313E" w14:paraId="1252A271" w14:textId="77777777" w:rsidTr="00C96521">
        <w:tc>
          <w:tcPr>
            <w:tcW w:w="2326" w:type="dxa"/>
            <w:vMerge/>
          </w:tcPr>
          <w:p w14:paraId="1DEC73FE"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132AA3E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3.1.2</w:t>
            </w:r>
          </w:p>
          <w:p w14:paraId="65DF8DF7" w14:textId="681FF39C"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Based on recommendations emerging from Action 3.1.1, adopt hunting management measures to reduce impact in the short</w:t>
            </w:r>
            <w:r w:rsidR="008807BF" w:rsidRPr="006A313E">
              <w:rPr>
                <w:rFonts w:ascii="Arial" w:hAnsi="Arial" w:cs="Arial"/>
                <w:sz w:val="18"/>
                <w:szCs w:val="18"/>
                <w:lang w:val="en-GB"/>
              </w:rPr>
              <w:t xml:space="preserve"> </w:t>
            </w:r>
            <w:r w:rsidRPr="006A313E">
              <w:rPr>
                <w:rFonts w:ascii="Arial" w:hAnsi="Arial" w:cs="Arial"/>
                <w:sz w:val="18"/>
                <w:szCs w:val="18"/>
                <w:lang w:val="en-GB"/>
              </w:rPr>
              <w:t>term, and assess impact.</w:t>
            </w:r>
          </w:p>
          <w:p w14:paraId="4C5638E3" w14:textId="77777777" w:rsidR="00C96521" w:rsidRPr="006A313E" w:rsidRDefault="00C96521" w:rsidP="00C96521">
            <w:pPr>
              <w:widowControl/>
              <w:autoSpaceDE/>
              <w:autoSpaceDN/>
              <w:adjustRightInd/>
              <w:rPr>
                <w:rFonts w:ascii="Arial" w:hAnsi="Arial" w:cs="Arial"/>
                <w:sz w:val="18"/>
                <w:szCs w:val="18"/>
                <w:lang w:val="en-GB"/>
              </w:rPr>
            </w:pPr>
          </w:p>
          <w:p w14:paraId="22D1357B" w14:textId="7A913035"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Reduce hunting pressure in [</w:t>
            </w:r>
            <w:r w:rsidRPr="006A313E">
              <w:rPr>
                <w:rFonts w:ascii="Arial" w:hAnsi="Arial" w:cs="Arial"/>
                <w:i/>
                <w:sz w:val="18"/>
                <w:szCs w:val="18"/>
                <w:lang w:val="en-GB"/>
              </w:rPr>
              <w:t>Member States</w:t>
            </w:r>
            <w:r w:rsidRPr="006A313E">
              <w:rPr>
                <w:rFonts w:ascii="Arial" w:hAnsi="Arial" w:cs="Arial"/>
                <w:sz w:val="18"/>
                <w:szCs w:val="18"/>
                <w:lang w:val="en-GB"/>
              </w:rPr>
              <w:t>] by [</w:t>
            </w:r>
            <w:r w:rsidRPr="006A313E">
              <w:rPr>
                <w:rFonts w:ascii="Arial" w:hAnsi="Arial" w:cs="Arial"/>
                <w:i/>
                <w:sz w:val="18"/>
                <w:szCs w:val="18"/>
                <w:lang w:val="en-GB"/>
              </w:rPr>
              <w:t>% reduction</w:t>
            </w:r>
            <w:r w:rsidRPr="006A313E">
              <w:rPr>
                <w:rFonts w:ascii="Arial" w:hAnsi="Arial" w:cs="Arial"/>
                <w:sz w:val="18"/>
                <w:szCs w:val="18"/>
                <w:lang w:val="en-GB"/>
              </w:rPr>
              <w:t>] through [</w:t>
            </w:r>
            <w:r w:rsidRPr="006A313E">
              <w:rPr>
                <w:rFonts w:ascii="Arial" w:hAnsi="Arial" w:cs="Arial"/>
                <w:i/>
                <w:sz w:val="18"/>
                <w:szCs w:val="18"/>
                <w:lang w:val="en-GB"/>
              </w:rPr>
              <w:t>measures to be determined from e</w:t>
            </w:r>
            <w:r w:rsidR="008807BF" w:rsidRPr="006A313E">
              <w:rPr>
                <w:rFonts w:ascii="Arial" w:hAnsi="Arial" w:cs="Arial"/>
                <w:i/>
                <w:sz w:val="18"/>
                <w:szCs w:val="18"/>
                <w:lang w:val="en-GB"/>
              </w:rPr>
              <w:t>.</w:t>
            </w:r>
            <w:r w:rsidRPr="006A313E">
              <w:rPr>
                <w:rFonts w:ascii="Arial" w:hAnsi="Arial" w:cs="Arial"/>
                <w:i/>
                <w:sz w:val="18"/>
                <w:szCs w:val="18"/>
                <w:lang w:val="en-GB"/>
              </w:rPr>
              <w:t>g</w:t>
            </w:r>
            <w:r w:rsidR="008807BF" w:rsidRPr="006A313E">
              <w:rPr>
                <w:rFonts w:ascii="Arial" w:hAnsi="Arial" w:cs="Arial"/>
                <w:i/>
                <w:sz w:val="18"/>
                <w:szCs w:val="18"/>
                <w:lang w:val="en-GB"/>
              </w:rPr>
              <w:t>.</w:t>
            </w:r>
            <w:r w:rsidRPr="006A313E">
              <w:rPr>
                <w:rFonts w:ascii="Arial" w:hAnsi="Arial" w:cs="Arial"/>
                <w:i/>
                <w:sz w:val="18"/>
                <w:szCs w:val="18"/>
                <w:lang w:val="en-GB"/>
              </w:rPr>
              <w:t xml:space="preserve"> bag limits/quotas, hunting bag data collection systems, hunting season length/timing, possible temporary hunting moratoriums, spatial planning (% area huntable), setting quotas for hunting tourism</w:t>
            </w:r>
            <w:r w:rsidRPr="006A313E">
              <w:rPr>
                <w:rFonts w:ascii="Arial" w:hAnsi="Arial" w:cs="Arial"/>
                <w:sz w:val="18"/>
                <w:szCs w:val="18"/>
                <w:lang w:val="en-GB"/>
              </w:rPr>
              <w:t>]</w:t>
            </w:r>
            <w:r w:rsidRPr="006A313E">
              <w:rPr>
                <w:rFonts w:ascii="Arial" w:hAnsi="Arial" w:cs="Arial"/>
                <w:i/>
                <w:sz w:val="18"/>
                <w:szCs w:val="18"/>
                <w:lang w:val="en-GB"/>
              </w:rPr>
              <w:t>.</w:t>
            </w:r>
          </w:p>
          <w:p w14:paraId="4EFD816E" w14:textId="77777777" w:rsidR="00C96521" w:rsidRPr="006A313E" w:rsidRDefault="00C96521" w:rsidP="00C96521">
            <w:pPr>
              <w:widowControl/>
              <w:autoSpaceDE/>
              <w:autoSpaceDN/>
              <w:adjustRightInd/>
              <w:rPr>
                <w:rFonts w:ascii="Arial" w:hAnsi="Arial" w:cs="Arial"/>
                <w:sz w:val="18"/>
                <w:szCs w:val="18"/>
                <w:lang w:val="en-GB"/>
              </w:rPr>
            </w:pPr>
          </w:p>
          <w:p w14:paraId="6E5B395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 with hunting.</w:t>
            </w:r>
          </w:p>
        </w:tc>
        <w:tc>
          <w:tcPr>
            <w:tcW w:w="1126" w:type="dxa"/>
          </w:tcPr>
          <w:p w14:paraId="3CB2C8E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131" w:type="dxa"/>
          </w:tcPr>
          <w:p w14:paraId="31D1C56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Immediate</w:t>
            </w:r>
          </w:p>
        </w:tc>
        <w:tc>
          <w:tcPr>
            <w:tcW w:w="2657" w:type="dxa"/>
          </w:tcPr>
          <w:p w14:paraId="578E831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FACE, conservation NGOs, academic institutions, national hunting federations, national wildlife agencies.</w:t>
            </w:r>
          </w:p>
          <w:p w14:paraId="1148DE0F" w14:textId="77777777" w:rsidR="00C96521" w:rsidRPr="006A313E" w:rsidRDefault="00C96521" w:rsidP="00C96521">
            <w:pPr>
              <w:widowControl/>
              <w:autoSpaceDE/>
              <w:autoSpaceDN/>
              <w:adjustRightInd/>
              <w:rPr>
                <w:rFonts w:ascii="Arial" w:hAnsi="Arial" w:cs="Arial"/>
                <w:sz w:val="18"/>
                <w:szCs w:val="18"/>
                <w:lang w:val="en-GB"/>
              </w:rPr>
            </w:pPr>
          </w:p>
        </w:tc>
        <w:tc>
          <w:tcPr>
            <w:tcW w:w="2419" w:type="dxa"/>
          </w:tcPr>
          <w:p w14:paraId="337B95D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3.1.1</w:t>
            </w:r>
          </w:p>
          <w:p w14:paraId="2730B31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7.2.2</w:t>
            </w:r>
          </w:p>
        </w:tc>
      </w:tr>
      <w:tr w:rsidR="00C96521" w:rsidRPr="006A313E" w14:paraId="3171EE89" w14:textId="77777777" w:rsidTr="00C96521">
        <w:tc>
          <w:tcPr>
            <w:tcW w:w="2326" w:type="dxa"/>
            <w:vMerge w:val="restart"/>
          </w:tcPr>
          <w:p w14:paraId="072E87E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3.2 Ensure that hunting bags are informed by an adaptive harvesting modelling framework by [</w:t>
            </w:r>
            <w:r w:rsidRPr="006A313E">
              <w:rPr>
                <w:rFonts w:ascii="Arial" w:hAnsi="Arial" w:cs="Arial"/>
                <w:i/>
                <w:sz w:val="18"/>
                <w:szCs w:val="18"/>
                <w:lang w:val="en-GB"/>
              </w:rPr>
              <w:t>2020</w:t>
            </w:r>
            <w:r w:rsidRPr="006A313E">
              <w:rPr>
                <w:rFonts w:ascii="Arial" w:hAnsi="Arial" w:cs="Arial"/>
                <w:sz w:val="18"/>
                <w:szCs w:val="18"/>
                <w:lang w:val="en-GB"/>
              </w:rPr>
              <w:t>].</w:t>
            </w:r>
          </w:p>
        </w:tc>
        <w:tc>
          <w:tcPr>
            <w:tcW w:w="4516" w:type="dxa"/>
          </w:tcPr>
          <w:p w14:paraId="1F21050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3.2.1</w:t>
            </w:r>
          </w:p>
          <w:p w14:paraId="50CBDD40" w14:textId="04459F9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implement a robust adaptive harvest modelling framework for the hunting of </w:t>
            </w:r>
            <w:r w:rsidR="008807BF" w:rsidRPr="006A313E">
              <w:rPr>
                <w:rFonts w:ascii="Arial" w:hAnsi="Arial" w:cs="Arial"/>
                <w:sz w:val="18"/>
                <w:szCs w:val="18"/>
                <w:lang w:val="en-GB"/>
              </w:rPr>
              <w:t>T</w:t>
            </w:r>
            <w:r w:rsidRPr="006A313E">
              <w:rPr>
                <w:rFonts w:ascii="Arial" w:hAnsi="Arial" w:cs="Arial"/>
                <w:sz w:val="18"/>
                <w:szCs w:val="18"/>
                <w:lang w:val="en-GB"/>
              </w:rPr>
              <w:t xml:space="preserve">urtle </w:t>
            </w:r>
            <w:r w:rsidR="008807BF" w:rsidRPr="006A313E">
              <w:rPr>
                <w:rFonts w:ascii="Arial" w:hAnsi="Arial" w:cs="Arial"/>
                <w:sz w:val="18"/>
                <w:szCs w:val="18"/>
                <w:lang w:val="en-GB"/>
              </w:rPr>
              <w:t>D</w:t>
            </w:r>
            <w:r w:rsidRPr="006A313E">
              <w:rPr>
                <w:rFonts w:ascii="Arial" w:hAnsi="Arial" w:cs="Arial"/>
                <w:sz w:val="18"/>
                <w:szCs w:val="18"/>
                <w:lang w:val="en-GB"/>
              </w:rPr>
              <w:t>ove for each flyway, based on demographic and hunting data, with yearly planning and assessment of national and local hunting quotas and seasons, coordinated by an International Turtle Dove Sustainable Harvest Working Group.</w:t>
            </w:r>
          </w:p>
          <w:p w14:paraId="37F3C10F" w14:textId="77777777" w:rsidR="00C96521" w:rsidRPr="006A313E" w:rsidRDefault="00C96521" w:rsidP="00C96521">
            <w:pPr>
              <w:widowControl/>
              <w:autoSpaceDE/>
              <w:autoSpaceDN/>
              <w:adjustRightInd/>
              <w:rPr>
                <w:rFonts w:ascii="Arial" w:hAnsi="Arial" w:cs="Arial"/>
                <w:sz w:val="18"/>
                <w:szCs w:val="18"/>
                <w:lang w:val="en-GB"/>
              </w:rPr>
            </w:pPr>
          </w:p>
          <w:p w14:paraId="1D422A01" w14:textId="77777777" w:rsidR="00C96521" w:rsidRPr="006A313E" w:rsidRDefault="00C96521" w:rsidP="00C96521">
            <w:pPr>
              <w:widowControl/>
              <w:autoSpaceDE/>
              <w:autoSpaceDN/>
              <w:adjustRightInd/>
              <w:rPr>
                <w:rFonts w:ascii="Arial" w:hAnsi="Arial" w:cs="Arial"/>
                <w:sz w:val="18"/>
                <w:szCs w:val="18"/>
                <w:lang w:val="en-GB"/>
              </w:rPr>
            </w:pPr>
          </w:p>
          <w:p w14:paraId="0E521BC4" w14:textId="77777777" w:rsidR="00C96521" w:rsidRPr="006A313E" w:rsidRDefault="00C96521" w:rsidP="00C96521">
            <w:pPr>
              <w:widowControl/>
              <w:autoSpaceDE/>
              <w:autoSpaceDN/>
              <w:adjustRightInd/>
              <w:rPr>
                <w:rFonts w:ascii="Arial" w:hAnsi="Arial" w:cs="Arial"/>
                <w:sz w:val="18"/>
                <w:szCs w:val="18"/>
                <w:lang w:val="en-GB"/>
              </w:rPr>
            </w:pPr>
          </w:p>
          <w:p w14:paraId="7EFFF8E7" w14:textId="77777777" w:rsidR="00C96521" w:rsidRPr="006A313E" w:rsidRDefault="00C96521" w:rsidP="00C96521">
            <w:pPr>
              <w:widowControl/>
              <w:autoSpaceDE/>
              <w:autoSpaceDN/>
              <w:adjustRightInd/>
              <w:rPr>
                <w:rFonts w:ascii="Arial" w:hAnsi="Arial" w:cs="Arial"/>
                <w:sz w:val="18"/>
                <w:szCs w:val="18"/>
                <w:lang w:val="en-GB"/>
              </w:rPr>
            </w:pPr>
          </w:p>
          <w:p w14:paraId="3CFCB9CB" w14:textId="77777777" w:rsidR="00C96521" w:rsidRPr="006A313E" w:rsidRDefault="00C96521" w:rsidP="00C96521">
            <w:pPr>
              <w:widowControl/>
              <w:autoSpaceDE/>
              <w:autoSpaceDN/>
              <w:adjustRightInd/>
              <w:rPr>
                <w:rFonts w:ascii="Arial" w:hAnsi="Arial" w:cs="Arial"/>
                <w:sz w:val="18"/>
                <w:szCs w:val="18"/>
                <w:lang w:val="en-GB"/>
              </w:rPr>
            </w:pPr>
          </w:p>
          <w:p w14:paraId="46706E99" w14:textId="77777777" w:rsidR="00C96521" w:rsidRPr="006A313E" w:rsidRDefault="00C96521" w:rsidP="00C96521">
            <w:pPr>
              <w:widowControl/>
              <w:autoSpaceDE/>
              <w:autoSpaceDN/>
              <w:adjustRightInd/>
              <w:rPr>
                <w:rFonts w:ascii="Arial" w:hAnsi="Arial" w:cs="Arial"/>
                <w:sz w:val="18"/>
                <w:szCs w:val="18"/>
                <w:lang w:val="en-GB"/>
              </w:rPr>
            </w:pPr>
          </w:p>
          <w:p w14:paraId="624FB2DB" w14:textId="77777777" w:rsidR="00C96521" w:rsidRPr="006A313E" w:rsidRDefault="00C96521" w:rsidP="00C96521">
            <w:pPr>
              <w:widowControl/>
              <w:autoSpaceDE/>
              <w:autoSpaceDN/>
              <w:adjustRightInd/>
              <w:rPr>
                <w:rFonts w:ascii="Arial" w:hAnsi="Arial" w:cs="Arial"/>
                <w:sz w:val="18"/>
                <w:szCs w:val="18"/>
                <w:lang w:val="en-GB"/>
              </w:rPr>
            </w:pPr>
          </w:p>
          <w:p w14:paraId="268D5C25" w14:textId="77777777" w:rsidR="00C96521" w:rsidRPr="006A313E" w:rsidRDefault="00C96521" w:rsidP="00C96521">
            <w:pPr>
              <w:widowControl/>
              <w:autoSpaceDE/>
              <w:autoSpaceDN/>
              <w:adjustRightInd/>
              <w:rPr>
                <w:rFonts w:ascii="Arial" w:hAnsi="Arial" w:cs="Arial"/>
                <w:sz w:val="18"/>
                <w:szCs w:val="18"/>
                <w:lang w:val="en-GB"/>
              </w:rPr>
            </w:pPr>
          </w:p>
          <w:p w14:paraId="1814B01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 with hunting.</w:t>
            </w:r>
          </w:p>
        </w:tc>
        <w:tc>
          <w:tcPr>
            <w:tcW w:w="1126" w:type="dxa"/>
          </w:tcPr>
          <w:p w14:paraId="6CB4221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131" w:type="dxa"/>
          </w:tcPr>
          <w:p w14:paraId="558DC8D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3B5EC85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INTERNATINAL TURTLE DOVE SUSTAINABLE HARVEST WORKING GROUP</w:t>
            </w:r>
            <w:r w:rsidRPr="006A313E">
              <w:rPr>
                <w:rFonts w:ascii="Arial" w:hAnsi="Arial" w:cs="Arial"/>
                <w:sz w:val="18"/>
                <w:szCs w:val="18"/>
                <w:lang w:val="en-GB"/>
              </w:rPr>
              <w:t xml:space="preserve"> (consisting of EU Member States, conservation NGOs, FACE, academic institutions).</w:t>
            </w:r>
          </w:p>
        </w:tc>
        <w:tc>
          <w:tcPr>
            <w:tcW w:w="2419" w:type="dxa"/>
          </w:tcPr>
          <w:p w14:paraId="3E3831C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Nature Directives Fitness Check Guide; EU Sustainable Hunting Guide; data from new studies commissioned under objective 8. AEWA Guidelines on Sustainable Harvest of Migratory Waterbirds. Existing European approaches using adaptive harvest management under AEWA. </w:t>
            </w:r>
          </w:p>
          <w:p w14:paraId="0CD9A0E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3.1.1</w:t>
            </w:r>
          </w:p>
          <w:p w14:paraId="13FE144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3.1.2</w:t>
            </w:r>
          </w:p>
          <w:p w14:paraId="155C021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7.2.2</w:t>
            </w:r>
          </w:p>
          <w:p w14:paraId="05CA001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7.7.1</w:t>
            </w:r>
          </w:p>
        </w:tc>
      </w:tr>
      <w:tr w:rsidR="00C96521" w:rsidRPr="006A313E" w14:paraId="4C4FFE9A" w14:textId="77777777" w:rsidTr="00C96521">
        <w:tc>
          <w:tcPr>
            <w:tcW w:w="2326" w:type="dxa"/>
            <w:vMerge/>
          </w:tcPr>
          <w:p w14:paraId="7AD8CD7D"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6A503EC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3.2.2</w:t>
            </w:r>
          </w:p>
          <w:p w14:paraId="23862B3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Collect robust and accurate hunting bag data using compatible standardised protocols, including on-the-</w:t>
            </w:r>
            <w:r w:rsidRPr="006A313E">
              <w:rPr>
                <w:rFonts w:ascii="Arial" w:hAnsi="Arial" w:cs="Arial"/>
                <w:sz w:val="18"/>
                <w:szCs w:val="18"/>
                <w:lang w:val="en-GB"/>
              </w:rPr>
              <w:lastRenderedPageBreak/>
              <w:t>spot reporting of bagged birds. For EU Member States, reporting of hunting bag data is introduced to the 2013-2018 Article 12 reporting format (Birds Directive).</w:t>
            </w:r>
          </w:p>
          <w:p w14:paraId="6D33E624" w14:textId="77777777" w:rsidR="00C96521" w:rsidRPr="006A313E" w:rsidRDefault="00C96521" w:rsidP="00C96521">
            <w:pPr>
              <w:widowControl/>
              <w:autoSpaceDE/>
              <w:autoSpaceDN/>
              <w:adjustRightInd/>
              <w:rPr>
                <w:rFonts w:ascii="Arial" w:hAnsi="Arial" w:cs="Arial"/>
                <w:sz w:val="18"/>
                <w:szCs w:val="18"/>
                <w:lang w:val="en-GB"/>
              </w:rPr>
            </w:pPr>
          </w:p>
          <w:p w14:paraId="7B10F02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Report hunting bag statistics annually to the Turtle Dove Harvest Working Group. Calculate a yearly hunting bag statistic for each Range State, based on annual collections of hunting bag data.</w:t>
            </w:r>
          </w:p>
          <w:p w14:paraId="53D92855" w14:textId="77777777" w:rsidR="00C96521" w:rsidRPr="006A313E" w:rsidRDefault="00C96521" w:rsidP="00C96521">
            <w:pPr>
              <w:widowControl/>
              <w:autoSpaceDE/>
              <w:autoSpaceDN/>
              <w:adjustRightInd/>
              <w:rPr>
                <w:rFonts w:ascii="Arial" w:hAnsi="Arial" w:cs="Arial"/>
                <w:sz w:val="18"/>
                <w:szCs w:val="18"/>
                <w:lang w:val="en-GB"/>
              </w:rPr>
            </w:pPr>
          </w:p>
          <w:p w14:paraId="4CED38F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126" w:type="dxa"/>
          </w:tcPr>
          <w:p w14:paraId="43AE5D4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High</w:t>
            </w:r>
          </w:p>
        </w:tc>
        <w:tc>
          <w:tcPr>
            <w:tcW w:w="1131" w:type="dxa"/>
          </w:tcPr>
          <w:p w14:paraId="133C491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0ACC3C2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FACE, national hunting federations</w:t>
            </w:r>
          </w:p>
        </w:tc>
        <w:tc>
          <w:tcPr>
            <w:tcW w:w="2419" w:type="dxa"/>
          </w:tcPr>
          <w:p w14:paraId="582CDE1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7.7.1</w:t>
            </w:r>
          </w:p>
        </w:tc>
      </w:tr>
      <w:tr w:rsidR="00C96521" w:rsidRPr="006A313E" w14:paraId="3A58C861" w14:textId="77777777" w:rsidTr="00C96521">
        <w:tc>
          <w:tcPr>
            <w:tcW w:w="2326" w:type="dxa"/>
            <w:vMerge w:val="restart"/>
          </w:tcPr>
          <w:p w14:paraId="33E73E46" w14:textId="6E5EE095"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3.3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specific Sustainable Hunting Initiative promoted to hunters/hunting organisations by [</w:t>
            </w:r>
            <w:r w:rsidRPr="006A313E">
              <w:rPr>
                <w:rFonts w:ascii="Arial" w:hAnsi="Arial" w:cs="Arial"/>
                <w:i/>
                <w:sz w:val="18"/>
                <w:szCs w:val="18"/>
                <w:lang w:val="en-GB"/>
              </w:rPr>
              <w:t>2019</w:t>
            </w:r>
            <w:r w:rsidRPr="006A313E">
              <w:rPr>
                <w:rFonts w:ascii="Arial" w:hAnsi="Arial" w:cs="Arial"/>
                <w:sz w:val="18"/>
                <w:szCs w:val="18"/>
                <w:lang w:val="en-GB"/>
              </w:rPr>
              <w:t>].</w:t>
            </w:r>
          </w:p>
        </w:tc>
        <w:tc>
          <w:tcPr>
            <w:tcW w:w="4516" w:type="dxa"/>
          </w:tcPr>
          <w:p w14:paraId="494CE59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3.3.1</w:t>
            </w:r>
          </w:p>
          <w:p w14:paraId="26108363" w14:textId="22B03DA4"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 xml:space="preserve">specific Sustainable Hunting Initiative, to include good hunting practice, especially at bottle-necks and concentrations. </w:t>
            </w:r>
          </w:p>
          <w:p w14:paraId="628D22E9" w14:textId="77777777" w:rsidR="00C96521" w:rsidRPr="006A313E" w:rsidRDefault="00C96521" w:rsidP="00C96521">
            <w:pPr>
              <w:widowControl/>
              <w:autoSpaceDE/>
              <w:autoSpaceDN/>
              <w:adjustRightInd/>
              <w:rPr>
                <w:rFonts w:ascii="Arial" w:hAnsi="Arial" w:cs="Arial"/>
                <w:sz w:val="18"/>
                <w:szCs w:val="18"/>
                <w:lang w:val="en-GB"/>
              </w:rPr>
            </w:pPr>
          </w:p>
          <w:p w14:paraId="5B813C74" w14:textId="37BA1B28"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Applicable to: all Range States with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hunting.</w:t>
            </w:r>
          </w:p>
        </w:tc>
        <w:tc>
          <w:tcPr>
            <w:tcW w:w="1126" w:type="dxa"/>
          </w:tcPr>
          <w:p w14:paraId="07F918F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131" w:type="dxa"/>
          </w:tcPr>
          <w:p w14:paraId="7A407C7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Immediate</w:t>
            </w:r>
          </w:p>
        </w:tc>
        <w:tc>
          <w:tcPr>
            <w:tcW w:w="2657" w:type="dxa"/>
          </w:tcPr>
          <w:p w14:paraId="16F5052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FACE, NATIONAL HUNTING FEDERATIONS</w:t>
            </w:r>
            <w:r w:rsidRPr="006A313E">
              <w:rPr>
                <w:rFonts w:ascii="Arial" w:hAnsi="Arial" w:cs="Arial"/>
                <w:sz w:val="18"/>
                <w:szCs w:val="18"/>
                <w:lang w:val="en-GB"/>
              </w:rPr>
              <w:t>.</w:t>
            </w:r>
          </w:p>
        </w:tc>
        <w:tc>
          <w:tcPr>
            <w:tcW w:w="2419" w:type="dxa"/>
          </w:tcPr>
          <w:p w14:paraId="50D2998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2.2.1 and input from Conservation NGOs.</w:t>
            </w:r>
          </w:p>
        </w:tc>
      </w:tr>
      <w:tr w:rsidR="00C96521" w:rsidRPr="006A313E" w14:paraId="2BD1F07E" w14:textId="77777777" w:rsidTr="00C96521">
        <w:tc>
          <w:tcPr>
            <w:tcW w:w="2326" w:type="dxa"/>
            <w:vMerge/>
          </w:tcPr>
          <w:p w14:paraId="7B0C0022"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166E22D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3.3.2</w:t>
            </w:r>
          </w:p>
          <w:p w14:paraId="1A3A9F8B" w14:textId="59E72CD0"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The International Council for Game and Wildlife Conservation promotes good practice hunting tourism of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outside Europe.</w:t>
            </w:r>
          </w:p>
          <w:p w14:paraId="56075563" w14:textId="77777777" w:rsidR="00C96521" w:rsidRPr="006A313E" w:rsidRDefault="00C96521" w:rsidP="00C96521">
            <w:pPr>
              <w:widowControl/>
              <w:autoSpaceDE/>
              <w:autoSpaceDN/>
              <w:adjustRightInd/>
              <w:rPr>
                <w:rFonts w:ascii="Arial" w:hAnsi="Arial" w:cs="Arial"/>
                <w:sz w:val="18"/>
                <w:szCs w:val="18"/>
                <w:lang w:val="en-GB"/>
              </w:rPr>
            </w:pPr>
          </w:p>
          <w:p w14:paraId="7263922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Range States where hunting tourism occurs.</w:t>
            </w:r>
          </w:p>
        </w:tc>
        <w:tc>
          <w:tcPr>
            <w:tcW w:w="1126" w:type="dxa"/>
          </w:tcPr>
          <w:p w14:paraId="70EABE2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1131" w:type="dxa"/>
          </w:tcPr>
          <w:p w14:paraId="788EC6A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1867A35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FACE, NATIONAL HUNTING FEDERATIONS</w:t>
            </w:r>
            <w:r w:rsidRPr="006A313E">
              <w:rPr>
                <w:rFonts w:ascii="Arial" w:hAnsi="Arial" w:cs="Arial"/>
                <w:sz w:val="18"/>
                <w:szCs w:val="18"/>
                <w:lang w:val="en-GB"/>
              </w:rPr>
              <w:t>.</w:t>
            </w:r>
          </w:p>
        </w:tc>
        <w:tc>
          <w:tcPr>
            <w:tcW w:w="2419" w:type="dxa"/>
          </w:tcPr>
          <w:p w14:paraId="5AF26D7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3.4.1</w:t>
            </w:r>
          </w:p>
          <w:p w14:paraId="215E49C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3.4.2</w:t>
            </w:r>
          </w:p>
          <w:p w14:paraId="3941C93D" w14:textId="77777777" w:rsidR="00C96521" w:rsidRPr="006A313E" w:rsidRDefault="00C96521" w:rsidP="00C96521">
            <w:pPr>
              <w:widowControl/>
              <w:autoSpaceDE/>
              <w:autoSpaceDN/>
              <w:adjustRightInd/>
              <w:rPr>
                <w:rFonts w:ascii="Arial" w:hAnsi="Arial" w:cs="Arial"/>
                <w:sz w:val="18"/>
                <w:szCs w:val="18"/>
                <w:lang w:val="en-GB"/>
              </w:rPr>
            </w:pPr>
          </w:p>
        </w:tc>
      </w:tr>
      <w:tr w:rsidR="00C96521" w:rsidRPr="006A313E" w14:paraId="5A5A035A" w14:textId="77777777" w:rsidTr="00C96521">
        <w:tc>
          <w:tcPr>
            <w:tcW w:w="2326" w:type="dxa"/>
            <w:vMerge w:val="restart"/>
          </w:tcPr>
          <w:p w14:paraId="3003E89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3.4 Consistent turtle-dove hunting legislation across the flyway by [</w:t>
            </w:r>
            <w:r w:rsidRPr="006A313E">
              <w:rPr>
                <w:rFonts w:ascii="Arial" w:hAnsi="Arial" w:cs="Arial"/>
                <w:i/>
                <w:sz w:val="18"/>
                <w:szCs w:val="18"/>
                <w:lang w:val="en-GB"/>
              </w:rPr>
              <w:t>2020</w:t>
            </w:r>
            <w:r w:rsidRPr="006A313E">
              <w:rPr>
                <w:rFonts w:ascii="Arial" w:hAnsi="Arial" w:cs="Arial"/>
                <w:sz w:val="18"/>
                <w:szCs w:val="18"/>
                <w:lang w:val="en-GB"/>
              </w:rPr>
              <w:t>].</w:t>
            </w:r>
          </w:p>
        </w:tc>
        <w:tc>
          <w:tcPr>
            <w:tcW w:w="4516" w:type="dxa"/>
          </w:tcPr>
          <w:p w14:paraId="20FFBCE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3.4.1</w:t>
            </w:r>
          </w:p>
          <w:p w14:paraId="0DFDE88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Carry out a survey of national legislation across the flyway legislation.</w:t>
            </w:r>
          </w:p>
          <w:p w14:paraId="60CDF58E" w14:textId="77777777" w:rsidR="00C96521" w:rsidRPr="006A313E" w:rsidRDefault="00C96521" w:rsidP="00C96521">
            <w:pPr>
              <w:widowControl/>
              <w:autoSpaceDE/>
              <w:autoSpaceDN/>
              <w:adjustRightInd/>
              <w:rPr>
                <w:rFonts w:ascii="Arial" w:hAnsi="Arial" w:cs="Arial"/>
                <w:sz w:val="18"/>
                <w:szCs w:val="18"/>
                <w:lang w:val="en-GB"/>
              </w:rPr>
            </w:pPr>
          </w:p>
          <w:p w14:paraId="58522E1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126" w:type="dxa"/>
          </w:tcPr>
          <w:p w14:paraId="63BFED1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131" w:type="dxa"/>
          </w:tcPr>
          <w:p w14:paraId="54F7946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3904EF5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FACE</w:t>
            </w:r>
            <w:r w:rsidRPr="006A313E">
              <w:rPr>
                <w:rFonts w:ascii="Arial" w:hAnsi="Arial" w:cs="Arial"/>
                <w:sz w:val="18"/>
                <w:szCs w:val="18"/>
                <w:lang w:val="en-GB"/>
              </w:rPr>
              <w:t>, conservation NGOs, national hunting federations, national wildlife agencies</w:t>
            </w:r>
          </w:p>
        </w:tc>
        <w:tc>
          <w:tcPr>
            <w:tcW w:w="2419" w:type="dxa"/>
          </w:tcPr>
          <w:p w14:paraId="0D5F824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EU Sustainable Hunting Guide, national legislation.</w:t>
            </w:r>
          </w:p>
          <w:p w14:paraId="2414A55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Birds Directive</w:t>
            </w:r>
          </w:p>
          <w:p w14:paraId="47170CFC" w14:textId="77777777" w:rsidR="00C96521" w:rsidRPr="006A313E" w:rsidRDefault="00C96521" w:rsidP="00C96521">
            <w:pPr>
              <w:widowControl/>
              <w:autoSpaceDE/>
              <w:autoSpaceDN/>
              <w:adjustRightInd/>
              <w:rPr>
                <w:rFonts w:ascii="Arial" w:hAnsi="Arial" w:cs="Arial"/>
                <w:color w:val="FF0000"/>
                <w:sz w:val="18"/>
                <w:szCs w:val="18"/>
                <w:lang w:val="en-GB"/>
              </w:rPr>
            </w:pPr>
          </w:p>
        </w:tc>
      </w:tr>
      <w:tr w:rsidR="00C96521" w:rsidRPr="006A313E" w14:paraId="605A5F31" w14:textId="77777777" w:rsidTr="00C96521">
        <w:tc>
          <w:tcPr>
            <w:tcW w:w="2326" w:type="dxa"/>
            <w:vMerge/>
          </w:tcPr>
          <w:p w14:paraId="4A3F6B70"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7E09760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3.4.2</w:t>
            </w:r>
          </w:p>
          <w:p w14:paraId="4C031D80" w14:textId="5B01EAD9"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Ensure National Threat Status is up</w:t>
            </w:r>
            <w:r w:rsidR="008807BF" w:rsidRPr="006A313E">
              <w:rPr>
                <w:rFonts w:ascii="Arial" w:hAnsi="Arial" w:cs="Arial"/>
                <w:sz w:val="18"/>
                <w:szCs w:val="18"/>
                <w:lang w:val="en-GB"/>
              </w:rPr>
              <w:t xml:space="preserve"> </w:t>
            </w:r>
            <w:r w:rsidRPr="006A313E">
              <w:rPr>
                <w:rFonts w:ascii="Arial" w:hAnsi="Arial" w:cs="Arial"/>
                <w:sz w:val="18"/>
                <w:szCs w:val="18"/>
                <w:lang w:val="en-GB"/>
              </w:rPr>
              <w:t>to</w:t>
            </w:r>
            <w:r w:rsidR="008807BF" w:rsidRPr="006A313E">
              <w:rPr>
                <w:rFonts w:ascii="Arial" w:hAnsi="Arial" w:cs="Arial"/>
                <w:sz w:val="18"/>
                <w:szCs w:val="18"/>
                <w:lang w:val="en-GB"/>
              </w:rPr>
              <w:t xml:space="preserve"> </w:t>
            </w:r>
            <w:r w:rsidRPr="006A313E">
              <w:rPr>
                <w:rFonts w:ascii="Arial" w:hAnsi="Arial" w:cs="Arial"/>
                <w:sz w:val="18"/>
                <w:szCs w:val="18"/>
                <w:lang w:val="en-GB"/>
              </w:rPr>
              <w:t>date in relation to latest available information.</w:t>
            </w:r>
          </w:p>
          <w:p w14:paraId="2E8FA1AD" w14:textId="77777777" w:rsidR="00C96521" w:rsidRPr="006A313E" w:rsidRDefault="00C96521" w:rsidP="00C96521">
            <w:pPr>
              <w:widowControl/>
              <w:autoSpaceDE/>
              <w:autoSpaceDN/>
              <w:adjustRightInd/>
              <w:rPr>
                <w:rFonts w:ascii="Arial" w:hAnsi="Arial" w:cs="Arial"/>
                <w:sz w:val="18"/>
                <w:szCs w:val="18"/>
                <w:lang w:val="en-GB"/>
              </w:rPr>
            </w:pPr>
          </w:p>
          <w:p w14:paraId="573A2C1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126" w:type="dxa"/>
          </w:tcPr>
          <w:p w14:paraId="6DBA115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131" w:type="dxa"/>
          </w:tcPr>
          <w:p w14:paraId="1638568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0A5B5E5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conservation NGOs, FACE</w:t>
            </w:r>
          </w:p>
        </w:tc>
        <w:tc>
          <w:tcPr>
            <w:tcW w:w="2419" w:type="dxa"/>
          </w:tcPr>
          <w:p w14:paraId="6E3E1FE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3.4.1</w:t>
            </w:r>
          </w:p>
        </w:tc>
      </w:tr>
      <w:tr w:rsidR="00C96521" w:rsidRPr="006A313E" w14:paraId="013EA692" w14:textId="77777777" w:rsidTr="00C96521">
        <w:tc>
          <w:tcPr>
            <w:tcW w:w="2326" w:type="dxa"/>
            <w:vMerge/>
          </w:tcPr>
          <w:p w14:paraId="0602D443"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3595D2A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3.4.3</w:t>
            </w:r>
          </w:p>
          <w:p w14:paraId="4FC00380" w14:textId="09D87A42"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Lobby to ensure that national legislation is appropriate to ensure hunting of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is consistent with harvest management measures and enforcement carried out.</w:t>
            </w:r>
          </w:p>
          <w:p w14:paraId="14531860" w14:textId="77777777" w:rsidR="00C96521" w:rsidRPr="006A313E" w:rsidRDefault="00C96521" w:rsidP="00C96521">
            <w:pPr>
              <w:widowControl/>
              <w:autoSpaceDE/>
              <w:autoSpaceDN/>
              <w:adjustRightInd/>
              <w:rPr>
                <w:rFonts w:ascii="Arial" w:hAnsi="Arial" w:cs="Arial"/>
                <w:sz w:val="18"/>
                <w:szCs w:val="18"/>
                <w:lang w:val="en-GB"/>
              </w:rPr>
            </w:pPr>
          </w:p>
          <w:p w14:paraId="52DACA4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Applicable to: all Range States where there is hunting.</w:t>
            </w:r>
          </w:p>
        </w:tc>
        <w:tc>
          <w:tcPr>
            <w:tcW w:w="1126" w:type="dxa"/>
          </w:tcPr>
          <w:p w14:paraId="2E8FEB5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lastRenderedPageBreak/>
              <w:t>High</w:t>
            </w:r>
          </w:p>
        </w:tc>
        <w:tc>
          <w:tcPr>
            <w:tcW w:w="1131" w:type="dxa"/>
          </w:tcPr>
          <w:p w14:paraId="6244AD7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7FBEA868"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CONSERVATION NGOs</w:t>
            </w:r>
          </w:p>
        </w:tc>
        <w:tc>
          <w:tcPr>
            <w:tcW w:w="2419" w:type="dxa"/>
          </w:tcPr>
          <w:p w14:paraId="504F8E3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3.4.1</w:t>
            </w:r>
          </w:p>
          <w:p w14:paraId="1710F97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3.4.2</w:t>
            </w:r>
          </w:p>
        </w:tc>
      </w:tr>
      <w:tr w:rsidR="00C96521" w:rsidRPr="006A313E" w14:paraId="76DD282A" w14:textId="77777777" w:rsidTr="00C96521">
        <w:tc>
          <w:tcPr>
            <w:tcW w:w="2326" w:type="dxa"/>
            <w:vMerge/>
          </w:tcPr>
          <w:p w14:paraId="5B88D0D5"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2AC0522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3.4.4</w:t>
            </w:r>
          </w:p>
          <w:p w14:paraId="2F1C47C9" w14:textId="3B505200"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Ensure links to the Convention on Biological Diversity through inclusion of the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 xml:space="preserve">in National Biodiversity Strategy and Action Plans, ensuring regular national reporting, particularly for non-EU </w:t>
            </w:r>
            <w:r w:rsidR="008807BF" w:rsidRPr="006A313E">
              <w:rPr>
                <w:rFonts w:ascii="Arial" w:hAnsi="Arial" w:cs="Arial"/>
                <w:sz w:val="18"/>
                <w:szCs w:val="18"/>
                <w:lang w:val="en-GB"/>
              </w:rPr>
              <w:t>R</w:t>
            </w:r>
            <w:r w:rsidRPr="006A313E">
              <w:rPr>
                <w:rFonts w:ascii="Arial" w:hAnsi="Arial" w:cs="Arial"/>
                <w:sz w:val="18"/>
                <w:szCs w:val="18"/>
                <w:lang w:val="en-GB"/>
              </w:rPr>
              <w:t xml:space="preserve">ange </w:t>
            </w:r>
            <w:r w:rsidR="008807BF" w:rsidRPr="006A313E">
              <w:rPr>
                <w:rFonts w:ascii="Arial" w:hAnsi="Arial" w:cs="Arial"/>
                <w:sz w:val="18"/>
                <w:szCs w:val="18"/>
                <w:lang w:val="en-GB"/>
              </w:rPr>
              <w:t>S</w:t>
            </w:r>
            <w:r w:rsidRPr="006A313E">
              <w:rPr>
                <w:rFonts w:ascii="Arial" w:hAnsi="Arial" w:cs="Arial"/>
                <w:sz w:val="18"/>
                <w:szCs w:val="18"/>
                <w:lang w:val="en-GB"/>
              </w:rPr>
              <w:t>tates not covered by Article 12 reporting.</w:t>
            </w:r>
          </w:p>
          <w:p w14:paraId="6AFAA489" w14:textId="77777777" w:rsidR="00C96521" w:rsidRPr="006A313E" w:rsidRDefault="00C96521" w:rsidP="00C96521">
            <w:pPr>
              <w:widowControl/>
              <w:autoSpaceDE/>
              <w:autoSpaceDN/>
              <w:adjustRightInd/>
              <w:rPr>
                <w:rFonts w:ascii="Arial" w:hAnsi="Arial" w:cs="Arial"/>
                <w:sz w:val="18"/>
                <w:szCs w:val="18"/>
                <w:lang w:val="en-GB"/>
              </w:rPr>
            </w:pPr>
          </w:p>
          <w:p w14:paraId="2C8716A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126" w:type="dxa"/>
          </w:tcPr>
          <w:p w14:paraId="557CDA4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131" w:type="dxa"/>
          </w:tcPr>
          <w:p w14:paraId="31CFFA2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12BC1112"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GOVERNMENTS</w:t>
            </w:r>
          </w:p>
        </w:tc>
        <w:tc>
          <w:tcPr>
            <w:tcW w:w="2419" w:type="dxa"/>
          </w:tcPr>
          <w:p w14:paraId="53E798C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National Biodiversity Strategy and Action Plans.</w:t>
            </w:r>
          </w:p>
        </w:tc>
      </w:tr>
    </w:tbl>
    <w:p w14:paraId="1D5AC899"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3ECE5A71"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340"/>
        <w:gridCol w:w="4572"/>
        <w:gridCol w:w="993"/>
        <w:gridCol w:w="1134"/>
        <w:gridCol w:w="2693"/>
        <w:gridCol w:w="2443"/>
      </w:tblGrid>
      <w:tr w:rsidR="00C96521" w:rsidRPr="006437E1" w14:paraId="21CE0FF0" w14:textId="77777777" w:rsidTr="006A313E">
        <w:trPr>
          <w:tblHeader/>
        </w:trPr>
        <w:tc>
          <w:tcPr>
            <w:tcW w:w="14175" w:type="dxa"/>
            <w:gridSpan w:val="6"/>
            <w:shd w:val="clear" w:color="auto" w:fill="BFBFBF" w:themeFill="background1" w:themeFillShade="BF"/>
          </w:tcPr>
          <w:p w14:paraId="0D70781F" w14:textId="28F4306E"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Objective 4: Good quantity and quality of suitable </w:t>
            </w:r>
            <w:r w:rsidR="008807BF" w:rsidRPr="006437E1">
              <w:rPr>
                <w:rFonts w:ascii="Arial" w:hAnsi="Arial" w:cs="Arial"/>
                <w:sz w:val="18"/>
                <w:szCs w:val="18"/>
                <w:lang w:val="en-GB"/>
              </w:rPr>
              <w:t xml:space="preserve">Turtle Dove </w:t>
            </w:r>
            <w:r w:rsidRPr="006437E1">
              <w:rPr>
                <w:rFonts w:ascii="Arial" w:hAnsi="Arial" w:cs="Arial"/>
                <w:sz w:val="18"/>
                <w:szCs w:val="18"/>
                <w:lang w:val="en-GB"/>
              </w:rPr>
              <w:t>habitat, with available and accessible water and food, are maintained and increased at key sites for stop-over and overwintering.</w:t>
            </w:r>
          </w:p>
          <w:p w14:paraId="2EBCF34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Threat - Lack of one or more of the three essential requirements at key sites while on migration/overwintering: food, water, roosting locations (High)</w:t>
            </w:r>
          </w:p>
        </w:tc>
      </w:tr>
      <w:tr w:rsidR="00C96521" w:rsidRPr="006437E1" w14:paraId="1C4AD727" w14:textId="77777777" w:rsidTr="00C96521">
        <w:trPr>
          <w:tblHeader/>
        </w:trPr>
        <w:tc>
          <w:tcPr>
            <w:tcW w:w="2340" w:type="dxa"/>
            <w:shd w:val="clear" w:color="auto" w:fill="D9D9D9"/>
          </w:tcPr>
          <w:p w14:paraId="79462A8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Result</w:t>
            </w:r>
          </w:p>
        </w:tc>
        <w:tc>
          <w:tcPr>
            <w:tcW w:w="4572" w:type="dxa"/>
            <w:shd w:val="clear" w:color="auto" w:fill="D9D9D9"/>
          </w:tcPr>
          <w:p w14:paraId="13DB3E3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and scope</w:t>
            </w:r>
          </w:p>
        </w:tc>
        <w:tc>
          <w:tcPr>
            <w:tcW w:w="993" w:type="dxa"/>
            <w:shd w:val="clear" w:color="auto" w:fill="D9D9D9"/>
          </w:tcPr>
          <w:p w14:paraId="5CED7EB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Priority</w:t>
            </w:r>
          </w:p>
        </w:tc>
        <w:tc>
          <w:tcPr>
            <w:tcW w:w="1134" w:type="dxa"/>
            <w:shd w:val="clear" w:color="auto" w:fill="D9D9D9"/>
          </w:tcPr>
          <w:p w14:paraId="1E22428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Timescale</w:t>
            </w:r>
          </w:p>
        </w:tc>
        <w:tc>
          <w:tcPr>
            <w:tcW w:w="2693" w:type="dxa"/>
            <w:shd w:val="clear" w:color="auto" w:fill="D9D9D9"/>
          </w:tcPr>
          <w:p w14:paraId="235F73BD" w14:textId="05D7AE5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Organi</w:t>
            </w:r>
            <w:r w:rsidR="008807BF" w:rsidRPr="006437E1">
              <w:rPr>
                <w:rFonts w:ascii="Arial" w:hAnsi="Arial" w:cs="Arial"/>
                <w:sz w:val="18"/>
                <w:szCs w:val="18"/>
                <w:lang w:val="en-GB"/>
              </w:rPr>
              <w:t>z</w:t>
            </w:r>
            <w:r w:rsidRPr="006437E1">
              <w:rPr>
                <w:rFonts w:ascii="Arial" w:hAnsi="Arial" w:cs="Arial"/>
                <w:sz w:val="18"/>
                <w:szCs w:val="18"/>
                <w:lang w:val="en-GB"/>
              </w:rPr>
              <w:t>ations responsible</w:t>
            </w:r>
          </w:p>
        </w:tc>
        <w:tc>
          <w:tcPr>
            <w:tcW w:w="2443" w:type="dxa"/>
            <w:shd w:val="clear" w:color="auto" w:fill="D9D9D9"/>
          </w:tcPr>
          <w:p w14:paraId="1FE7D7B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Inputs required</w:t>
            </w:r>
          </w:p>
        </w:tc>
      </w:tr>
      <w:tr w:rsidR="00C96521" w:rsidRPr="006437E1" w14:paraId="58D19911" w14:textId="77777777" w:rsidTr="00C96521">
        <w:tc>
          <w:tcPr>
            <w:tcW w:w="2340" w:type="dxa"/>
            <w:vMerge w:val="restart"/>
          </w:tcPr>
          <w:p w14:paraId="7E2CC6EF" w14:textId="4376D550"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4.1 Water availability improved for </w:t>
            </w:r>
            <w:r w:rsidR="008807BF" w:rsidRPr="006437E1">
              <w:rPr>
                <w:rFonts w:ascii="Arial" w:hAnsi="Arial" w:cs="Arial"/>
                <w:sz w:val="18"/>
                <w:szCs w:val="18"/>
                <w:lang w:val="en-GB"/>
              </w:rPr>
              <w:t xml:space="preserve">Turtle Dove </w:t>
            </w:r>
            <w:r w:rsidRPr="006437E1">
              <w:rPr>
                <w:rFonts w:ascii="Arial" w:hAnsi="Arial" w:cs="Arial"/>
                <w:sz w:val="18"/>
                <w:szCs w:val="18"/>
                <w:lang w:val="en-GB"/>
              </w:rPr>
              <w:t>in range states where the species overwinters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16D8C1E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4.1.1</w:t>
            </w:r>
          </w:p>
          <w:p w14:paraId="52BA4C16" w14:textId="6BB0EB2C"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Evaluate water availability and persistence of sources in Africa in areas used by large numbers of </w:t>
            </w:r>
            <w:r w:rsidR="008807BF" w:rsidRPr="006437E1">
              <w:rPr>
                <w:rFonts w:ascii="Arial" w:hAnsi="Arial" w:cs="Arial"/>
                <w:sz w:val="18"/>
                <w:szCs w:val="18"/>
                <w:lang w:val="en-GB"/>
              </w:rPr>
              <w:t xml:space="preserve">Turtle Doves </w:t>
            </w:r>
          </w:p>
          <w:p w14:paraId="5005C05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Range States in West and East Africa.</w:t>
            </w:r>
          </w:p>
        </w:tc>
        <w:tc>
          <w:tcPr>
            <w:tcW w:w="993" w:type="dxa"/>
          </w:tcPr>
          <w:p w14:paraId="07B05CA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13DEB84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625128B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national hunting federations, academic institutions</w:t>
            </w:r>
          </w:p>
        </w:tc>
        <w:tc>
          <w:tcPr>
            <w:tcW w:w="2443" w:type="dxa"/>
          </w:tcPr>
          <w:p w14:paraId="5E936D3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Tracking data, hydrology data, remote sensing imagery.</w:t>
            </w:r>
          </w:p>
        </w:tc>
      </w:tr>
      <w:tr w:rsidR="00C96521" w:rsidRPr="006437E1" w14:paraId="6F841797" w14:textId="77777777" w:rsidTr="00C96521">
        <w:tc>
          <w:tcPr>
            <w:tcW w:w="2340" w:type="dxa"/>
            <w:vMerge/>
          </w:tcPr>
          <w:p w14:paraId="7BEA02F4"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5B804C6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4.1.2</w:t>
            </w:r>
          </w:p>
          <w:p w14:paraId="64006F6C" w14:textId="090ABAB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Implement local actions to manage water availability at key stop-over and wintering sites for </w:t>
            </w:r>
            <w:r w:rsidR="008807BF" w:rsidRPr="006437E1">
              <w:rPr>
                <w:rFonts w:ascii="Arial" w:hAnsi="Arial" w:cs="Arial"/>
                <w:sz w:val="18"/>
                <w:szCs w:val="18"/>
                <w:lang w:val="en-GB"/>
              </w:rPr>
              <w:t>Turtle Dove</w:t>
            </w:r>
          </w:p>
          <w:p w14:paraId="7FBF782B" w14:textId="77777777" w:rsidR="00C96521" w:rsidRPr="006437E1" w:rsidRDefault="00C96521" w:rsidP="00C96521">
            <w:pPr>
              <w:widowControl/>
              <w:autoSpaceDE/>
              <w:autoSpaceDN/>
              <w:adjustRightInd/>
              <w:rPr>
                <w:rFonts w:ascii="Arial" w:hAnsi="Arial" w:cs="Arial"/>
                <w:sz w:val="18"/>
                <w:szCs w:val="18"/>
                <w:lang w:val="en-GB"/>
              </w:rPr>
            </w:pPr>
          </w:p>
          <w:p w14:paraId="6F72061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Range States in West and East Africa</w:t>
            </w:r>
          </w:p>
        </w:tc>
        <w:tc>
          <w:tcPr>
            <w:tcW w:w="993" w:type="dxa"/>
          </w:tcPr>
          <w:p w14:paraId="045FFBD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714E3BF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615EE45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national hunting federations, academic institutions</w:t>
            </w:r>
          </w:p>
        </w:tc>
        <w:tc>
          <w:tcPr>
            <w:tcW w:w="2443" w:type="dxa"/>
          </w:tcPr>
          <w:p w14:paraId="106AE29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4.1.1</w:t>
            </w:r>
          </w:p>
        </w:tc>
      </w:tr>
      <w:tr w:rsidR="00C96521" w:rsidRPr="006437E1" w14:paraId="2338693F" w14:textId="77777777" w:rsidTr="00C96521">
        <w:tc>
          <w:tcPr>
            <w:tcW w:w="2340" w:type="dxa"/>
            <w:vMerge w:val="restart"/>
          </w:tcPr>
          <w:p w14:paraId="398A0068" w14:textId="46A91983"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4.2 Food availability improved for </w:t>
            </w:r>
            <w:r w:rsidR="008807BF" w:rsidRPr="006437E1">
              <w:rPr>
                <w:rFonts w:ascii="Arial" w:hAnsi="Arial" w:cs="Arial"/>
                <w:sz w:val="18"/>
                <w:szCs w:val="18"/>
                <w:lang w:val="en-GB"/>
              </w:rPr>
              <w:t xml:space="preserve">Turtle Dove </w:t>
            </w:r>
            <w:r w:rsidRPr="006437E1">
              <w:rPr>
                <w:rFonts w:ascii="Arial" w:hAnsi="Arial" w:cs="Arial"/>
                <w:sz w:val="18"/>
                <w:szCs w:val="18"/>
                <w:lang w:val="en-GB"/>
              </w:rPr>
              <w:t>in range states where the species overwinters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7E3E55B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4.2.1</w:t>
            </w:r>
          </w:p>
          <w:p w14:paraId="386A652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Evaluate food availability and persistence of food sources in Africa in areas used by large numbers of turtle-doves.</w:t>
            </w:r>
          </w:p>
          <w:p w14:paraId="64B8758B" w14:textId="77777777" w:rsidR="00C96521" w:rsidRPr="006437E1" w:rsidRDefault="00C96521" w:rsidP="00C96521">
            <w:pPr>
              <w:widowControl/>
              <w:autoSpaceDE/>
              <w:autoSpaceDN/>
              <w:adjustRightInd/>
              <w:rPr>
                <w:rFonts w:ascii="Arial" w:hAnsi="Arial" w:cs="Arial"/>
                <w:sz w:val="18"/>
                <w:szCs w:val="18"/>
                <w:lang w:val="en-GB"/>
              </w:rPr>
            </w:pPr>
          </w:p>
          <w:p w14:paraId="13823B8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Range States in West and East Africa.</w:t>
            </w:r>
          </w:p>
        </w:tc>
        <w:tc>
          <w:tcPr>
            <w:tcW w:w="993" w:type="dxa"/>
          </w:tcPr>
          <w:p w14:paraId="063352D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79FDA19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122C695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national hunting federations, academic institutions</w:t>
            </w:r>
          </w:p>
        </w:tc>
        <w:tc>
          <w:tcPr>
            <w:tcW w:w="2443" w:type="dxa"/>
          </w:tcPr>
          <w:p w14:paraId="4CD1AF2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Tracking data, hydrology data, remote sensing imagery.</w:t>
            </w:r>
          </w:p>
        </w:tc>
      </w:tr>
      <w:tr w:rsidR="00C96521" w:rsidRPr="006437E1" w14:paraId="79324FC0" w14:textId="77777777" w:rsidTr="00C96521">
        <w:tc>
          <w:tcPr>
            <w:tcW w:w="2340" w:type="dxa"/>
            <w:vMerge/>
          </w:tcPr>
          <w:p w14:paraId="462A4AB6"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5F81042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4.2.2</w:t>
            </w:r>
          </w:p>
          <w:p w14:paraId="738841EC" w14:textId="2179A1DC"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Implement local actions to manage food availability at key stop-over and wintering sites for </w:t>
            </w:r>
            <w:r w:rsidR="008807BF" w:rsidRPr="006437E1">
              <w:rPr>
                <w:rFonts w:ascii="Arial" w:hAnsi="Arial" w:cs="Arial"/>
                <w:sz w:val="18"/>
                <w:szCs w:val="18"/>
                <w:lang w:val="en-GB"/>
              </w:rPr>
              <w:t>Turtle Dove</w:t>
            </w:r>
          </w:p>
          <w:p w14:paraId="4D55F611" w14:textId="77777777" w:rsidR="00C96521" w:rsidRPr="006437E1" w:rsidRDefault="00C96521" w:rsidP="00C96521">
            <w:pPr>
              <w:widowControl/>
              <w:autoSpaceDE/>
              <w:autoSpaceDN/>
              <w:adjustRightInd/>
              <w:rPr>
                <w:rFonts w:ascii="Arial" w:hAnsi="Arial" w:cs="Arial"/>
                <w:sz w:val="18"/>
                <w:szCs w:val="18"/>
                <w:lang w:val="en-GB"/>
              </w:rPr>
            </w:pPr>
          </w:p>
          <w:p w14:paraId="75CDC36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Range States in West and East Africa</w:t>
            </w:r>
          </w:p>
        </w:tc>
        <w:tc>
          <w:tcPr>
            <w:tcW w:w="993" w:type="dxa"/>
          </w:tcPr>
          <w:p w14:paraId="71CEA02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1EE3190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09446DE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national hunting federations, academic institutions</w:t>
            </w:r>
          </w:p>
        </w:tc>
        <w:tc>
          <w:tcPr>
            <w:tcW w:w="2443" w:type="dxa"/>
          </w:tcPr>
          <w:p w14:paraId="2137EAA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4.2.1</w:t>
            </w:r>
          </w:p>
        </w:tc>
      </w:tr>
      <w:tr w:rsidR="00C96521" w:rsidRPr="006437E1" w14:paraId="50456DF5" w14:textId="77777777" w:rsidTr="00C96521">
        <w:tc>
          <w:tcPr>
            <w:tcW w:w="2340" w:type="dxa"/>
            <w:vMerge w:val="restart"/>
          </w:tcPr>
          <w:p w14:paraId="1A2A6A5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4.3 Guidelines on management of turtle-dove passage and </w:t>
            </w:r>
            <w:r w:rsidRPr="006437E1">
              <w:rPr>
                <w:rFonts w:ascii="Arial" w:hAnsi="Arial" w:cs="Arial"/>
                <w:sz w:val="18"/>
                <w:szCs w:val="18"/>
                <w:lang w:val="en-GB"/>
              </w:rPr>
              <w:lastRenderedPageBreak/>
              <w:t>overwintering sites for key stakeholders by [</w:t>
            </w:r>
            <w:r w:rsidRPr="006437E1">
              <w:rPr>
                <w:rFonts w:ascii="Arial" w:hAnsi="Arial" w:cs="Arial"/>
                <w:i/>
                <w:sz w:val="18"/>
                <w:szCs w:val="18"/>
                <w:lang w:val="en-GB"/>
              </w:rPr>
              <w:t>2020</w:t>
            </w:r>
            <w:r w:rsidRPr="006437E1">
              <w:rPr>
                <w:rFonts w:ascii="Arial" w:hAnsi="Arial" w:cs="Arial"/>
                <w:sz w:val="18"/>
                <w:szCs w:val="18"/>
                <w:lang w:val="en-GB"/>
              </w:rPr>
              <w:t>], and incorporated into planning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683E738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Action 4.3.1</w:t>
            </w:r>
          </w:p>
          <w:p w14:paraId="3EE2FFC6" w14:textId="72D2508E"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 xml:space="preserve">Develop, test and roll-out guidelines on managing </w:t>
            </w:r>
            <w:r w:rsidR="008807BF" w:rsidRPr="006437E1">
              <w:rPr>
                <w:rFonts w:ascii="Arial" w:hAnsi="Arial" w:cs="Arial"/>
                <w:sz w:val="18"/>
                <w:szCs w:val="18"/>
                <w:lang w:val="en-GB"/>
              </w:rPr>
              <w:t xml:space="preserve">Turtle Dove </w:t>
            </w:r>
            <w:r w:rsidRPr="006437E1">
              <w:rPr>
                <w:rFonts w:ascii="Arial" w:hAnsi="Arial" w:cs="Arial"/>
                <w:sz w:val="18"/>
                <w:szCs w:val="18"/>
                <w:lang w:val="en-GB"/>
              </w:rPr>
              <w:t>habitats at passage and overwintering sites, with regional variation as required.</w:t>
            </w:r>
          </w:p>
          <w:p w14:paraId="257B20D4" w14:textId="77777777" w:rsidR="00C96521" w:rsidRPr="006437E1" w:rsidRDefault="00C96521" w:rsidP="00C96521">
            <w:pPr>
              <w:widowControl/>
              <w:autoSpaceDE/>
              <w:autoSpaceDN/>
              <w:adjustRightInd/>
              <w:rPr>
                <w:rFonts w:ascii="Arial" w:hAnsi="Arial" w:cs="Arial"/>
                <w:sz w:val="18"/>
                <w:szCs w:val="18"/>
                <w:lang w:val="en-GB"/>
              </w:rPr>
            </w:pPr>
          </w:p>
          <w:p w14:paraId="7FA72CF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(in wintering and key stop-over Range States): forest and woodland managers; water/river managers; community and local authorities; national authorities; Protected Area managers; military land holding managers; hunting estates.</w:t>
            </w:r>
          </w:p>
        </w:tc>
        <w:tc>
          <w:tcPr>
            <w:tcW w:w="993" w:type="dxa"/>
          </w:tcPr>
          <w:p w14:paraId="4B74282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High</w:t>
            </w:r>
          </w:p>
        </w:tc>
        <w:tc>
          <w:tcPr>
            <w:tcW w:w="1134" w:type="dxa"/>
          </w:tcPr>
          <w:p w14:paraId="4234BA0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7BD18D4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xml:space="preserve">, conservation NGOs, national hunting federations, academic </w:t>
            </w:r>
            <w:r w:rsidRPr="006437E1">
              <w:rPr>
                <w:rFonts w:ascii="Arial" w:hAnsi="Arial" w:cs="Arial"/>
                <w:sz w:val="18"/>
                <w:szCs w:val="18"/>
                <w:lang w:val="en-GB"/>
              </w:rPr>
              <w:lastRenderedPageBreak/>
              <w:t>institutions, land managers, water resource managers, community and local authorities</w:t>
            </w:r>
          </w:p>
        </w:tc>
        <w:tc>
          <w:tcPr>
            <w:tcW w:w="2443" w:type="dxa"/>
          </w:tcPr>
          <w:p w14:paraId="3126153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 xml:space="preserve">Existing studies on diet, habitat requirements, and ecology. </w:t>
            </w:r>
          </w:p>
          <w:p w14:paraId="1D07D36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Action 1.2.2</w:t>
            </w:r>
          </w:p>
        </w:tc>
      </w:tr>
      <w:tr w:rsidR="00C96521" w:rsidRPr="006437E1" w14:paraId="3B40DD15" w14:textId="77777777" w:rsidTr="00C96521">
        <w:tc>
          <w:tcPr>
            <w:tcW w:w="2340" w:type="dxa"/>
            <w:vMerge/>
          </w:tcPr>
          <w:p w14:paraId="1298268D"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720B9AD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4.3.2</w:t>
            </w:r>
          </w:p>
          <w:p w14:paraId="423FAC47" w14:textId="0A227EC3"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Reassessment of existing Key Biodiversity Areas (KBAs) for </w:t>
            </w:r>
            <w:r w:rsidR="008807BF" w:rsidRPr="00235FA0">
              <w:rPr>
                <w:rFonts w:ascii="Arial" w:hAnsi="Arial" w:cs="Arial"/>
                <w:sz w:val="18"/>
                <w:szCs w:val="18"/>
                <w:lang w:val="en-GB"/>
              </w:rPr>
              <w:t xml:space="preserve">Turtle Dove </w:t>
            </w:r>
            <w:r w:rsidRPr="006437E1">
              <w:rPr>
                <w:rFonts w:ascii="Arial" w:hAnsi="Arial" w:cs="Arial"/>
                <w:sz w:val="18"/>
                <w:szCs w:val="18"/>
                <w:lang w:val="en-GB"/>
              </w:rPr>
              <w:t>and production and implementation of tailored management guidelines for the species in KBAs.</w:t>
            </w:r>
          </w:p>
          <w:p w14:paraId="1FC103F9" w14:textId="77777777" w:rsidR="00C96521" w:rsidRPr="006437E1" w:rsidRDefault="00C96521" w:rsidP="00C96521">
            <w:pPr>
              <w:widowControl/>
              <w:autoSpaceDE/>
              <w:autoSpaceDN/>
              <w:adjustRightInd/>
              <w:rPr>
                <w:rFonts w:ascii="Arial" w:hAnsi="Arial" w:cs="Arial"/>
                <w:sz w:val="18"/>
                <w:szCs w:val="18"/>
                <w:lang w:val="en-GB"/>
              </w:rPr>
            </w:pPr>
          </w:p>
          <w:p w14:paraId="4AC23BA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(in wintering and key stop-over Range States) Protected Area managers.</w:t>
            </w:r>
          </w:p>
        </w:tc>
        <w:tc>
          <w:tcPr>
            <w:tcW w:w="993" w:type="dxa"/>
          </w:tcPr>
          <w:p w14:paraId="18783BF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57A1E7B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794462E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academic institutions, land managers, water resource managers, community and local authorities</w:t>
            </w:r>
          </w:p>
        </w:tc>
        <w:tc>
          <w:tcPr>
            <w:tcW w:w="2443" w:type="dxa"/>
          </w:tcPr>
          <w:p w14:paraId="4F92191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4.1.2</w:t>
            </w:r>
          </w:p>
          <w:p w14:paraId="32D89E6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4.3.1</w:t>
            </w:r>
          </w:p>
        </w:tc>
      </w:tr>
      <w:tr w:rsidR="00C96521" w:rsidRPr="006437E1" w14:paraId="3B8194AE" w14:textId="77777777" w:rsidTr="00C96521">
        <w:tc>
          <w:tcPr>
            <w:tcW w:w="2340" w:type="dxa"/>
            <w:vMerge w:val="restart"/>
          </w:tcPr>
          <w:p w14:paraId="426E536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4.4 [n] locally supported small-scale projects aimed at restoring or conserving turtle-dove habitat across the wintering range by [</w:t>
            </w:r>
            <w:r w:rsidRPr="006437E1">
              <w:rPr>
                <w:rFonts w:ascii="Arial" w:hAnsi="Arial" w:cs="Arial"/>
                <w:i/>
                <w:sz w:val="18"/>
                <w:szCs w:val="18"/>
                <w:lang w:val="en-GB"/>
              </w:rPr>
              <w:t>2020</w:t>
            </w:r>
            <w:r w:rsidRPr="006437E1">
              <w:rPr>
                <w:rFonts w:ascii="Arial" w:hAnsi="Arial" w:cs="Arial"/>
                <w:sz w:val="18"/>
                <w:szCs w:val="18"/>
                <w:lang w:val="en-GB"/>
              </w:rPr>
              <w:t>].</w:t>
            </w:r>
          </w:p>
        </w:tc>
        <w:tc>
          <w:tcPr>
            <w:tcW w:w="4572" w:type="dxa"/>
          </w:tcPr>
          <w:p w14:paraId="1D82A26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4.4.1</w:t>
            </w:r>
          </w:p>
          <w:p w14:paraId="379C6F21" w14:textId="0F15032C"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Inventory and evaluation of small-scale local projects that benefit turtle-dove habitats (e</w:t>
            </w:r>
            <w:r w:rsidR="008807BF" w:rsidRPr="006437E1">
              <w:rPr>
                <w:rFonts w:ascii="Arial" w:hAnsi="Arial" w:cs="Arial"/>
                <w:sz w:val="18"/>
                <w:szCs w:val="18"/>
                <w:lang w:val="en-GB"/>
              </w:rPr>
              <w:t>.</w:t>
            </w:r>
            <w:r w:rsidRPr="006437E1">
              <w:rPr>
                <w:rFonts w:ascii="Arial" w:hAnsi="Arial" w:cs="Arial"/>
                <w:sz w:val="18"/>
                <w:szCs w:val="18"/>
                <w:lang w:val="en-GB"/>
              </w:rPr>
              <w:t>g</w:t>
            </w:r>
            <w:r w:rsidR="008807BF" w:rsidRPr="006437E1">
              <w:rPr>
                <w:rFonts w:ascii="Arial" w:hAnsi="Arial" w:cs="Arial"/>
                <w:sz w:val="18"/>
                <w:szCs w:val="18"/>
                <w:lang w:val="en-GB"/>
              </w:rPr>
              <w:t>.</w:t>
            </w:r>
            <w:r w:rsidRPr="006437E1">
              <w:rPr>
                <w:rFonts w:ascii="Arial" w:hAnsi="Arial" w:cs="Arial"/>
                <w:sz w:val="18"/>
                <w:szCs w:val="18"/>
                <w:lang w:val="en-GB"/>
              </w:rPr>
              <w:t xml:space="preserve"> native tree-planting projects where local people are encouraged to contribute and later have the opportunity to harvest the wood).</w:t>
            </w:r>
          </w:p>
          <w:p w14:paraId="0760238D" w14:textId="77777777" w:rsidR="00C96521" w:rsidRPr="006437E1" w:rsidRDefault="00C96521" w:rsidP="00C96521">
            <w:pPr>
              <w:widowControl/>
              <w:autoSpaceDE/>
              <w:autoSpaceDN/>
              <w:adjustRightInd/>
              <w:rPr>
                <w:rFonts w:ascii="Arial" w:hAnsi="Arial" w:cs="Arial"/>
                <w:sz w:val="18"/>
                <w:szCs w:val="18"/>
                <w:lang w:val="en-GB"/>
              </w:rPr>
            </w:pPr>
          </w:p>
          <w:p w14:paraId="0E4094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wintering Range States.</w:t>
            </w:r>
          </w:p>
        </w:tc>
        <w:tc>
          <w:tcPr>
            <w:tcW w:w="993" w:type="dxa"/>
          </w:tcPr>
          <w:p w14:paraId="5E8F547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3BA7328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1849C60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development NGOs.</w:t>
            </w:r>
          </w:p>
        </w:tc>
        <w:tc>
          <w:tcPr>
            <w:tcW w:w="2443" w:type="dxa"/>
          </w:tcPr>
          <w:p w14:paraId="613EA66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Local project reports.</w:t>
            </w:r>
          </w:p>
        </w:tc>
      </w:tr>
      <w:tr w:rsidR="00C96521" w:rsidRPr="006437E1" w14:paraId="5CEB3C4C" w14:textId="77777777" w:rsidTr="00C96521">
        <w:tc>
          <w:tcPr>
            <w:tcW w:w="2340" w:type="dxa"/>
            <w:vMerge/>
          </w:tcPr>
          <w:p w14:paraId="7531AEF3"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0E11950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4.4.2</w:t>
            </w:r>
          </w:p>
          <w:p w14:paraId="538E944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Best practice and case study examples of small-scale local projects promoted across the wintering range.</w:t>
            </w:r>
          </w:p>
          <w:p w14:paraId="1FDBD2EC" w14:textId="77777777" w:rsidR="00C96521" w:rsidRPr="006437E1" w:rsidRDefault="00C96521" w:rsidP="00C96521">
            <w:pPr>
              <w:widowControl/>
              <w:autoSpaceDE/>
              <w:autoSpaceDN/>
              <w:adjustRightInd/>
              <w:rPr>
                <w:rFonts w:ascii="Arial" w:hAnsi="Arial" w:cs="Arial"/>
                <w:sz w:val="18"/>
                <w:szCs w:val="18"/>
                <w:lang w:val="en-GB"/>
              </w:rPr>
            </w:pPr>
          </w:p>
          <w:p w14:paraId="4F375AC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wintering Range States.</w:t>
            </w:r>
          </w:p>
        </w:tc>
        <w:tc>
          <w:tcPr>
            <w:tcW w:w="993" w:type="dxa"/>
          </w:tcPr>
          <w:p w14:paraId="19A1B91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6C458CE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433C527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development NGOs.</w:t>
            </w:r>
          </w:p>
        </w:tc>
        <w:tc>
          <w:tcPr>
            <w:tcW w:w="2443" w:type="dxa"/>
          </w:tcPr>
          <w:p w14:paraId="7C3373B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4.4.1</w:t>
            </w:r>
          </w:p>
        </w:tc>
      </w:tr>
      <w:tr w:rsidR="00C96521" w:rsidRPr="006437E1" w14:paraId="3F7CC335" w14:textId="77777777" w:rsidTr="00C96521">
        <w:tc>
          <w:tcPr>
            <w:tcW w:w="2340" w:type="dxa"/>
          </w:tcPr>
          <w:p w14:paraId="47752386" w14:textId="317E9CC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4.5 Large </w:t>
            </w:r>
            <w:r w:rsidR="008807BF" w:rsidRPr="00235FA0">
              <w:rPr>
                <w:rFonts w:ascii="Arial" w:hAnsi="Arial" w:cs="Arial"/>
                <w:sz w:val="18"/>
                <w:szCs w:val="18"/>
                <w:lang w:val="en-GB"/>
              </w:rPr>
              <w:t xml:space="preserve">Turtle Dove </w:t>
            </w:r>
            <w:r w:rsidRPr="006437E1">
              <w:rPr>
                <w:rFonts w:ascii="Arial" w:hAnsi="Arial" w:cs="Arial"/>
                <w:sz w:val="18"/>
                <w:szCs w:val="18"/>
                <w:lang w:val="en-GB"/>
              </w:rPr>
              <w:t>roosts under the control of special interest groups are managed sympathetically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73E0A57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4.5.1</w:t>
            </w:r>
          </w:p>
          <w:p w14:paraId="0C37D11F" w14:textId="409961B2"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Establish Management Agreements for specific </w:t>
            </w:r>
            <w:r w:rsidR="008807BF" w:rsidRPr="006437E1">
              <w:rPr>
                <w:rFonts w:ascii="Arial" w:hAnsi="Arial" w:cs="Arial"/>
                <w:sz w:val="18"/>
                <w:szCs w:val="18"/>
                <w:lang w:val="en-GB"/>
              </w:rPr>
              <w:t>T</w:t>
            </w:r>
            <w:r w:rsidRPr="006437E1">
              <w:rPr>
                <w:rFonts w:ascii="Arial" w:hAnsi="Arial" w:cs="Arial"/>
                <w:sz w:val="18"/>
                <w:szCs w:val="18"/>
                <w:lang w:val="en-GB"/>
              </w:rPr>
              <w:t>urtle</w:t>
            </w:r>
            <w:r w:rsidR="008807BF" w:rsidRPr="006437E1">
              <w:rPr>
                <w:rFonts w:ascii="Arial" w:hAnsi="Arial" w:cs="Arial"/>
                <w:sz w:val="18"/>
                <w:szCs w:val="18"/>
                <w:lang w:val="en-GB"/>
              </w:rPr>
              <w:t xml:space="preserve"> D</w:t>
            </w:r>
            <w:r w:rsidRPr="006437E1">
              <w:rPr>
                <w:rFonts w:ascii="Arial" w:hAnsi="Arial" w:cs="Arial"/>
                <w:sz w:val="18"/>
                <w:szCs w:val="18"/>
                <w:lang w:val="en-GB"/>
              </w:rPr>
              <w:t>ove roosting areas that are under the control of special interest groups (e</w:t>
            </w:r>
            <w:r w:rsidR="008807BF" w:rsidRPr="006437E1">
              <w:rPr>
                <w:rFonts w:ascii="Arial" w:hAnsi="Arial" w:cs="Arial"/>
                <w:sz w:val="18"/>
                <w:szCs w:val="18"/>
                <w:lang w:val="en-GB"/>
              </w:rPr>
              <w:t>.</w:t>
            </w:r>
            <w:r w:rsidRPr="006437E1">
              <w:rPr>
                <w:rFonts w:ascii="Arial" w:hAnsi="Arial" w:cs="Arial"/>
                <w:sz w:val="18"/>
                <w:szCs w:val="18"/>
                <w:lang w:val="en-GB"/>
              </w:rPr>
              <w:t>g</w:t>
            </w:r>
            <w:r w:rsidR="008807BF" w:rsidRPr="006437E1">
              <w:rPr>
                <w:rFonts w:ascii="Arial" w:hAnsi="Arial" w:cs="Arial"/>
                <w:sz w:val="18"/>
                <w:szCs w:val="18"/>
                <w:lang w:val="en-GB"/>
              </w:rPr>
              <w:t>.</w:t>
            </w:r>
            <w:r w:rsidRPr="006437E1">
              <w:rPr>
                <w:rFonts w:ascii="Arial" w:hAnsi="Arial" w:cs="Arial"/>
                <w:sz w:val="18"/>
                <w:szCs w:val="18"/>
                <w:lang w:val="en-GB"/>
              </w:rPr>
              <w:t xml:space="preserve"> religious orders), based on the guidelines developed in Action 4.3.1.</w:t>
            </w:r>
          </w:p>
          <w:p w14:paraId="545E497C" w14:textId="77777777" w:rsidR="00C96521" w:rsidRPr="006437E1" w:rsidRDefault="00C96521" w:rsidP="00C96521">
            <w:pPr>
              <w:widowControl/>
              <w:autoSpaceDE/>
              <w:autoSpaceDN/>
              <w:adjustRightInd/>
              <w:rPr>
                <w:rFonts w:ascii="Arial" w:hAnsi="Arial" w:cs="Arial"/>
                <w:sz w:val="18"/>
                <w:szCs w:val="18"/>
                <w:lang w:val="en-GB"/>
              </w:rPr>
            </w:pPr>
          </w:p>
          <w:p w14:paraId="4035EED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Range States in West and East Africa</w:t>
            </w:r>
          </w:p>
        </w:tc>
        <w:tc>
          <w:tcPr>
            <w:tcW w:w="993" w:type="dxa"/>
          </w:tcPr>
          <w:p w14:paraId="701985C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1E2EEA6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08E4599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special interest groups.</w:t>
            </w:r>
          </w:p>
        </w:tc>
        <w:tc>
          <w:tcPr>
            <w:tcW w:w="2443" w:type="dxa"/>
          </w:tcPr>
          <w:p w14:paraId="3B4E220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4.3.1</w:t>
            </w:r>
          </w:p>
        </w:tc>
      </w:tr>
      <w:tr w:rsidR="00C96521" w:rsidRPr="006437E1" w14:paraId="72454610" w14:textId="77777777" w:rsidTr="00C96521">
        <w:tc>
          <w:tcPr>
            <w:tcW w:w="2340" w:type="dxa"/>
          </w:tcPr>
          <w:p w14:paraId="30599F7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4.6 Fewer wildfires recorded at key turtle-</w:t>
            </w:r>
            <w:r w:rsidRPr="006437E1">
              <w:rPr>
                <w:rFonts w:ascii="Arial" w:hAnsi="Arial" w:cs="Arial"/>
                <w:sz w:val="18"/>
                <w:szCs w:val="18"/>
                <w:lang w:val="en-GB"/>
              </w:rPr>
              <w:lastRenderedPageBreak/>
              <w:t>dove wintering and stopover sites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7947A8E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Action 4.6.1</w:t>
            </w:r>
          </w:p>
          <w:p w14:paraId="4D280F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Promote early controlled burning in key areas to prevent wildfires.</w:t>
            </w:r>
          </w:p>
          <w:p w14:paraId="14E92F20" w14:textId="77777777" w:rsidR="00C96521" w:rsidRPr="006437E1" w:rsidRDefault="00C96521" w:rsidP="00C96521">
            <w:pPr>
              <w:widowControl/>
              <w:autoSpaceDE/>
              <w:autoSpaceDN/>
              <w:adjustRightInd/>
              <w:rPr>
                <w:rFonts w:ascii="Arial" w:hAnsi="Arial" w:cs="Arial"/>
                <w:sz w:val="18"/>
                <w:szCs w:val="18"/>
                <w:lang w:val="en-GB"/>
              </w:rPr>
            </w:pPr>
          </w:p>
          <w:p w14:paraId="50C19A1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wintering Range States and at key stop-over sites.</w:t>
            </w:r>
          </w:p>
        </w:tc>
        <w:tc>
          <w:tcPr>
            <w:tcW w:w="993" w:type="dxa"/>
          </w:tcPr>
          <w:p w14:paraId="2E42534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High</w:t>
            </w:r>
          </w:p>
        </w:tc>
        <w:tc>
          <w:tcPr>
            <w:tcW w:w="1134" w:type="dxa"/>
          </w:tcPr>
          <w:p w14:paraId="4181B79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286CEBC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xml:space="preserve"> conservation NGOs, academic institutions</w:t>
            </w:r>
          </w:p>
        </w:tc>
        <w:tc>
          <w:tcPr>
            <w:tcW w:w="2443" w:type="dxa"/>
          </w:tcPr>
          <w:p w14:paraId="759F106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Data on national wildfire occurrence.</w:t>
            </w:r>
          </w:p>
        </w:tc>
      </w:tr>
      <w:tr w:rsidR="00C96521" w:rsidRPr="006437E1" w14:paraId="540DB15A" w14:textId="77777777" w:rsidTr="00C96521">
        <w:tc>
          <w:tcPr>
            <w:tcW w:w="2340" w:type="dxa"/>
          </w:tcPr>
          <w:p w14:paraId="669DBD62" w14:textId="47258041"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4.7 Less wood harvesting in key </w:t>
            </w:r>
            <w:r w:rsidR="008807BF" w:rsidRPr="006437E1">
              <w:rPr>
                <w:rFonts w:ascii="Arial" w:hAnsi="Arial" w:cs="Arial"/>
                <w:sz w:val="18"/>
                <w:szCs w:val="18"/>
                <w:lang w:val="en-GB"/>
              </w:rPr>
              <w:t xml:space="preserve">Turtle Dove </w:t>
            </w:r>
            <w:r w:rsidRPr="006437E1">
              <w:rPr>
                <w:rFonts w:ascii="Arial" w:hAnsi="Arial" w:cs="Arial"/>
                <w:sz w:val="18"/>
                <w:szCs w:val="18"/>
                <w:lang w:val="en-GB"/>
              </w:rPr>
              <w:t>wintering and stopover sites by [2025].</w:t>
            </w:r>
          </w:p>
        </w:tc>
        <w:tc>
          <w:tcPr>
            <w:tcW w:w="4572" w:type="dxa"/>
          </w:tcPr>
          <w:p w14:paraId="4C77564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4.7.1</w:t>
            </w:r>
          </w:p>
          <w:p w14:paraId="1934ECE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Promotion of alternative fuel/cooking methods in key areas to prevent loss of roosting sites due to fuel wood harvesting.</w:t>
            </w:r>
          </w:p>
          <w:p w14:paraId="1E714C56" w14:textId="77777777" w:rsidR="00C96521" w:rsidRPr="006437E1" w:rsidRDefault="00C96521" w:rsidP="00C96521">
            <w:pPr>
              <w:widowControl/>
              <w:autoSpaceDE/>
              <w:autoSpaceDN/>
              <w:adjustRightInd/>
              <w:rPr>
                <w:rFonts w:ascii="Arial" w:hAnsi="Arial" w:cs="Arial"/>
                <w:sz w:val="18"/>
                <w:szCs w:val="18"/>
                <w:lang w:val="en-GB"/>
              </w:rPr>
            </w:pPr>
          </w:p>
          <w:p w14:paraId="7B8A40B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wintering Range States.</w:t>
            </w:r>
          </w:p>
        </w:tc>
        <w:tc>
          <w:tcPr>
            <w:tcW w:w="993" w:type="dxa"/>
          </w:tcPr>
          <w:p w14:paraId="01E216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597F90F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0DE96EF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development NGOs.</w:t>
            </w:r>
          </w:p>
        </w:tc>
        <w:tc>
          <w:tcPr>
            <w:tcW w:w="2443" w:type="dxa"/>
          </w:tcPr>
          <w:p w14:paraId="4F5391D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Data on wood harvesting and uptake of alternatives.</w:t>
            </w:r>
          </w:p>
        </w:tc>
      </w:tr>
    </w:tbl>
    <w:p w14:paraId="2C59ACE7"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074AE048"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340"/>
        <w:gridCol w:w="4572"/>
        <w:gridCol w:w="993"/>
        <w:gridCol w:w="1134"/>
        <w:gridCol w:w="2693"/>
        <w:gridCol w:w="2443"/>
      </w:tblGrid>
      <w:tr w:rsidR="00C96521" w:rsidRPr="006437E1" w14:paraId="0DDE9EA0" w14:textId="77777777" w:rsidTr="006437E1">
        <w:trPr>
          <w:tblHeader/>
        </w:trPr>
        <w:tc>
          <w:tcPr>
            <w:tcW w:w="14175" w:type="dxa"/>
            <w:gridSpan w:val="6"/>
            <w:shd w:val="clear" w:color="auto" w:fill="BFBFBF" w:themeFill="background1" w:themeFillShade="BF"/>
          </w:tcPr>
          <w:p w14:paraId="5E8ACCC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Objective 5: Enhance international co-operation, through enabling sharing of information and expertise</w:t>
            </w:r>
          </w:p>
        </w:tc>
      </w:tr>
      <w:tr w:rsidR="00C96521" w:rsidRPr="006437E1" w14:paraId="500CF5CC" w14:textId="77777777" w:rsidTr="00C96521">
        <w:trPr>
          <w:tblHeader/>
        </w:trPr>
        <w:tc>
          <w:tcPr>
            <w:tcW w:w="2340" w:type="dxa"/>
            <w:shd w:val="clear" w:color="auto" w:fill="D9D9D9"/>
          </w:tcPr>
          <w:p w14:paraId="307819A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Result</w:t>
            </w:r>
          </w:p>
        </w:tc>
        <w:tc>
          <w:tcPr>
            <w:tcW w:w="4572" w:type="dxa"/>
            <w:shd w:val="clear" w:color="auto" w:fill="D9D9D9"/>
          </w:tcPr>
          <w:p w14:paraId="0A7DA22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and scope</w:t>
            </w:r>
          </w:p>
        </w:tc>
        <w:tc>
          <w:tcPr>
            <w:tcW w:w="993" w:type="dxa"/>
            <w:shd w:val="clear" w:color="auto" w:fill="D9D9D9"/>
          </w:tcPr>
          <w:p w14:paraId="10C223E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Priority</w:t>
            </w:r>
          </w:p>
        </w:tc>
        <w:tc>
          <w:tcPr>
            <w:tcW w:w="1134" w:type="dxa"/>
            <w:shd w:val="clear" w:color="auto" w:fill="D9D9D9"/>
          </w:tcPr>
          <w:p w14:paraId="02E94E0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Timescale</w:t>
            </w:r>
          </w:p>
        </w:tc>
        <w:tc>
          <w:tcPr>
            <w:tcW w:w="2693" w:type="dxa"/>
            <w:shd w:val="clear" w:color="auto" w:fill="D9D9D9"/>
          </w:tcPr>
          <w:p w14:paraId="4B636A5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Organisations responsible</w:t>
            </w:r>
          </w:p>
        </w:tc>
        <w:tc>
          <w:tcPr>
            <w:tcW w:w="2443" w:type="dxa"/>
            <w:shd w:val="clear" w:color="auto" w:fill="D9D9D9"/>
          </w:tcPr>
          <w:p w14:paraId="3FF25E0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Inputs required</w:t>
            </w:r>
          </w:p>
        </w:tc>
      </w:tr>
      <w:tr w:rsidR="00C96521" w:rsidRPr="006437E1" w14:paraId="66860317" w14:textId="77777777" w:rsidTr="00C96521">
        <w:tc>
          <w:tcPr>
            <w:tcW w:w="2340" w:type="dxa"/>
            <w:vMerge w:val="restart"/>
          </w:tcPr>
          <w:p w14:paraId="1C3E7E1C" w14:textId="2D9314F0"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5.1 International Turtle</w:t>
            </w:r>
            <w:r w:rsidR="008807BF" w:rsidRPr="006437E1">
              <w:rPr>
                <w:rFonts w:ascii="Arial" w:hAnsi="Arial" w:cs="Arial"/>
                <w:sz w:val="18"/>
                <w:szCs w:val="18"/>
                <w:lang w:val="en-GB"/>
              </w:rPr>
              <w:t xml:space="preserve"> </w:t>
            </w:r>
            <w:r w:rsidRPr="006437E1">
              <w:rPr>
                <w:rFonts w:ascii="Arial" w:hAnsi="Arial" w:cs="Arial"/>
                <w:sz w:val="18"/>
                <w:szCs w:val="18"/>
                <w:lang w:val="en-GB"/>
              </w:rPr>
              <w:t>Dove Working Group to support the Action Plan active by the end of [</w:t>
            </w:r>
            <w:r w:rsidRPr="006437E1">
              <w:rPr>
                <w:rFonts w:ascii="Arial" w:hAnsi="Arial" w:cs="Arial"/>
                <w:i/>
                <w:sz w:val="18"/>
                <w:szCs w:val="18"/>
                <w:lang w:val="en-GB"/>
              </w:rPr>
              <w:t>2017</w:t>
            </w:r>
            <w:r w:rsidRPr="006437E1">
              <w:rPr>
                <w:rFonts w:ascii="Arial" w:hAnsi="Arial" w:cs="Arial"/>
                <w:sz w:val="18"/>
                <w:szCs w:val="18"/>
                <w:lang w:val="en-GB"/>
              </w:rPr>
              <w:t>].</w:t>
            </w:r>
          </w:p>
        </w:tc>
        <w:tc>
          <w:tcPr>
            <w:tcW w:w="4572" w:type="dxa"/>
          </w:tcPr>
          <w:p w14:paraId="2478BA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Action 5.1.1 </w:t>
            </w:r>
          </w:p>
          <w:p w14:paraId="469137A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Create an on-line workspace to share documents and data (including developing joint databases), with a discussion forum.</w:t>
            </w:r>
          </w:p>
          <w:p w14:paraId="4C0FF2C8" w14:textId="77777777" w:rsidR="00C96521" w:rsidRPr="006437E1" w:rsidRDefault="00C96521" w:rsidP="00C96521">
            <w:pPr>
              <w:widowControl/>
              <w:autoSpaceDE/>
              <w:autoSpaceDN/>
              <w:adjustRightInd/>
              <w:rPr>
                <w:rFonts w:ascii="Arial" w:hAnsi="Arial" w:cs="Arial"/>
                <w:sz w:val="18"/>
                <w:szCs w:val="18"/>
                <w:lang w:val="en-GB"/>
              </w:rPr>
            </w:pPr>
          </w:p>
          <w:p w14:paraId="1AE1AD96" w14:textId="77777777" w:rsidR="00C96521" w:rsidRPr="006437E1" w:rsidRDefault="00C96521" w:rsidP="00C96521">
            <w:pPr>
              <w:widowControl/>
              <w:autoSpaceDE/>
              <w:autoSpaceDN/>
              <w:adjustRightInd/>
              <w:rPr>
                <w:rFonts w:ascii="Arial" w:hAnsi="Arial" w:cs="Arial"/>
                <w:sz w:val="18"/>
                <w:szCs w:val="18"/>
                <w:lang w:val="en-GB"/>
              </w:rPr>
            </w:pPr>
          </w:p>
          <w:p w14:paraId="5ECD1F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and interested parties.</w:t>
            </w:r>
          </w:p>
        </w:tc>
        <w:tc>
          <w:tcPr>
            <w:tcW w:w="993" w:type="dxa"/>
          </w:tcPr>
          <w:p w14:paraId="7E3FFF5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7833C9B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75CEE10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 ACADEMIC INSTITUTIONS</w:t>
            </w:r>
            <w:r w:rsidRPr="006437E1">
              <w:rPr>
                <w:rFonts w:ascii="Arial" w:hAnsi="Arial" w:cs="Arial"/>
                <w:sz w:val="18"/>
                <w:szCs w:val="18"/>
                <w:lang w:val="en-GB"/>
              </w:rPr>
              <w:t>, national wildlife agencies, national hunting federations</w:t>
            </w:r>
          </w:p>
          <w:p w14:paraId="1C9B9825" w14:textId="77777777" w:rsidR="00C96521" w:rsidRPr="006437E1" w:rsidRDefault="00C96521" w:rsidP="00C96521">
            <w:pPr>
              <w:widowControl/>
              <w:autoSpaceDE/>
              <w:autoSpaceDN/>
              <w:adjustRightInd/>
              <w:rPr>
                <w:rFonts w:ascii="Arial" w:hAnsi="Arial" w:cs="Arial"/>
                <w:sz w:val="18"/>
                <w:szCs w:val="18"/>
                <w:lang w:val="en-GB"/>
              </w:rPr>
            </w:pPr>
          </w:p>
        </w:tc>
        <w:tc>
          <w:tcPr>
            <w:tcW w:w="2443" w:type="dxa"/>
          </w:tcPr>
          <w:p w14:paraId="18288BC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Research papers, grey literature, expert contact list, Action Planning documents, Terms of Reference.</w:t>
            </w:r>
          </w:p>
        </w:tc>
      </w:tr>
      <w:tr w:rsidR="00C96521" w:rsidRPr="006437E1" w14:paraId="0F00FC69" w14:textId="77777777" w:rsidTr="00C96521">
        <w:tc>
          <w:tcPr>
            <w:tcW w:w="2340" w:type="dxa"/>
            <w:vMerge/>
          </w:tcPr>
          <w:p w14:paraId="3E3167FE"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086F3E9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5.1.2</w:t>
            </w:r>
          </w:p>
          <w:p w14:paraId="2EBFD22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Convene a Working Group Management Team to operate, oversee and develop the on-line activities.</w:t>
            </w:r>
          </w:p>
          <w:p w14:paraId="0FED488F" w14:textId="77777777" w:rsidR="00C96521" w:rsidRPr="006437E1" w:rsidRDefault="00C96521" w:rsidP="00C96521">
            <w:pPr>
              <w:widowControl/>
              <w:autoSpaceDE/>
              <w:autoSpaceDN/>
              <w:adjustRightInd/>
              <w:rPr>
                <w:rFonts w:ascii="Arial" w:hAnsi="Arial" w:cs="Arial"/>
                <w:sz w:val="18"/>
                <w:szCs w:val="18"/>
                <w:lang w:val="en-GB"/>
              </w:rPr>
            </w:pPr>
          </w:p>
          <w:p w14:paraId="1D05402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and interested parties.</w:t>
            </w:r>
          </w:p>
        </w:tc>
        <w:tc>
          <w:tcPr>
            <w:tcW w:w="993" w:type="dxa"/>
          </w:tcPr>
          <w:p w14:paraId="6D7A3C4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0568620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1084F9A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 ACADEMIC INSTITUTIONS</w:t>
            </w:r>
            <w:r w:rsidRPr="006437E1">
              <w:rPr>
                <w:rFonts w:ascii="Arial" w:hAnsi="Arial" w:cs="Arial"/>
                <w:sz w:val="18"/>
                <w:szCs w:val="18"/>
                <w:lang w:val="en-GB"/>
              </w:rPr>
              <w:t>, national wildlife agencies, national hunting federations</w:t>
            </w:r>
          </w:p>
        </w:tc>
        <w:tc>
          <w:tcPr>
            <w:tcW w:w="2443" w:type="dxa"/>
          </w:tcPr>
          <w:p w14:paraId="586AA9C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5.1.1</w:t>
            </w:r>
          </w:p>
        </w:tc>
      </w:tr>
      <w:tr w:rsidR="00C96521" w:rsidRPr="006437E1" w14:paraId="2DFF1B7D" w14:textId="77777777" w:rsidTr="00C96521">
        <w:tc>
          <w:tcPr>
            <w:tcW w:w="2340" w:type="dxa"/>
            <w:vMerge/>
          </w:tcPr>
          <w:p w14:paraId="33E000F1"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3390EB4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5.1.3</w:t>
            </w:r>
          </w:p>
          <w:p w14:paraId="599DDDF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 representative of the Working Group to liaise with CMS and African-Eurasian Migratory Landbirds Action Plan (AEMLAP), the Migrant Landbird Study Group (MLSG) and other relevant conventions/initiatives.</w:t>
            </w:r>
          </w:p>
          <w:p w14:paraId="18589C1B" w14:textId="77777777" w:rsidR="00C96521" w:rsidRPr="006437E1" w:rsidRDefault="00C96521" w:rsidP="00C96521">
            <w:pPr>
              <w:widowControl/>
              <w:autoSpaceDE/>
              <w:autoSpaceDN/>
              <w:adjustRightInd/>
              <w:rPr>
                <w:rFonts w:ascii="Arial" w:hAnsi="Arial" w:cs="Arial"/>
                <w:sz w:val="18"/>
                <w:szCs w:val="18"/>
                <w:lang w:val="en-GB"/>
              </w:rPr>
            </w:pPr>
          </w:p>
          <w:p w14:paraId="1A696FB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and interested parties.</w:t>
            </w:r>
          </w:p>
        </w:tc>
        <w:tc>
          <w:tcPr>
            <w:tcW w:w="993" w:type="dxa"/>
          </w:tcPr>
          <w:p w14:paraId="59EF398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498015B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51CED7F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 ACADEMIC INSTITUTIONS</w:t>
            </w:r>
            <w:r w:rsidRPr="006437E1">
              <w:rPr>
                <w:rFonts w:ascii="Arial" w:hAnsi="Arial" w:cs="Arial"/>
                <w:sz w:val="18"/>
                <w:szCs w:val="18"/>
                <w:lang w:val="en-GB"/>
              </w:rPr>
              <w:t>, CMS, national wildlife agencies, national hunting federations</w:t>
            </w:r>
          </w:p>
          <w:p w14:paraId="0740E712" w14:textId="77777777" w:rsidR="00C96521" w:rsidRPr="006437E1" w:rsidRDefault="00C96521" w:rsidP="00C96521">
            <w:pPr>
              <w:widowControl/>
              <w:autoSpaceDE/>
              <w:autoSpaceDN/>
              <w:adjustRightInd/>
              <w:rPr>
                <w:rFonts w:ascii="Arial" w:hAnsi="Arial" w:cs="Arial"/>
                <w:sz w:val="18"/>
                <w:szCs w:val="18"/>
                <w:lang w:val="en-GB"/>
              </w:rPr>
            </w:pPr>
          </w:p>
        </w:tc>
        <w:tc>
          <w:tcPr>
            <w:tcW w:w="2443" w:type="dxa"/>
          </w:tcPr>
          <w:p w14:paraId="5FED4F1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5.1.2</w:t>
            </w:r>
          </w:p>
        </w:tc>
      </w:tr>
      <w:tr w:rsidR="00C96521" w:rsidRPr="006437E1" w14:paraId="1B4888AE" w14:textId="77777777" w:rsidTr="00C96521">
        <w:tc>
          <w:tcPr>
            <w:tcW w:w="2340" w:type="dxa"/>
          </w:tcPr>
          <w:p w14:paraId="2ECE5BD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5.2 International Tracking Group active by end of [</w:t>
            </w:r>
            <w:r w:rsidRPr="006437E1">
              <w:rPr>
                <w:rFonts w:ascii="Arial" w:hAnsi="Arial" w:cs="Arial"/>
                <w:i/>
                <w:sz w:val="18"/>
                <w:szCs w:val="18"/>
                <w:lang w:val="en-GB"/>
              </w:rPr>
              <w:t>2017</w:t>
            </w:r>
            <w:r w:rsidRPr="006437E1">
              <w:rPr>
                <w:rFonts w:ascii="Arial" w:hAnsi="Arial" w:cs="Arial"/>
                <w:sz w:val="18"/>
                <w:szCs w:val="18"/>
                <w:lang w:val="en-GB"/>
              </w:rPr>
              <w:t>].</w:t>
            </w:r>
          </w:p>
        </w:tc>
        <w:tc>
          <w:tcPr>
            <w:tcW w:w="4572" w:type="dxa"/>
          </w:tcPr>
          <w:p w14:paraId="3DA6CB6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5.2.1</w:t>
            </w:r>
          </w:p>
          <w:p w14:paraId="42D62F5F" w14:textId="427C983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Convene an International Turtle</w:t>
            </w:r>
            <w:r w:rsidR="008807BF" w:rsidRPr="006437E1">
              <w:rPr>
                <w:rFonts w:ascii="Arial" w:hAnsi="Arial" w:cs="Arial"/>
                <w:sz w:val="18"/>
                <w:szCs w:val="18"/>
                <w:lang w:val="en-GB"/>
              </w:rPr>
              <w:t xml:space="preserve"> D</w:t>
            </w:r>
            <w:r w:rsidRPr="006437E1">
              <w:rPr>
                <w:rFonts w:ascii="Arial" w:hAnsi="Arial" w:cs="Arial"/>
                <w:sz w:val="18"/>
                <w:szCs w:val="18"/>
                <w:lang w:val="en-GB"/>
              </w:rPr>
              <w:t>ove Tracking Group to collaborate on tracking projects, methodologies, and financing.</w:t>
            </w:r>
          </w:p>
          <w:p w14:paraId="2DE41A24" w14:textId="77777777" w:rsidR="00C96521" w:rsidRPr="006437E1" w:rsidRDefault="00C96521" w:rsidP="00C96521">
            <w:pPr>
              <w:widowControl/>
              <w:autoSpaceDE/>
              <w:autoSpaceDN/>
              <w:adjustRightInd/>
              <w:rPr>
                <w:rFonts w:ascii="Arial" w:hAnsi="Arial" w:cs="Arial"/>
                <w:sz w:val="18"/>
                <w:szCs w:val="18"/>
                <w:lang w:val="en-GB"/>
              </w:rPr>
            </w:pPr>
          </w:p>
          <w:p w14:paraId="22CBAD9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and interested parties.</w:t>
            </w:r>
          </w:p>
        </w:tc>
        <w:tc>
          <w:tcPr>
            <w:tcW w:w="993" w:type="dxa"/>
          </w:tcPr>
          <w:p w14:paraId="7AD07EB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2B9AC13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6AF27F5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 ACADEMIC INSTITUTIONS</w:t>
            </w:r>
            <w:r w:rsidRPr="006437E1">
              <w:rPr>
                <w:rFonts w:ascii="Arial" w:hAnsi="Arial" w:cs="Arial"/>
                <w:sz w:val="18"/>
                <w:szCs w:val="18"/>
                <w:lang w:val="en-GB"/>
              </w:rPr>
              <w:t>, national wildlife agencies, national hunting federations</w:t>
            </w:r>
          </w:p>
          <w:p w14:paraId="740C272F" w14:textId="77777777" w:rsidR="00C96521" w:rsidRPr="006437E1" w:rsidRDefault="00C96521" w:rsidP="00C96521">
            <w:pPr>
              <w:widowControl/>
              <w:autoSpaceDE/>
              <w:autoSpaceDN/>
              <w:adjustRightInd/>
              <w:rPr>
                <w:rFonts w:ascii="Arial" w:hAnsi="Arial" w:cs="Arial"/>
                <w:sz w:val="18"/>
                <w:szCs w:val="18"/>
                <w:lang w:val="en-GB"/>
              </w:rPr>
            </w:pPr>
          </w:p>
        </w:tc>
        <w:tc>
          <w:tcPr>
            <w:tcW w:w="2443" w:type="dxa"/>
          </w:tcPr>
          <w:p w14:paraId="11483C9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5.1.1; existing tracking projects and experts.</w:t>
            </w:r>
          </w:p>
        </w:tc>
      </w:tr>
      <w:tr w:rsidR="00C96521" w:rsidRPr="006437E1" w14:paraId="252D787E" w14:textId="77777777" w:rsidTr="00C96521">
        <w:tc>
          <w:tcPr>
            <w:tcW w:w="2340" w:type="dxa"/>
          </w:tcPr>
          <w:p w14:paraId="48B0344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5.3 International Turtle Dove Sustainable Harvest Working Group active by end of [</w:t>
            </w:r>
            <w:r w:rsidRPr="006437E1">
              <w:rPr>
                <w:rFonts w:ascii="Arial" w:hAnsi="Arial" w:cs="Arial"/>
                <w:i/>
                <w:sz w:val="18"/>
                <w:szCs w:val="18"/>
                <w:lang w:val="en-GB"/>
              </w:rPr>
              <w:t>2017</w:t>
            </w:r>
            <w:r w:rsidRPr="006437E1">
              <w:rPr>
                <w:rFonts w:ascii="Arial" w:hAnsi="Arial" w:cs="Arial"/>
                <w:sz w:val="18"/>
                <w:szCs w:val="18"/>
                <w:lang w:val="en-GB"/>
              </w:rPr>
              <w:t>].</w:t>
            </w:r>
          </w:p>
        </w:tc>
        <w:tc>
          <w:tcPr>
            <w:tcW w:w="4572" w:type="dxa"/>
          </w:tcPr>
          <w:p w14:paraId="2AD37DE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5.3.1</w:t>
            </w:r>
          </w:p>
          <w:p w14:paraId="0E922ADD" w14:textId="1F460BA5"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Convene an International Turtle</w:t>
            </w:r>
            <w:r w:rsidR="008807BF" w:rsidRPr="006437E1">
              <w:rPr>
                <w:rFonts w:ascii="Arial" w:hAnsi="Arial" w:cs="Arial"/>
                <w:sz w:val="18"/>
                <w:szCs w:val="18"/>
                <w:lang w:val="en-GB"/>
              </w:rPr>
              <w:t xml:space="preserve"> D</w:t>
            </w:r>
            <w:r w:rsidRPr="006437E1">
              <w:rPr>
                <w:rFonts w:ascii="Arial" w:hAnsi="Arial" w:cs="Arial"/>
                <w:sz w:val="18"/>
                <w:szCs w:val="18"/>
                <w:lang w:val="en-GB"/>
              </w:rPr>
              <w:t>ove Sustainable Harvest Working Group to collaborate on development of sustainable harvest models and practice.</w:t>
            </w:r>
          </w:p>
          <w:p w14:paraId="1883243F" w14:textId="77777777" w:rsidR="00C96521" w:rsidRPr="006437E1" w:rsidRDefault="00C96521" w:rsidP="00C96521">
            <w:pPr>
              <w:widowControl/>
              <w:autoSpaceDE/>
              <w:autoSpaceDN/>
              <w:adjustRightInd/>
              <w:rPr>
                <w:rFonts w:ascii="Arial" w:hAnsi="Arial" w:cs="Arial"/>
                <w:sz w:val="18"/>
                <w:szCs w:val="18"/>
                <w:lang w:val="en-GB"/>
              </w:rPr>
            </w:pPr>
          </w:p>
          <w:p w14:paraId="7A12550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993" w:type="dxa"/>
          </w:tcPr>
          <w:p w14:paraId="2C5607E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7B7AE31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3466DAF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FACE, CONSERVATION NGOs, ACADEMIC INSTITUTIONS</w:t>
            </w:r>
            <w:r w:rsidRPr="006437E1">
              <w:rPr>
                <w:rFonts w:ascii="Arial" w:hAnsi="Arial" w:cs="Arial"/>
                <w:sz w:val="18"/>
                <w:szCs w:val="18"/>
                <w:lang w:val="en-GB"/>
              </w:rPr>
              <w:t>, national wildlife agencies, national hunting federations</w:t>
            </w:r>
          </w:p>
          <w:p w14:paraId="68EA5DD6" w14:textId="77777777" w:rsidR="00C96521" w:rsidRPr="006437E1" w:rsidRDefault="00C96521" w:rsidP="00C96521">
            <w:pPr>
              <w:widowControl/>
              <w:autoSpaceDE/>
              <w:autoSpaceDN/>
              <w:adjustRightInd/>
              <w:rPr>
                <w:rFonts w:ascii="Arial" w:hAnsi="Arial" w:cs="Arial"/>
                <w:sz w:val="18"/>
                <w:szCs w:val="18"/>
                <w:lang w:val="en-GB"/>
              </w:rPr>
            </w:pPr>
          </w:p>
        </w:tc>
        <w:tc>
          <w:tcPr>
            <w:tcW w:w="2443" w:type="dxa"/>
          </w:tcPr>
          <w:p w14:paraId="021ED87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3.1.1</w:t>
            </w:r>
          </w:p>
          <w:p w14:paraId="74636BDA" w14:textId="77777777" w:rsidR="00C96521" w:rsidRPr="006437E1" w:rsidRDefault="00C96521" w:rsidP="00C96521">
            <w:pPr>
              <w:widowControl/>
              <w:autoSpaceDE/>
              <w:autoSpaceDN/>
              <w:adjustRightInd/>
              <w:rPr>
                <w:rFonts w:ascii="Arial" w:hAnsi="Arial" w:cs="Arial"/>
                <w:color w:val="FF0000"/>
                <w:sz w:val="18"/>
                <w:szCs w:val="18"/>
                <w:lang w:val="en-GB"/>
              </w:rPr>
            </w:pPr>
            <w:r w:rsidRPr="006437E1">
              <w:rPr>
                <w:rFonts w:ascii="Arial" w:hAnsi="Arial" w:cs="Arial"/>
                <w:sz w:val="18"/>
                <w:szCs w:val="18"/>
                <w:lang w:val="en-GB"/>
              </w:rPr>
              <w:t>Action 3.2.1</w:t>
            </w:r>
          </w:p>
        </w:tc>
      </w:tr>
      <w:tr w:rsidR="00C96521" w:rsidRPr="006437E1" w14:paraId="0C099688" w14:textId="77777777" w:rsidTr="00C96521">
        <w:tc>
          <w:tcPr>
            <w:tcW w:w="2340" w:type="dxa"/>
          </w:tcPr>
          <w:p w14:paraId="5C7452B6" w14:textId="4C5D88A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5.4 Documented standardi</w:t>
            </w:r>
            <w:r w:rsidR="008807BF" w:rsidRPr="006437E1">
              <w:rPr>
                <w:rFonts w:ascii="Arial" w:hAnsi="Arial" w:cs="Arial"/>
                <w:sz w:val="18"/>
                <w:szCs w:val="18"/>
                <w:lang w:val="en-GB"/>
              </w:rPr>
              <w:t>z</w:t>
            </w:r>
            <w:r w:rsidRPr="006437E1">
              <w:rPr>
                <w:rFonts w:ascii="Arial" w:hAnsi="Arial" w:cs="Arial"/>
                <w:sz w:val="18"/>
                <w:szCs w:val="18"/>
                <w:lang w:val="en-GB"/>
              </w:rPr>
              <w:t xml:space="preserve">ed procedures for studying </w:t>
            </w:r>
            <w:r w:rsidR="008807BF" w:rsidRPr="00235FA0">
              <w:rPr>
                <w:rFonts w:ascii="Arial" w:hAnsi="Arial" w:cs="Arial"/>
                <w:sz w:val="18"/>
                <w:szCs w:val="18"/>
                <w:lang w:val="en-GB"/>
              </w:rPr>
              <w:t xml:space="preserve">Turtle Dove </w:t>
            </w:r>
            <w:r w:rsidRPr="006437E1">
              <w:rPr>
                <w:rFonts w:ascii="Arial" w:hAnsi="Arial" w:cs="Arial"/>
                <w:sz w:val="18"/>
                <w:szCs w:val="18"/>
                <w:lang w:val="en-GB"/>
              </w:rPr>
              <w:t>available by end [</w:t>
            </w:r>
            <w:r w:rsidRPr="006437E1">
              <w:rPr>
                <w:rFonts w:ascii="Arial" w:hAnsi="Arial" w:cs="Arial"/>
                <w:i/>
                <w:sz w:val="18"/>
                <w:szCs w:val="18"/>
                <w:lang w:val="en-GB"/>
              </w:rPr>
              <w:t>2019</w:t>
            </w:r>
            <w:r w:rsidRPr="006437E1">
              <w:rPr>
                <w:rFonts w:ascii="Arial" w:hAnsi="Arial" w:cs="Arial"/>
                <w:sz w:val="18"/>
                <w:szCs w:val="18"/>
                <w:lang w:val="en-GB"/>
              </w:rPr>
              <w:t>].</w:t>
            </w:r>
          </w:p>
        </w:tc>
        <w:tc>
          <w:tcPr>
            <w:tcW w:w="4572" w:type="dxa"/>
          </w:tcPr>
          <w:p w14:paraId="7596014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5.4.1</w:t>
            </w:r>
          </w:p>
          <w:p w14:paraId="16BB257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Development of a set of agreed standards and methodologies across all Range States for collecting data (eg blood samples, productivity), tracking, and analyses.</w:t>
            </w:r>
          </w:p>
          <w:p w14:paraId="2498C34F" w14:textId="77777777" w:rsidR="00C96521" w:rsidRPr="006437E1" w:rsidRDefault="00C96521" w:rsidP="00C96521">
            <w:pPr>
              <w:widowControl/>
              <w:autoSpaceDE/>
              <w:autoSpaceDN/>
              <w:adjustRightInd/>
              <w:rPr>
                <w:rFonts w:ascii="Arial" w:hAnsi="Arial" w:cs="Arial"/>
                <w:sz w:val="18"/>
                <w:szCs w:val="18"/>
                <w:lang w:val="en-GB"/>
              </w:rPr>
            </w:pPr>
          </w:p>
          <w:p w14:paraId="1389845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and interested parties.</w:t>
            </w:r>
          </w:p>
        </w:tc>
        <w:tc>
          <w:tcPr>
            <w:tcW w:w="993" w:type="dxa"/>
          </w:tcPr>
          <w:p w14:paraId="1DA5F05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020310E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4AAD389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 ACADEMIC INSTITUTIONS</w:t>
            </w:r>
            <w:r w:rsidRPr="006437E1">
              <w:rPr>
                <w:rFonts w:ascii="Arial" w:hAnsi="Arial" w:cs="Arial"/>
                <w:sz w:val="18"/>
                <w:szCs w:val="18"/>
                <w:lang w:val="en-GB"/>
              </w:rPr>
              <w:t>, national wildlife agencies, national hunting federations</w:t>
            </w:r>
          </w:p>
          <w:p w14:paraId="72604F7F" w14:textId="77777777" w:rsidR="00C96521" w:rsidRPr="006437E1" w:rsidRDefault="00C96521" w:rsidP="00C96521">
            <w:pPr>
              <w:widowControl/>
              <w:autoSpaceDE/>
              <w:autoSpaceDN/>
              <w:adjustRightInd/>
              <w:rPr>
                <w:rFonts w:ascii="Arial" w:hAnsi="Arial" w:cs="Arial"/>
                <w:sz w:val="18"/>
                <w:szCs w:val="18"/>
                <w:lang w:val="en-GB"/>
              </w:rPr>
            </w:pPr>
          </w:p>
        </w:tc>
        <w:tc>
          <w:tcPr>
            <w:tcW w:w="2443" w:type="dxa"/>
          </w:tcPr>
          <w:p w14:paraId="73D6A1C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5.1.1, existing projects and methodologies.</w:t>
            </w:r>
          </w:p>
        </w:tc>
      </w:tr>
      <w:tr w:rsidR="00C96521" w:rsidRPr="00517734" w14:paraId="5B9A431D" w14:textId="77777777" w:rsidTr="00C96521">
        <w:tc>
          <w:tcPr>
            <w:tcW w:w="2340" w:type="dxa"/>
          </w:tcPr>
          <w:p w14:paraId="66E0924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5.5 National Action Plans are aligned with EU Action Plan by end [</w:t>
            </w:r>
            <w:r w:rsidRPr="006437E1">
              <w:rPr>
                <w:rFonts w:ascii="Arial" w:hAnsi="Arial" w:cs="Arial"/>
                <w:i/>
                <w:sz w:val="18"/>
                <w:szCs w:val="18"/>
                <w:lang w:val="en-GB"/>
              </w:rPr>
              <w:t>2018</w:t>
            </w:r>
            <w:r w:rsidRPr="006437E1">
              <w:rPr>
                <w:rFonts w:ascii="Arial" w:hAnsi="Arial" w:cs="Arial"/>
                <w:sz w:val="18"/>
                <w:szCs w:val="18"/>
                <w:lang w:val="en-GB"/>
              </w:rPr>
              <w:t>].</w:t>
            </w:r>
          </w:p>
        </w:tc>
        <w:tc>
          <w:tcPr>
            <w:tcW w:w="4572" w:type="dxa"/>
          </w:tcPr>
          <w:p w14:paraId="5058BAC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5.5.1</w:t>
            </w:r>
          </w:p>
          <w:p w14:paraId="77036B3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Ensure that National Action Plans are coordinated with the overarching EU Plan.</w:t>
            </w:r>
          </w:p>
          <w:p w14:paraId="59342864" w14:textId="77777777" w:rsidR="00C96521" w:rsidRPr="006437E1" w:rsidRDefault="00C96521" w:rsidP="00C96521">
            <w:pPr>
              <w:widowControl/>
              <w:autoSpaceDE/>
              <w:autoSpaceDN/>
              <w:adjustRightInd/>
              <w:rPr>
                <w:rFonts w:ascii="Arial" w:hAnsi="Arial" w:cs="Arial"/>
                <w:sz w:val="18"/>
                <w:szCs w:val="18"/>
                <w:lang w:val="en-GB"/>
              </w:rPr>
            </w:pPr>
          </w:p>
          <w:p w14:paraId="40FE6C4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Spain (currently), other EU Member States as they develop National Action Plans.</w:t>
            </w:r>
          </w:p>
        </w:tc>
        <w:tc>
          <w:tcPr>
            <w:tcW w:w="993" w:type="dxa"/>
          </w:tcPr>
          <w:p w14:paraId="7B8BD0F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Essential</w:t>
            </w:r>
          </w:p>
        </w:tc>
        <w:tc>
          <w:tcPr>
            <w:tcW w:w="1134" w:type="dxa"/>
          </w:tcPr>
          <w:p w14:paraId="3DDCFF1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623290A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w:t>
            </w:r>
          </w:p>
        </w:tc>
        <w:tc>
          <w:tcPr>
            <w:tcW w:w="2443" w:type="dxa"/>
          </w:tcPr>
          <w:p w14:paraId="48E3860C" w14:textId="77777777" w:rsidR="00C96521" w:rsidRPr="006437E1" w:rsidRDefault="00C96521" w:rsidP="00C96521">
            <w:pPr>
              <w:widowControl/>
              <w:autoSpaceDE/>
              <w:autoSpaceDN/>
              <w:adjustRightInd/>
              <w:rPr>
                <w:rFonts w:ascii="Arial" w:hAnsi="Arial" w:cs="Arial"/>
                <w:sz w:val="18"/>
                <w:szCs w:val="18"/>
                <w:lang w:val="fr-FR"/>
              </w:rPr>
            </w:pPr>
            <w:r w:rsidRPr="006437E1">
              <w:rPr>
                <w:rFonts w:ascii="Arial" w:hAnsi="Arial" w:cs="Arial"/>
                <w:sz w:val="18"/>
                <w:szCs w:val="18"/>
                <w:lang w:val="fr-FR"/>
              </w:rPr>
              <w:t>National Action Plans, EU Action Plan.</w:t>
            </w:r>
          </w:p>
        </w:tc>
      </w:tr>
      <w:tr w:rsidR="00C96521" w:rsidRPr="006437E1" w14:paraId="6AED259A" w14:textId="77777777" w:rsidTr="00C96521">
        <w:tc>
          <w:tcPr>
            <w:tcW w:w="2340" w:type="dxa"/>
            <w:vMerge w:val="restart"/>
          </w:tcPr>
          <w:p w14:paraId="480D97AF" w14:textId="75921CD1"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5.6 Common goals of Conservation NGOs and Development NGOs working within </w:t>
            </w:r>
            <w:r w:rsidR="008807BF" w:rsidRPr="00235FA0">
              <w:rPr>
                <w:rFonts w:ascii="Arial" w:hAnsi="Arial" w:cs="Arial"/>
                <w:sz w:val="18"/>
                <w:szCs w:val="18"/>
                <w:lang w:val="en-GB"/>
              </w:rPr>
              <w:t xml:space="preserve">Turtle Dove </w:t>
            </w:r>
            <w:r w:rsidRPr="006437E1">
              <w:rPr>
                <w:rFonts w:ascii="Arial" w:hAnsi="Arial" w:cs="Arial"/>
                <w:sz w:val="18"/>
                <w:szCs w:val="18"/>
                <w:lang w:val="en-GB"/>
              </w:rPr>
              <w:t xml:space="preserve">wintering </w:t>
            </w:r>
            <w:r w:rsidR="008807BF" w:rsidRPr="006437E1">
              <w:rPr>
                <w:rFonts w:ascii="Arial" w:hAnsi="Arial" w:cs="Arial"/>
                <w:sz w:val="18"/>
                <w:szCs w:val="18"/>
                <w:lang w:val="en-GB"/>
              </w:rPr>
              <w:t>R</w:t>
            </w:r>
            <w:r w:rsidRPr="006437E1">
              <w:rPr>
                <w:rFonts w:ascii="Arial" w:hAnsi="Arial" w:cs="Arial"/>
                <w:sz w:val="18"/>
                <w:szCs w:val="18"/>
                <w:lang w:val="en-GB"/>
              </w:rPr>
              <w:t xml:space="preserve">ange </w:t>
            </w:r>
            <w:r w:rsidR="008807BF" w:rsidRPr="006437E1">
              <w:rPr>
                <w:rFonts w:ascii="Arial" w:hAnsi="Arial" w:cs="Arial"/>
                <w:sz w:val="18"/>
                <w:szCs w:val="18"/>
                <w:lang w:val="en-GB"/>
              </w:rPr>
              <w:t>S</w:t>
            </w:r>
            <w:r w:rsidRPr="006437E1">
              <w:rPr>
                <w:rFonts w:ascii="Arial" w:hAnsi="Arial" w:cs="Arial"/>
                <w:sz w:val="18"/>
                <w:szCs w:val="18"/>
                <w:lang w:val="en-GB"/>
              </w:rPr>
              <w:t xml:space="preserve">tates and </w:t>
            </w:r>
            <w:r w:rsidR="008807BF" w:rsidRPr="006437E1">
              <w:rPr>
                <w:rFonts w:ascii="Arial" w:hAnsi="Arial" w:cs="Arial"/>
                <w:sz w:val="18"/>
                <w:szCs w:val="18"/>
                <w:lang w:val="en-GB"/>
              </w:rPr>
              <w:t>S</w:t>
            </w:r>
            <w:r w:rsidRPr="006437E1">
              <w:rPr>
                <w:rFonts w:ascii="Arial" w:hAnsi="Arial" w:cs="Arial"/>
                <w:sz w:val="18"/>
                <w:szCs w:val="18"/>
                <w:lang w:val="en-GB"/>
              </w:rPr>
              <w:t>tates with important stop-over sites are identified by [</w:t>
            </w:r>
            <w:r w:rsidRPr="006437E1">
              <w:rPr>
                <w:rFonts w:ascii="Arial" w:hAnsi="Arial" w:cs="Arial"/>
                <w:i/>
                <w:sz w:val="18"/>
                <w:szCs w:val="18"/>
                <w:lang w:val="en-GB"/>
              </w:rPr>
              <w:t>end 2018</w:t>
            </w:r>
            <w:r w:rsidRPr="006437E1">
              <w:rPr>
                <w:rFonts w:ascii="Arial" w:hAnsi="Arial" w:cs="Arial"/>
                <w:sz w:val="18"/>
                <w:szCs w:val="18"/>
                <w:lang w:val="en-GB"/>
              </w:rPr>
              <w:t>].</w:t>
            </w:r>
          </w:p>
        </w:tc>
        <w:tc>
          <w:tcPr>
            <w:tcW w:w="4572" w:type="dxa"/>
          </w:tcPr>
          <w:p w14:paraId="4C8100D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5.6.1</w:t>
            </w:r>
          </w:p>
          <w:p w14:paraId="0C0A4A5E" w14:textId="10E5DD1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Assess the goals of Conservation NGOs and Development NGOs working in </w:t>
            </w:r>
            <w:r w:rsidR="008807BF" w:rsidRPr="00235FA0">
              <w:rPr>
                <w:rFonts w:ascii="Arial" w:hAnsi="Arial" w:cs="Arial"/>
                <w:sz w:val="18"/>
                <w:szCs w:val="18"/>
                <w:lang w:val="en-GB"/>
              </w:rPr>
              <w:t xml:space="preserve">Turtle Dove </w:t>
            </w:r>
            <w:r w:rsidRPr="006437E1">
              <w:rPr>
                <w:rFonts w:ascii="Arial" w:hAnsi="Arial" w:cs="Arial"/>
                <w:sz w:val="18"/>
                <w:szCs w:val="18"/>
                <w:lang w:val="en-GB"/>
              </w:rPr>
              <w:t xml:space="preserve">wintering range states and states with important stop-over sites and identify where these goals overlap to benefit </w:t>
            </w:r>
            <w:r w:rsidR="008807BF" w:rsidRPr="00235FA0">
              <w:rPr>
                <w:rFonts w:ascii="Arial" w:hAnsi="Arial" w:cs="Arial"/>
                <w:sz w:val="18"/>
                <w:szCs w:val="18"/>
                <w:lang w:val="en-GB"/>
              </w:rPr>
              <w:t>Turtle Dove</w:t>
            </w:r>
            <w:r w:rsidRPr="006437E1">
              <w:rPr>
                <w:rFonts w:ascii="Arial" w:hAnsi="Arial" w:cs="Arial"/>
                <w:sz w:val="18"/>
                <w:szCs w:val="18"/>
                <w:lang w:val="en-GB"/>
              </w:rPr>
              <w:t xml:space="preserve">. </w:t>
            </w:r>
          </w:p>
          <w:p w14:paraId="01D3C135" w14:textId="77777777" w:rsidR="00C96521" w:rsidRPr="006437E1" w:rsidRDefault="00C96521" w:rsidP="00C96521">
            <w:pPr>
              <w:widowControl/>
              <w:autoSpaceDE/>
              <w:autoSpaceDN/>
              <w:adjustRightInd/>
              <w:rPr>
                <w:rFonts w:ascii="Arial" w:hAnsi="Arial" w:cs="Arial"/>
                <w:sz w:val="18"/>
                <w:szCs w:val="18"/>
                <w:lang w:val="en-GB"/>
              </w:rPr>
            </w:pPr>
          </w:p>
          <w:p w14:paraId="33A7C58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NGOs working on livelihoods and human welfare across all Range States (including FAO, UNDP, UNCCD, Great Green Wall).</w:t>
            </w:r>
          </w:p>
        </w:tc>
        <w:tc>
          <w:tcPr>
            <w:tcW w:w="993" w:type="dxa"/>
          </w:tcPr>
          <w:p w14:paraId="46528E0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681EE71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04958EE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academic institutions</w:t>
            </w:r>
          </w:p>
        </w:tc>
        <w:tc>
          <w:tcPr>
            <w:tcW w:w="2443" w:type="dxa"/>
          </w:tcPr>
          <w:p w14:paraId="7897999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Mission statements of NGOs from other sectors.</w:t>
            </w:r>
          </w:p>
        </w:tc>
      </w:tr>
      <w:tr w:rsidR="00C96521" w:rsidRPr="006437E1" w14:paraId="5B82A2BB" w14:textId="77777777" w:rsidTr="00C96521">
        <w:tc>
          <w:tcPr>
            <w:tcW w:w="2340" w:type="dxa"/>
            <w:vMerge/>
          </w:tcPr>
          <w:p w14:paraId="26C871AB"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72BD762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5.6.2</w:t>
            </w:r>
          </w:p>
          <w:p w14:paraId="696B7A0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Promote common goals to other sector NGOs, and develop working links as appropriate.</w:t>
            </w:r>
          </w:p>
          <w:p w14:paraId="5B347AAA" w14:textId="77777777" w:rsidR="00C96521" w:rsidRPr="006437E1" w:rsidRDefault="00C96521" w:rsidP="00C96521">
            <w:pPr>
              <w:widowControl/>
              <w:autoSpaceDE/>
              <w:autoSpaceDN/>
              <w:adjustRightInd/>
              <w:rPr>
                <w:rFonts w:ascii="Arial" w:hAnsi="Arial" w:cs="Arial"/>
                <w:sz w:val="18"/>
                <w:szCs w:val="18"/>
                <w:lang w:val="en-GB"/>
              </w:rPr>
            </w:pPr>
          </w:p>
          <w:p w14:paraId="0752A0B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NGOs working on livelihoods and human welfare across all Range States (including FAO, UNDP, UNCCD, Great Green Wall).</w:t>
            </w:r>
          </w:p>
        </w:tc>
        <w:tc>
          <w:tcPr>
            <w:tcW w:w="993" w:type="dxa"/>
          </w:tcPr>
          <w:p w14:paraId="07ECD8A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2440A41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5EE4A26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academic institutions</w:t>
            </w:r>
          </w:p>
        </w:tc>
        <w:tc>
          <w:tcPr>
            <w:tcW w:w="2443" w:type="dxa"/>
          </w:tcPr>
          <w:p w14:paraId="043760A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5.6.1</w:t>
            </w:r>
          </w:p>
        </w:tc>
      </w:tr>
      <w:tr w:rsidR="00C96521" w:rsidRPr="006437E1" w14:paraId="299898BC" w14:textId="77777777" w:rsidTr="00C96521">
        <w:tc>
          <w:tcPr>
            <w:tcW w:w="2340" w:type="dxa"/>
          </w:tcPr>
          <w:p w14:paraId="3DA9BA2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5.7 Local conservation NGOs in core areas are able to support turtle-dove activities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335711F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5.7.1</w:t>
            </w:r>
          </w:p>
          <w:p w14:paraId="2E58A8CA" w14:textId="3CD4B571"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Increase capacity in small conservation NGOs to carry out national conservation activities to support the conservation of the </w:t>
            </w:r>
            <w:r w:rsidR="000C3653" w:rsidRPr="00235FA0">
              <w:rPr>
                <w:rFonts w:ascii="Arial" w:hAnsi="Arial" w:cs="Arial"/>
                <w:sz w:val="18"/>
                <w:szCs w:val="18"/>
                <w:lang w:val="en-GB"/>
              </w:rPr>
              <w:t>Turtle Dove</w:t>
            </w:r>
            <w:r w:rsidRPr="006437E1">
              <w:rPr>
                <w:rFonts w:ascii="Arial" w:hAnsi="Arial" w:cs="Arial"/>
                <w:sz w:val="18"/>
                <w:szCs w:val="18"/>
                <w:lang w:val="en-GB"/>
              </w:rPr>
              <w:t>.</w:t>
            </w:r>
          </w:p>
          <w:p w14:paraId="1A501D7C" w14:textId="77777777" w:rsidR="00C96521" w:rsidRPr="006437E1" w:rsidRDefault="00C96521" w:rsidP="00C96521">
            <w:pPr>
              <w:widowControl/>
              <w:autoSpaceDE/>
              <w:autoSpaceDN/>
              <w:adjustRightInd/>
              <w:rPr>
                <w:rFonts w:ascii="Arial" w:hAnsi="Arial" w:cs="Arial"/>
                <w:sz w:val="18"/>
                <w:szCs w:val="18"/>
                <w:lang w:val="en-GB"/>
              </w:rPr>
            </w:pPr>
          </w:p>
          <w:p w14:paraId="0E87D83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Applicable to: Range States with no large existing conservation NGO.</w:t>
            </w:r>
          </w:p>
        </w:tc>
        <w:tc>
          <w:tcPr>
            <w:tcW w:w="993" w:type="dxa"/>
          </w:tcPr>
          <w:p w14:paraId="0C7DA7D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High</w:t>
            </w:r>
          </w:p>
        </w:tc>
        <w:tc>
          <w:tcPr>
            <w:tcW w:w="1134" w:type="dxa"/>
          </w:tcPr>
          <w:p w14:paraId="4B9CCD5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597EE54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academic institutions</w:t>
            </w:r>
          </w:p>
        </w:tc>
        <w:tc>
          <w:tcPr>
            <w:tcW w:w="2443" w:type="dxa"/>
          </w:tcPr>
          <w:p w14:paraId="742E26E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BirdLife Partnership Partner Support network.</w:t>
            </w:r>
          </w:p>
        </w:tc>
      </w:tr>
    </w:tbl>
    <w:p w14:paraId="5E282C27"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4632B56D"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340"/>
        <w:gridCol w:w="4572"/>
        <w:gridCol w:w="993"/>
        <w:gridCol w:w="1134"/>
        <w:gridCol w:w="2693"/>
        <w:gridCol w:w="2443"/>
      </w:tblGrid>
      <w:tr w:rsidR="00C96521" w:rsidRPr="006437E1" w14:paraId="60CF999E" w14:textId="77777777" w:rsidTr="006437E1">
        <w:trPr>
          <w:tblHeader/>
        </w:trPr>
        <w:tc>
          <w:tcPr>
            <w:tcW w:w="14175" w:type="dxa"/>
            <w:gridSpan w:val="6"/>
            <w:shd w:val="clear" w:color="auto" w:fill="BFBFBF" w:themeFill="background1" w:themeFillShade="BF"/>
          </w:tcPr>
          <w:p w14:paraId="2266E79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Objective 6: Raise awareness</w:t>
            </w:r>
          </w:p>
        </w:tc>
      </w:tr>
      <w:tr w:rsidR="00C96521" w:rsidRPr="006437E1" w14:paraId="57C48EB8" w14:textId="77777777" w:rsidTr="00C96521">
        <w:trPr>
          <w:tblHeader/>
        </w:trPr>
        <w:tc>
          <w:tcPr>
            <w:tcW w:w="2340" w:type="dxa"/>
            <w:shd w:val="clear" w:color="auto" w:fill="D9D9D9"/>
          </w:tcPr>
          <w:p w14:paraId="174535B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Result</w:t>
            </w:r>
          </w:p>
        </w:tc>
        <w:tc>
          <w:tcPr>
            <w:tcW w:w="4572" w:type="dxa"/>
            <w:shd w:val="clear" w:color="auto" w:fill="D9D9D9"/>
          </w:tcPr>
          <w:p w14:paraId="552A75D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and scope</w:t>
            </w:r>
          </w:p>
        </w:tc>
        <w:tc>
          <w:tcPr>
            <w:tcW w:w="993" w:type="dxa"/>
            <w:shd w:val="clear" w:color="auto" w:fill="D9D9D9"/>
          </w:tcPr>
          <w:p w14:paraId="58F8649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Priority</w:t>
            </w:r>
          </w:p>
        </w:tc>
        <w:tc>
          <w:tcPr>
            <w:tcW w:w="1134" w:type="dxa"/>
            <w:shd w:val="clear" w:color="auto" w:fill="D9D9D9"/>
          </w:tcPr>
          <w:p w14:paraId="4C37F5B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Timescale</w:t>
            </w:r>
          </w:p>
        </w:tc>
        <w:tc>
          <w:tcPr>
            <w:tcW w:w="2693" w:type="dxa"/>
            <w:shd w:val="clear" w:color="auto" w:fill="D9D9D9"/>
          </w:tcPr>
          <w:p w14:paraId="19DAF0F6" w14:textId="1816FEF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Organi</w:t>
            </w:r>
            <w:r w:rsidR="005028F9" w:rsidRPr="006437E1">
              <w:rPr>
                <w:rFonts w:ascii="Arial" w:hAnsi="Arial" w:cs="Arial"/>
                <w:sz w:val="18"/>
                <w:szCs w:val="18"/>
                <w:lang w:val="en-GB"/>
              </w:rPr>
              <w:t>z</w:t>
            </w:r>
            <w:r w:rsidRPr="006437E1">
              <w:rPr>
                <w:rFonts w:ascii="Arial" w:hAnsi="Arial" w:cs="Arial"/>
                <w:sz w:val="18"/>
                <w:szCs w:val="18"/>
                <w:lang w:val="en-GB"/>
              </w:rPr>
              <w:t>ations responsible</w:t>
            </w:r>
          </w:p>
        </w:tc>
        <w:tc>
          <w:tcPr>
            <w:tcW w:w="2443" w:type="dxa"/>
            <w:shd w:val="clear" w:color="auto" w:fill="D9D9D9"/>
          </w:tcPr>
          <w:p w14:paraId="7F5AC1A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Inputs required</w:t>
            </w:r>
          </w:p>
        </w:tc>
      </w:tr>
      <w:tr w:rsidR="00C96521" w:rsidRPr="006437E1" w14:paraId="4B0F04B4" w14:textId="77777777" w:rsidTr="00C96521">
        <w:tc>
          <w:tcPr>
            <w:tcW w:w="2340" w:type="dxa"/>
            <w:vMerge w:val="restart"/>
          </w:tcPr>
          <w:p w14:paraId="2AA3FB57" w14:textId="62921AD4"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6.1 Communications Strategy for the International Turtle</w:t>
            </w:r>
            <w:r w:rsidR="000C3653" w:rsidRPr="006437E1">
              <w:rPr>
                <w:rFonts w:ascii="Arial" w:hAnsi="Arial" w:cs="Arial"/>
                <w:sz w:val="18"/>
                <w:szCs w:val="18"/>
                <w:lang w:val="en-GB"/>
              </w:rPr>
              <w:t xml:space="preserve"> D</w:t>
            </w:r>
            <w:r w:rsidRPr="006437E1">
              <w:rPr>
                <w:rFonts w:ascii="Arial" w:hAnsi="Arial" w:cs="Arial"/>
                <w:sz w:val="18"/>
                <w:szCs w:val="18"/>
                <w:lang w:val="en-GB"/>
              </w:rPr>
              <w:t>ove Action Plan by [</w:t>
            </w:r>
            <w:r w:rsidRPr="006437E1">
              <w:rPr>
                <w:rFonts w:ascii="Arial" w:hAnsi="Arial" w:cs="Arial"/>
                <w:i/>
                <w:sz w:val="18"/>
                <w:szCs w:val="18"/>
                <w:lang w:val="en-GB"/>
              </w:rPr>
              <w:t>2018</w:t>
            </w:r>
            <w:r w:rsidRPr="006437E1">
              <w:rPr>
                <w:rFonts w:ascii="Arial" w:hAnsi="Arial" w:cs="Arial"/>
                <w:sz w:val="18"/>
                <w:szCs w:val="18"/>
                <w:lang w:val="en-GB"/>
              </w:rPr>
              <w:t>].</w:t>
            </w:r>
          </w:p>
        </w:tc>
        <w:tc>
          <w:tcPr>
            <w:tcW w:w="4572" w:type="dxa"/>
          </w:tcPr>
          <w:p w14:paraId="6FEE11E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6.1.1</w:t>
            </w:r>
          </w:p>
          <w:p w14:paraId="1B3251F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Develop a Communications Strategy to promote the implementation of the actions of the Action Plan to raise awareness among stakeholders and national authorities to promote the development and implementation of agri-environment schemes for turtle-dove, the Sustainable Hunting Initiative, and to ensure that the turtle-dove and the multiple biodiversity benefits related to its conservation remain high on the political and economic agenda for national governments.</w:t>
            </w:r>
          </w:p>
          <w:p w14:paraId="74804D38" w14:textId="77777777" w:rsidR="00C96521" w:rsidRPr="006437E1" w:rsidRDefault="00C96521" w:rsidP="00C96521">
            <w:pPr>
              <w:widowControl/>
              <w:autoSpaceDE/>
              <w:autoSpaceDN/>
              <w:adjustRightInd/>
              <w:rPr>
                <w:rFonts w:ascii="Arial" w:hAnsi="Arial" w:cs="Arial"/>
                <w:sz w:val="18"/>
                <w:szCs w:val="18"/>
                <w:lang w:val="en-GB"/>
              </w:rPr>
            </w:pPr>
          </w:p>
          <w:p w14:paraId="791F564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993" w:type="dxa"/>
          </w:tcPr>
          <w:p w14:paraId="423DC23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5650FC3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7BE8BF5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w:t>
            </w:r>
            <w:r w:rsidRPr="006437E1">
              <w:rPr>
                <w:rFonts w:ascii="Arial" w:hAnsi="Arial" w:cs="Arial"/>
                <w:sz w:val="18"/>
                <w:szCs w:val="18"/>
                <w:lang w:val="en-GB"/>
              </w:rPr>
              <w:t>, national hunting federations</w:t>
            </w:r>
          </w:p>
        </w:tc>
        <w:tc>
          <w:tcPr>
            <w:tcW w:w="2443" w:type="dxa"/>
          </w:tcPr>
          <w:p w14:paraId="2B00718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3.3.1</w:t>
            </w:r>
          </w:p>
        </w:tc>
      </w:tr>
      <w:tr w:rsidR="00C96521" w:rsidRPr="006437E1" w14:paraId="31C244F0" w14:textId="77777777" w:rsidTr="00C96521">
        <w:tc>
          <w:tcPr>
            <w:tcW w:w="2340" w:type="dxa"/>
            <w:vMerge/>
          </w:tcPr>
          <w:p w14:paraId="1A3458FE"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6546B57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6.1.2</w:t>
            </w:r>
          </w:p>
          <w:p w14:paraId="64AC114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Use the biannual meeting of the Expert Group on Birds and Habitats Directives (NADEG) to discuss and inform on the progress/outputs of the implementation of the Action Plan.</w:t>
            </w:r>
          </w:p>
          <w:p w14:paraId="381FF7CF" w14:textId="77777777" w:rsidR="00C96521" w:rsidRPr="006437E1" w:rsidRDefault="00C96521" w:rsidP="00C96521">
            <w:pPr>
              <w:widowControl/>
              <w:autoSpaceDE/>
              <w:autoSpaceDN/>
              <w:adjustRightInd/>
              <w:rPr>
                <w:rFonts w:ascii="Arial" w:hAnsi="Arial" w:cs="Arial"/>
                <w:sz w:val="18"/>
                <w:szCs w:val="18"/>
                <w:lang w:val="en-GB"/>
              </w:rPr>
            </w:pPr>
          </w:p>
          <w:p w14:paraId="3D72955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EU Range States.</w:t>
            </w:r>
          </w:p>
        </w:tc>
        <w:tc>
          <w:tcPr>
            <w:tcW w:w="993" w:type="dxa"/>
          </w:tcPr>
          <w:p w14:paraId="6FD72B7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High </w:t>
            </w:r>
          </w:p>
        </w:tc>
        <w:tc>
          <w:tcPr>
            <w:tcW w:w="1134" w:type="dxa"/>
          </w:tcPr>
          <w:p w14:paraId="2CAAD19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3038512C"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EUROPEAN COMMISSION</w:t>
            </w:r>
          </w:p>
        </w:tc>
        <w:tc>
          <w:tcPr>
            <w:tcW w:w="2443" w:type="dxa"/>
          </w:tcPr>
          <w:p w14:paraId="7B8ED65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Complete Action Plan.</w:t>
            </w:r>
          </w:p>
        </w:tc>
      </w:tr>
      <w:tr w:rsidR="00C96521" w:rsidRPr="006437E1" w14:paraId="240801DF" w14:textId="77777777" w:rsidTr="00C96521">
        <w:tc>
          <w:tcPr>
            <w:tcW w:w="2340" w:type="dxa"/>
          </w:tcPr>
          <w:p w14:paraId="04DB89FA" w14:textId="40AD6F0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6.2 Turtle</w:t>
            </w:r>
            <w:r w:rsidR="000063EB" w:rsidRPr="006437E1">
              <w:rPr>
                <w:rFonts w:ascii="Arial" w:hAnsi="Arial" w:cs="Arial"/>
                <w:sz w:val="18"/>
                <w:szCs w:val="18"/>
                <w:lang w:val="en-GB"/>
              </w:rPr>
              <w:t xml:space="preserve"> D</w:t>
            </w:r>
            <w:r w:rsidRPr="006437E1">
              <w:rPr>
                <w:rFonts w:ascii="Arial" w:hAnsi="Arial" w:cs="Arial"/>
                <w:sz w:val="18"/>
                <w:szCs w:val="18"/>
                <w:lang w:val="en-GB"/>
              </w:rPr>
              <w:t>ove incorporated into at least [</w:t>
            </w:r>
            <w:r w:rsidRPr="006437E1">
              <w:rPr>
                <w:rFonts w:ascii="Arial" w:hAnsi="Arial" w:cs="Arial"/>
                <w:i/>
                <w:sz w:val="18"/>
                <w:szCs w:val="18"/>
                <w:lang w:val="en-GB"/>
              </w:rPr>
              <w:t>n</w:t>
            </w:r>
            <w:r w:rsidRPr="006437E1">
              <w:rPr>
                <w:rFonts w:ascii="Arial" w:hAnsi="Arial" w:cs="Arial"/>
                <w:sz w:val="18"/>
                <w:szCs w:val="18"/>
                <w:lang w:val="en-GB"/>
              </w:rPr>
              <w:t>] national Citizen Science project in each Range State (breeding, wintering and passage)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7548E6A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6.2.1</w:t>
            </w:r>
          </w:p>
          <w:p w14:paraId="08C67728" w14:textId="595F2E9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Promote the </w:t>
            </w:r>
            <w:r w:rsidR="000063EB" w:rsidRPr="006437E1">
              <w:rPr>
                <w:rFonts w:ascii="Arial" w:hAnsi="Arial" w:cs="Arial"/>
                <w:sz w:val="18"/>
                <w:szCs w:val="18"/>
                <w:lang w:val="en-GB"/>
              </w:rPr>
              <w:t>T</w:t>
            </w:r>
            <w:r w:rsidRPr="006437E1">
              <w:rPr>
                <w:rFonts w:ascii="Arial" w:hAnsi="Arial" w:cs="Arial"/>
                <w:sz w:val="18"/>
                <w:szCs w:val="18"/>
                <w:lang w:val="en-GB"/>
              </w:rPr>
              <w:t>urtle</w:t>
            </w:r>
            <w:r w:rsidR="000063EB" w:rsidRPr="006437E1">
              <w:rPr>
                <w:rFonts w:ascii="Arial" w:hAnsi="Arial" w:cs="Arial"/>
                <w:sz w:val="18"/>
                <w:szCs w:val="18"/>
                <w:lang w:val="en-GB"/>
              </w:rPr>
              <w:t xml:space="preserve"> D</w:t>
            </w:r>
            <w:r w:rsidRPr="006437E1">
              <w:rPr>
                <w:rFonts w:ascii="Arial" w:hAnsi="Arial" w:cs="Arial"/>
                <w:sz w:val="18"/>
                <w:szCs w:val="18"/>
                <w:lang w:val="en-GB"/>
              </w:rPr>
              <w:t>ove as a target species for national Citizen Science projects with an emphasis on filling the knowledge gaps identified in Objective 7.</w:t>
            </w:r>
          </w:p>
          <w:p w14:paraId="40D5FA32" w14:textId="77777777" w:rsidR="00C96521" w:rsidRPr="006437E1" w:rsidRDefault="00C96521" w:rsidP="00C96521">
            <w:pPr>
              <w:widowControl/>
              <w:autoSpaceDE/>
              <w:autoSpaceDN/>
              <w:adjustRightInd/>
              <w:rPr>
                <w:rFonts w:ascii="Arial" w:hAnsi="Arial" w:cs="Arial"/>
                <w:sz w:val="18"/>
                <w:szCs w:val="18"/>
                <w:lang w:val="en-GB"/>
              </w:rPr>
            </w:pPr>
          </w:p>
          <w:p w14:paraId="6BEC20A2" w14:textId="77777777" w:rsidR="00C96521" w:rsidRPr="006437E1" w:rsidRDefault="00C96521" w:rsidP="00C96521">
            <w:pPr>
              <w:widowControl/>
              <w:autoSpaceDE/>
              <w:autoSpaceDN/>
              <w:adjustRightInd/>
              <w:rPr>
                <w:rFonts w:ascii="Arial" w:hAnsi="Arial" w:cs="Arial"/>
                <w:sz w:val="18"/>
                <w:szCs w:val="18"/>
                <w:lang w:val="en-GB"/>
              </w:rPr>
            </w:pPr>
          </w:p>
          <w:p w14:paraId="5CACEA3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993" w:type="dxa"/>
          </w:tcPr>
          <w:p w14:paraId="70A1906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134" w:type="dxa"/>
          </w:tcPr>
          <w:p w14:paraId="012D8C2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4B66414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FACE, national hunting federations, national governments</w:t>
            </w:r>
          </w:p>
        </w:tc>
        <w:tc>
          <w:tcPr>
            <w:tcW w:w="2443" w:type="dxa"/>
          </w:tcPr>
          <w:p w14:paraId="2CE338D5" w14:textId="77777777" w:rsidR="00C96521" w:rsidRPr="006437E1" w:rsidRDefault="00C96521" w:rsidP="00C96521">
            <w:pPr>
              <w:widowControl/>
              <w:autoSpaceDE/>
              <w:autoSpaceDN/>
              <w:adjustRightInd/>
              <w:rPr>
                <w:rFonts w:ascii="Arial" w:hAnsi="Arial" w:cs="Arial"/>
                <w:sz w:val="18"/>
                <w:szCs w:val="18"/>
                <w:lang w:val="en-GB"/>
              </w:rPr>
            </w:pPr>
          </w:p>
        </w:tc>
      </w:tr>
      <w:tr w:rsidR="00C96521" w:rsidRPr="006437E1" w14:paraId="7FD4EDBF" w14:textId="77777777" w:rsidTr="00C96521">
        <w:tc>
          <w:tcPr>
            <w:tcW w:w="2340" w:type="dxa"/>
          </w:tcPr>
          <w:p w14:paraId="623C8E38" w14:textId="75B5B7F4"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6.3 Zero-tolerance of illegal killing of </w:t>
            </w:r>
            <w:r w:rsidR="000063EB" w:rsidRPr="006437E1">
              <w:rPr>
                <w:rFonts w:ascii="Arial" w:hAnsi="Arial" w:cs="Arial"/>
                <w:sz w:val="18"/>
                <w:szCs w:val="18"/>
                <w:lang w:val="en-GB"/>
              </w:rPr>
              <w:t>T</w:t>
            </w:r>
            <w:r w:rsidRPr="006437E1">
              <w:rPr>
                <w:rFonts w:ascii="Arial" w:hAnsi="Arial" w:cs="Arial"/>
                <w:sz w:val="18"/>
                <w:szCs w:val="18"/>
                <w:lang w:val="en-GB"/>
              </w:rPr>
              <w:t>urtle</w:t>
            </w:r>
            <w:r w:rsidR="000063EB" w:rsidRPr="006437E1">
              <w:rPr>
                <w:rFonts w:ascii="Arial" w:hAnsi="Arial" w:cs="Arial"/>
                <w:sz w:val="18"/>
                <w:szCs w:val="18"/>
                <w:lang w:val="en-GB"/>
              </w:rPr>
              <w:t>D</w:t>
            </w:r>
            <w:r w:rsidRPr="006437E1">
              <w:rPr>
                <w:rFonts w:ascii="Arial" w:hAnsi="Arial" w:cs="Arial"/>
                <w:sz w:val="18"/>
                <w:szCs w:val="18"/>
                <w:lang w:val="en-GB"/>
              </w:rPr>
              <w:t>oves by [</w:t>
            </w:r>
            <w:r w:rsidRPr="006437E1">
              <w:rPr>
                <w:rFonts w:ascii="Arial" w:hAnsi="Arial" w:cs="Arial"/>
                <w:i/>
                <w:sz w:val="18"/>
                <w:szCs w:val="18"/>
                <w:lang w:val="en-GB"/>
              </w:rPr>
              <w:t>2020</w:t>
            </w:r>
            <w:r w:rsidRPr="006437E1">
              <w:rPr>
                <w:rFonts w:ascii="Arial" w:hAnsi="Arial" w:cs="Arial"/>
                <w:sz w:val="18"/>
                <w:szCs w:val="18"/>
                <w:lang w:val="en-GB"/>
              </w:rPr>
              <w:t>]. (NB - the zero</w:t>
            </w:r>
            <w:r w:rsidR="000C3653" w:rsidRPr="006437E1">
              <w:rPr>
                <w:rFonts w:ascii="Arial" w:hAnsi="Arial" w:cs="Arial"/>
                <w:sz w:val="18"/>
                <w:szCs w:val="18"/>
                <w:lang w:val="en-GB"/>
              </w:rPr>
              <w:t>-</w:t>
            </w:r>
            <w:r w:rsidRPr="006437E1">
              <w:rPr>
                <w:rFonts w:ascii="Arial" w:hAnsi="Arial" w:cs="Arial"/>
                <w:sz w:val="18"/>
                <w:szCs w:val="18"/>
                <w:lang w:val="en-GB"/>
              </w:rPr>
              <w:t xml:space="preserve">tolerance approach is a principle of CMS MIKT and accepted by national government signatories; this action is </w:t>
            </w:r>
            <w:r w:rsidRPr="006437E1">
              <w:rPr>
                <w:rFonts w:ascii="Arial" w:hAnsi="Arial" w:cs="Arial"/>
                <w:sz w:val="18"/>
                <w:szCs w:val="18"/>
                <w:lang w:val="en-GB"/>
              </w:rPr>
              <w:lastRenderedPageBreak/>
              <w:t>about awareness raising with the general public)</w:t>
            </w:r>
          </w:p>
        </w:tc>
        <w:tc>
          <w:tcPr>
            <w:tcW w:w="4572" w:type="dxa"/>
          </w:tcPr>
          <w:p w14:paraId="4828DBC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Action 6.3.1</w:t>
            </w:r>
          </w:p>
          <w:p w14:paraId="628333AF" w14:textId="379D9029"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Promotion of zero-tolerance of illegal killing of </w:t>
            </w:r>
            <w:r w:rsidR="000063EB" w:rsidRPr="006437E1">
              <w:rPr>
                <w:rFonts w:ascii="Arial" w:hAnsi="Arial" w:cs="Arial"/>
                <w:sz w:val="18"/>
                <w:szCs w:val="18"/>
                <w:lang w:val="en-GB"/>
              </w:rPr>
              <w:t>T</w:t>
            </w:r>
            <w:r w:rsidRPr="006437E1">
              <w:rPr>
                <w:rFonts w:ascii="Arial" w:hAnsi="Arial" w:cs="Arial"/>
                <w:sz w:val="18"/>
                <w:szCs w:val="18"/>
                <w:lang w:val="en-GB"/>
              </w:rPr>
              <w:t>urtle</w:t>
            </w:r>
            <w:r w:rsidR="000063EB" w:rsidRPr="006437E1">
              <w:rPr>
                <w:rFonts w:ascii="Arial" w:hAnsi="Arial" w:cs="Arial"/>
                <w:sz w:val="18"/>
                <w:szCs w:val="18"/>
                <w:lang w:val="en-GB"/>
              </w:rPr>
              <w:t xml:space="preserve"> D</w:t>
            </w:r>
            <w:r w:rsidRPr="006437E1">
              <w:rPr>
                <w:rFonts w:ascii="Arial" w:hAnsi="Arial" w:cs="Arial"/>
                <w:sz w:val="18"/>
                <w:szCs w:val="18"/>
                <w:lang w:val="en-GB"/>
              </w:rPr>
              <w:t>ove (and other birds) to hunters and the general public.</w:t>
            </w:r>
          </w:p>
          <w:p w14:paraId="5E629FBB" w14:textId="77777777" w:rsidR="00C96521" w:rsidRPr="006437E1" w:rsidRDefault="00C96521" w:rsidP="00C96521">
            <w:pPr>
              <w:widowControl/>
              <w:autoSpaceDE/>
              <w:autoSpaceDN/>
              <w:adjustRightInd/>
              <w:rPr>
                <w:rFonts w:ascii="Arial" w:hAnsi="Arial" w:cs="Arial"/>
                <w:sz w:val="18"/>
                <w:szCs w:val="18"/>
                <w:lang w:val="en-GB"/>
              </w:rPr>
            </w:pPr>
          </w:p>
          <w:p w14:paraId="0896BD00" w14:textId="77777777" w:rsidR="00C96521" w:rsidRPr="006437E1" w:rsidRDefault="00C96521" w:rsidP="00C96521">
            <w:pPr>
              <w:widowControl/>
              <w:autoSpaceDE/>
              <w:autoSpaceDN/>
              <w:adjustRightInd/>
              <w:rPr>
                <w:rFonts w:ascii="Arial" w:hAnsi="Arial" w:cs="Arial"/>
                <w:sz w:val="18"/>
                <w:szCs w:val="18"/>
                <w:lang w:val="en-GB"/>
              </w:rPr>
            </w:pPr>
          </w:p>
          <w:p w14:paraId="19DD6A57" w14:textId="77777777" w:rsidR="00C96521" w:rsidRPr="006437E1" w:rsidRDefault="00C96521" w:rsidP="00C96521">
            <w:pPr>
              <w:widowControl/>
              <w:autoSpaceDE/>
              <w:autoSpaceDN/>
              <w:adjustRightInd/>
              <w:rPr>
                <w:rFonts w:ascii="Arial" w:hAnsi="Arial" w:cs="Arial"/>
                <w:sz w:val="18"/>
                <w:szCs w:val="18"/>
                <w:lang w:val="en-GB"/>
              </w:rPr>
            </w:pPr>
          </w:p>
          <w:p w14:paraId="5E454E11" w14:textId="77777777" w:rsidR="00C96521" w:rsidRPr="006437E1" w:rsidRDefault="00C96521" w:rsidP="00C96521">
            <w:pPr>
              <w:widowControl/>
              <w:autoSpaceDE/>
              <w:autoSpaceDN/>
              <w:adjustRightInd/>
              <w:rPr>
                <w:rFonts w:ascii="Arial" w:hAnsi="Arial" w:cs="Arial"/>
                <w:sz w:val="18"/>
                <w:szCs w:val="18"/>
                <w:lang w:val="en-GB"/>
              </w:rPr>
            </w:pPr>
          </w:p>
          <w:p w14:paraId="23D0C070" w14:textId="77777777" w:rsidR="00C96521" w:rsidRPr="006437E1" w:rsidRDefault="00C96521" w:rsidP="00C96521">
            <w:pPr>
              <w:widowControl/>
              <w:autoSpaceDE/>
              <w:autoSpaceDN/>
              <w:adjustRightInd/>
              <w:rPr>
                <w:rFonts w:ascii="Arial" w:hAnsi="Arial" w:cs="Arial"/>
                <w:sz w:val="18"/>
                <w:szCs w:val="18"/>
                <w:lang w:val="en-GB"/>
              </w:rPr>
            </w:pPr>
          </w:p>
          <w:p w14:paraId="1A734F7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with illegal killing.</w:t>
            </w:r>
          </w:p>
        </w:tc>
        <w:tc>
          <w:tcPr>
            <w:tcW w:w="993" w:type="dxa"/>
          </w:tcPr>
          <w:p w14:paraId="54BD879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High</w:t>
            </w:r>
          </w:p>
        </w:tc>
        <w:tc>
          <w:tcPr>
            <w:tcW w:w="1134" w:type="dxa"/>
          </w:tcPr>
          <w:p w14:paraId="060683A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42F50CB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FACE, NATIONAL HUNTING FEDERATIONS</w:t>
            </w:r>
            <w:r w:rsidRPr="006437E1">
              <w:rPr>
                <w:rFonts w:ascii="Arial" w:hAnsi="Arial" w:cs="Arial"/>
                <w:sz w:val="18"/>
                <w:szCs w:val="18"/>
                <w:lang w:val="en-GB"/>
              </w:rPr>
              <w:t>, national wildlife agencies.</w:t>
            </w:r>
          </w:p>
        </w:tc>
        <w:tc>
          <w:tcPr>
            <w:tcW w:w="2443" w:type="dxa"/>
          </w:tcPr>
          <w:p w14:paraId="4DF66030" w14:textId="7770DBA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National reports to the Berne Convention, EU Road-Map, CMS MIKT, IMPEL, Larnaca </w:t>
            </w:r>
            <w:r w:rsidR="000063EB" w:rsidRPr="006437E1">
              <w:rPr>
                <w:rFonts w:ascii="Arial" w:hAnsi="Arial" w:cs="Arial"/>
                <w:sz w:val="18"/>
                <w:szCs w:val="18"/>
                <w:lang w:val="en-GB"/>
              </w:rPr>
              <w:t>D</w:t>
            </w:r>
            <w:r w:rsidRPr="006437E1">
              <w:rPr>
                <w:rFonts w:ascii="Arial" w:hAnsi="Arial" w:cs="Arial"/>
                <w:sz w:val="18"/>
                <w:szCs w:val="18"/>
                <w:lang w:val="en-GB"/>
              </w:rPr>
              <w:t>eclaration of 2011.</w:t>
            </w:r>
          </w:p>
        </w:tc>
      </w:tr>
      <w:tr w:rsidR="00C96521" w:rsidRPr="006437E1" w14:paraId="7F6FA608" w14:textId="77777777" w:rsidTr="00C96521">
        <w:tc>
          <w:tcPr>
            <w:tcW w:w="2340" w:type="dxa"/>
          </w:tcPr>
          <w:p w14:paraId="26B1B033" w14:textId="1545C2E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6.4 Better enforcement and support to fight illegal killing with CMS </w:t>
            </w:r>
            <w:r w:rsidR="000063EB" w:rsidRPr="006437E1">
              <w:rPr>
                <w:rFonts w:ascii="Arial" w:hAnsi="Arial" w:cs="Arial"/>
                <w:sz w:val="18"/>
                <w:szCs w:val="18"/>
                <w:lang w:val="en-GB"/>
              </w:rPr>
              <w:t>Parti</w:t>
            </w:r>
            <w:r w:rsidRPr="006437E1">
              <w:rPr>
                <w:rFonts w:ascii="Arial" w:hAnsi="Arial" w:cs="Arial"/>
                <w:sz w:val="18"/>
                <w:szCs w:val="18"/>
                <w:lang w:val="en-GB"/>
              </w:rPr>
              <w:t>es and EU Member States by [</w:t>
            </w:r>
            <w:r w:rsidRPr="006437E1">
              <w:rPr>
                <w:rFonts w:ascii="Arial" w:hAnsi="Arial" w:cs="Arial"/>
                <w:i/>
                <w:sz w:val="18"/>
                <w:szCs w:val="18"/>
                <w:lang w:val="en-GB"/>
              </w:rPr>
              <w:t>2020</w:t>
            </w:r>
            <w:r w:rsidRPr="006437E1">
              <w:rPr>
                <w:rFonts w:ascii="Arial" w:hAnsi="Arial" w:cs="Arial"/>
                <w:sz w:val="18"/>
                <w:szCs w:val="18"/>
                <w:lang w:val="en-GB"/>
              </w:rPr>
              <w:t>].</w:t>
            </w:r>
          </w:p>
        </w:tc>
        <w:tc>
          <w:tcPr>
            <w:tcW w:w="4572" w:type="dxa"/>
          </w:tcPr>
          <w:p w14:paraId="09C1591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6.4.1</w:t>
            </w:r>
          </w:p>
          <w:p w14:paraId="5983828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 conjunction with CMS MIKT and BC TAP, undertake an advocacy campaign to promote better enforcement of hunting legislation, to provide technical support, and to fund efforts to reduce illegal killing. Promotion zero-tolerance of illegal killing of turtle doves to enforcement authorities/services.</w:t>
            </w:r>
          </w:p>
          <w:p w14:paraId="253421BB" w14:textId="77777777" w:rsidR="00C96521" w:rsidRPr="006437E1" w:rsidRDefault="00C96521" w:rsidP="00C96521">
            <w:pPr>
              <w:widowControl/>
              <w:autoSpaceDE/>
              <w:autoSpaceDN/>
              <w:adjustRightInd/>
              <w:rPr>
                <w:rFonts w:ascii="Arial" w:hAnsi="Arial" w:cs="Arial"/>
                <w:sz w:val="18"/>
                <w:szCs w:val="18"/>
                <w:lang w:val="en-GB"/>
              </w:rPr>
            </w:pPr>
          </w:p>
          <w:p w14:paraId="5BFED9D9" w14:textId="70DAD702"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Applicable to: EU Member States and CMS </w:t>
            </w:r>
            <w:r w:rsidR="000063EB" w:rsidRPr="006437E1">
              <w:rPr>
                <w:rFonts w:ascii="Arial" w:hAnsi="Arial" w:cs="Arial"/>
                <w:sz w:val="18"/>
                <w:szCs w:val="18"/>
                <w:lang w:val="en-GB"/>
              </w:rPr>
              <w:t>P</w:t>
            </w:r>
            <w:r w:rsidRPr="006437E1">
              <w:rPr>
                <w:rFonts w:ascii="Arial" w:hAnsi="Arial" w:cs="Arial"/>
                <w:sz w:val="18"/>
                <w:szCs w:val="18"/>
                <w:lang w:val="en-GB"/>
              </w:rPr>
              <w:t>arties.</w:t>
            </w:r>
          </w:p>
        </w:tc>
        <w:tc>
          <w:tcPr>
            <w:tcW w:w="993" w:type="dxa"/>
          </w:tcPr>
          <w:p w14:paraId="5AF84EA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02EDF09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7D34038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 xml:space="preserve">NATIONAL GOVERNMENTS, FACE, </w:t>
            </w:r>
            <w:r w:rsidRPr="006437E1">
              <w:rPr>
                <w:rFonts w:ascii="Arial" w:hAnsi="Arial" w:cs="Arial"/>
                <w:sz w:val="18"/>
                <w:szCs w:val="18"/>
                <w:lang w:val="en-GB"/>
              </w:rPr>
              <w:t>national hunting federations, conservation NGOs</w:t>
            </w:r>
          </w:p>
        </w:tc>
        <w:tc>
          <w:tcPr>
            <w:tcW w:w="2443" w:type="dxa"/>
          </w:tcPr>
          <w:p w14:paraId="4F7966F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Illegal killing data, national reports to the Berne Convention, EU Road-Map, CMS MIKT, IMPEL.</w:t>
            </w:r>
          </w:p>
        </w:tc>
      </w:tr>
      <w:tr w:rsidR="00C96521" w:rsidRPr="006437E1" w14:paraId="031E3573" w14:textId="77777777" w:rsidTr="00C96521">
        <w:tc>
          <w:tcPr>
            <w:tcW w:w="2340" w:type="dxa"/>
            <w:vMerge w:val="restart"/>
          </w:tcPr>
          <w:p w14:paraId="794189B9" w14:textId="0BE0977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6.5 Reduced disturbance of breeding </w:t>
            </w:r>
            <w:r w:rsidR="000063EB" w:rsidRPr="006437E1">
              <w:rPr>
                <w:rFonts w:ascii="Arial" w:hAnsi="Arial" w:cs="Arial"/>
                <w:sz w:val="18"/>
                <w:szCs w:val="18"/>
                <w:lang w:val="en-GB"/>
              </w:rPr>
              <w:t>T</w:t>
            </w:r>
            <w:r w:rsidRPr="006437E1">
              <w:rPr>
                <w:rFonts w:ascii="Arial" w:hAnsi="Arial" w:cs="Arial"/>
                <w:sz w:val="18"/>
                <w:szCs w:val="18"/>
                <w:lang w:val="en-GB"/>
              </w:rPr>
              <w:t xml:space="preserve">urtle </w:t>
            </w:r>
            <w:r w:rsidR="000063EB" w:rsidRPr="006437E1">
              <w:rPr>
                <w:rFonts w:ascii="Arial" w:hAnsi="Arial" w:cs="Arial"/>
                <w:sz w:val="18"/>
                <w:szCs w:val="18"/>
                <w:lang w:val="en-GB"/>
              </w:rPr>
              <w:t>D</w:t>
            </w:r>
            <w:r w:rsidRPr="006437E1">
              <w:rPr>
                <w:rFonts w:ascii="Arial" w:hAnsi="Arial" w:cs="Arial"/>
                <w:sz w:val="18"/>
                <w:szCs w:val="18"/>
                <w:lang w:val="en-GB"/>
              </w:rPr>
              <w:t>oves in North Africa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624D721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6.5.1</w:t>
            </w:r>
          </w:p>
          <w:p w14:paraId="501FE91A" w14:textId="0704921F"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Develop and distribute guidelines for farmers undertaking operations that disturb breeding turtle-doves and other wildlife (e</w:t>
            </w:r>
            <w:r w:rsidR="000063EB" w:rsidRPr="006437E1">
              <w:rPr>
                <w:rFonts w:ascii="Arial" w:hAnsi="Arial" w:cs="Arial"/>
                <w:sz w:val="18"/>
                <w:szCs w:val="18"/>
                <w:lang w:val="en-GB"/>
              </w:rPr>
              <w:t>.</w:t>
            </w:r>
            <w:r w:rsidRPr="006437E1">
              <w:rPr>
                <w:rFonts w:ascii="Arial" w:hAnsi="Arial" w:cs="Arial"/>
                <w:sz w:val="18"/>
                <w:szCs w:val="18"/>
                <w:lang w:val="en-GB"/>
              </w:rPr>
              <w:t>g</w:t>
            </w:r>
            <w:r w:rsidR="000063EB" w:rsidRPr="006437E1">
              <w:rPr>
                <w:rFonts w:ascii="Arial" w:hAnsi="Arial" w:cs="Arial"/>
                <w:sz w:val="18"/>
                <w:szCs w:val="18"/>
                <w:lang w:val="en-GB"/>
              </w:rPr>
              <w:t>.</w:t>
            </w:r>
            <w:r w:rsidRPr="006437E1">
              <w:rPr>
                <w:rFonts w:ascii="Arial" w:hAnsi="Arial" w:cs="Arial"/>
                <w:sz w:val="18"/>
                <w:szCs w:val="18"/>
                <w:lang w:val="en-GB"/>
              </w:rPr>
              <w:t xml:space="preserve"> orange harvest).</w:t>
            </w:r>
          </w:p>
          <w:p w14:paraId="733E5C1D" w14:textId="77777777" w:rsidR="00C96521" w:rsidRPr="006437E1" w:rsidRDefault="00C96521" w:rsidP="00C96521">
            <w:pPr>
              <w:widowControl/>
              <w:autoSpaceDE/>
              <w:autoSpaceDN/>
              <w:adjustRightInd/>
              <w:rPr>
                <w:rFonts w:ascii="Arial" w:hAnsi="Arial" w:cs="Arial"/>
                <w:sz w:val="18"/>
                <w:szCs w:val="18"/>
                <w:lang w:val="en-GB"/>
              </w:rPr>
            </w:pPr>
          </w:p>
          <w:p w14:paraId="3A60C44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North African Range States.</w:t>
            </w:r>
          </w:p>
        </w:tc>
        <w:tc>
          <w:tcPr>
            <w:tcW w:w="993" w:type="dxa"/>
          </w:tcPr>
          <w:p w14:paraId="2D57192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016DF2C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720843F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national farming agencies</w:t>
            </w:r>
          </w:p>
        </w:tc>
        <w:tc>
          <w:tcPr>
            <w:tcW w:w="2443" w:type="dxa"/>
          </w:tcPr>
          <w:p w14:paraId="42243BF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Data and publication on disturbance.</w:t>
            </w:r>
          </w:p>
        </w:tc>
      </w:tr>
      <w:tr w:rsidR="00C96521" w:rsidRPr="006437E1" w14:paraId="3DD816B8" w14:textId="77777777" w:rsidTr="00C96521">
        <w:tc>
          <w:tcPr>
            <w:tcW w:w="2340" w:type="dxa"/>
            <w:vMerge/>
          </w:tcPr>
          <w:p w14:paraId="38F53CC4"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332909B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6.5.2</w:t>
            </w:r>
          </w:p>
          <w:p w14:paraId="486597A7" w14:textId="3D38F95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Development and distribution of educational materials for schools to teach children not to deliberately disturb turtle-doves and other wildlife (e</w:t>
            </w:r>
            <w:r w:rsidR="000063EB" w:rsidRPr="006437E1">
              <w:rPr>
                <w:rFonts w:ascii="Arial" w:hAnsi="Arial" w:cs="Arial"/>
                <w:sz w:val="18"/>
                <w:szCs w:val="18"/>
                <w:lang w:val="en-GB"/>
              </w:rPr>
              <w:t>.</w:t>
            </w:r>
            <w:r w:rsidRPr="006437E1">
              <w:rPr>
                <w:rFonts w:ascii="Arial" w:hAnsi="Arial" w:cs="Arial"/>
                <w:sz w:val="18"/>
                <w:szCs w:val="18"/>
                <w:lang w:val="en-GB"/>
              </w:rPr>
              <w:t>g</w:t>
            </w:r>
            <w:r w:rsidR="000063EB" w:rsidRPr="006437E1">
              <w:rPr>
                <w:rFonts w:ascii="Arial" w:hAnsi="Arial" w:cs="Arial"/>
                <w:sz w:val="18"/>
                <w:szCs w:val="18"/>
                <w:lang w:val="en-GB"/>
              </w:rPr>
              <w:t>.</w:t>
            </w:r>
            <w:r w:rsidRPr="006437E1">
              <w:rPr>
                <w:rFonts w:ascii="Arial" w:hAnsi="Arial" w:cs="Arial"/>
                <w:sz w:val="18"/>
                <w:szCs w:val="18"/>
                <w:lang w:val="en-GB"/>
              </w:rPr>
              <w:t xml:space="preserve"> using a sling-shot).</w:t>
            </w:r>
          </w:p>
          <w:p w14:paraId="7C77BF06" w14:textId="77777777" w:rsidR="00C96521" w:rsidRPr="006437E1" w:rsidRDefault="00C96521" w:rsidP="00C96521">
            <w:pPr>
              <w:widowControl/>
              <w:autoSpaceDE/>
              <w:autoSpaceDN/>
              <w:adjustRightInd/>
              <w:rPr>
                <w:rFonts w:ascii="Arial" w:hAnsi="Arial" w:cs="Arial"/>
                <w:sz w:val="18"/>
                <w:szCs w:val="18"/>
                <w:lang w:val="en-GB"/>
              </w:rPr>
            </w:pPr>
          </w:p>
          <w:p w14:paraId="18E855D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North African Range States.</w:t>
            </w:r>
          </w:p>
        </w:tc>
        <w:tc>
          <w:tcPr>
            <w:tcW w:w="993" w:type="dxa"/>
          </w:tcPr>
          <w:p w14:paraId="243130E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0E2D0E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7193A61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schools and education establishments.</w:t>
            </w:r>
          </w:p>
        </w:tc>
        <w:tc>
          <w:tcPr>
            <w:tcW w:w="2443" w:type="dxa"/>
          </w:tcPr>
          <w:p w14:paraId="48569D2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Data and publication on disturbance.</w:t>
            </w:r>
          </w:p>
        </w:tc>
      </w:tr>
      <w:tr w:rsidR="00C96521" w:rsidRPr="006437E1" w14:paraId="4D9CACFA" w14:textId="77777777" w:rsidTr="00C96521">
        <w:tc>
          <w:tcPr>
            <w:tcW w:w="2340" w:type="dxa"/>
          </w:tcPr>
          <w:p w14:paraId="25EC6F1B" w14:textId="686464A1"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6.6 Good practice guidelines for provision of food and water for </w:t>
            </w:r>
            <w:r w:rsidR="000063EB" w:rsidRPr="006437E1">
              <w:rPr>
                <w:rFonts w:ascii="Arial" w:hAnsi="Arial" w:cs="Arial"/>
                <w:sz w:val="18"/>
                <w:szCs w:val="18"/>
                <w:lang w:val="en-GB"/>
              </w:rPr>
              <w:t>T</w:t>
            </w:r>
            <w:r w:rsidRPr="006437E1">
              <w:rPr>
                <w:rFonts w:ascii="Arial" w:hAnsi="Arial" w:cs="Arial"/>
                <w:sz w:val="18"/>
                <w:szCs w:val="18"/>
                <w:lang w:val="en-GB"/>
              </w:rPr>
              <w:t>urtle</w:t>
            </w:r>
            <w:r w:rsidR="000063EB" w:rsidRPr="006437E1">
              <w:rPr>
                <w:rFonts w:ascii="Arial" w:hAnsi="Arial" w:cs="Arial"/>
                <w:sz w:val="18"/>
                <w:szCs w:val="18"/>
                <w:lang w:val="en-GB"/>
              </w:rPr>
              <w:t>D</w:t>
            </w:r>
            <w:r w:rsidRPr="006437E1">
              <w:rPr>
                <w:rFonts w:ascii="Arial" w:hAnsi="Arial" w:cs="Arial"/>
                <w:sz w:val="18"/>
                <w:szCs w:val="18"/>
                <w:lang w:val="en-GB"/>
              </w:rPr>
              <w:t>oves available and promoted by [</w:t>
            </w:r>
            <w:r w:rsidRPr="006437E1">
              <w:rPr>
                <w:rFonts w:ascii="Arial" w:hAnsi="Arial" w:cs="Arial"/>
                <w:i/>
                <w:sz w:val="18"/>
                <w:szCs w:val="18"/>
                <w:lang w:val="en-GB"/>
              </w:rPr>
              <w:t>2020</w:t>
            </w:r>
            <w:r w:rsidRPr="006437E1">
              <w:rPr>
                <w:rFonts w:ascii="Arial" w:hAnsi="Arial" w:cs="Arial"/>
                <w:sz w:val="18"/>
                <w:szCs w:val="18"/>
                <w:lang w:val="en-GB"/>
              </w:rPr>
              <w:t>].</w:t>
            </w:r>
          </w:p>
        </w:tc>
        <w:tc>
          <w:tcPr>
            <w:tcW w:w="4572" w:type="dxa"/>
          </w:tcPr>
          <w:p w14:paraId="7A6F259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6.6.1</w:t>
            </w:r>
          </w:p>
          <w:p w14:paraId="1502EAD4" w14:textId="7F2805E2"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Develop and promote good practice for any party putting out food or water for </w:t>
            </w:r>
            <w:r w:rsidR="000063EB" w:rsidRPr="006437E1">
              <w:rPr>
                <w:rFonts w:ascii="Arial" w:hAnsi="Arial" w:cs="Arial"/>
                <w:sz w:val="18"/>
                <w:szCs w:val="18"/>
                <w:lang w:val="en-GB"/>
              </w:rPr>
              <w:t>T</w:t>
            </w:r>
            <w:r w:rsidRPr="006437E1">
              <w:rPr>
                <w:rFonts w:ascii="Arial" w:hAnsi="Arial" w:cs="Arial"/>
                <w:sz w:val="18"/>
                <w:szCs w:val="18"/>
                <w:lang w:val="en-GB"/>
              </w:rPr>
              <w:t>urtle</w:t>
            </w:r>
            <w:r w:rsidR="000063EB" w:rsidRPr="006437E1">
              <w:rPr>
                <w:rFonts w:ascii="Arial" w:hAnsi="Arial" w:cs="Arial"/>
                <w:sz w:val="18"/>
                <w:szCs w:val="18"/>
                <w:lang w:val="en-GB"/>
              </w:rPr>
              <w:t xml:space="preserve"> D</w:t>
            </w:r>
            <w:r w:rsidRPr="006437E1">
              <w:rPr>
                <w:rFonts w:ascii="Arial" w:hAnsi="Arial" w:cs="Arial"/>
                <w:sz w:val="18"/>
                <w:szCs w:val="18"/>
                <w:lang w:val="en-GB"/>
              </w:rPr>
              <w:t>oves and other wildlife (e</w:t>
            </w:r>
            <w:r w:rsidR="000063EB" w:rsidRPr="006437E1">
              <w:rPr>
                <w:rFonts w:ascii="Arial" w:hAnsi="Arial" w:cs="Arial"/>
                <w:sz w:val="18"/>
                <w:szCs w:val="18"/>
                <w:lang w:val="en-GB"/>
              </w:rPr>
              <w:t>.</w:t>
            </w:r>
            <w:r w:rsidRPr="006437E1">
              <w:rPr>
                <w:rFonts w:ascii="Arial" w:hAnsi="Arial" w:cs="Arial"/>
                <w:sz w:val="18"/>
                <w:szCs w:val="18"/>
                <w:lang w:val="en-GB"/>
              </w:rPr>
              <w:t>g</w:t>
            </w:r>
            <w:r w:rsidR="000063EB" w:rsidRPr="006437E1">
              <w:rPr>
                <w:rFonts w:ascii="Arial" w:hAnsi="Arial" w:cs="Arial"/>
                <w:sz w:val="18"/>
                <w:szCs w:val="18"/>
                <w:lang w:val="en-GB"/>
              </w:rPr>
              <w:t>.</w:t>
            </w:r>
            <w:r w:rsidRPr="006437E1">
              <w:rPr>
                <w:rFonts w:ascii="Arial" w:hAnsi="Arial" w:cs="Arial"/>
                <w:sz w:val="18"/>
                <w:szCs w:val="18"/>
                <w:lang w:val="en-GB"/>
              </w:rPr>
              <w:t xml:space="preserve"> birdwatchers, hunters).</w:t>
            </w:r>
          </w:p>
          <w:p w14:paraId="2BF784FC" w14:textId="77777777" w:rsidR="00C96521" w:rsidRPr="006437E1" w:rsidRDefault="00C96521" w:rsidP="00C96521">
            <w:pPr>
              <w:widowControl/>
              <w:autoSpaceDE/>
              <w:autoSpaceDN/>
              <w:adjustRightInd/>
              <w:rPr>
                <w:rFonts w:ascii="Arial" w:hAnsi="Arial" w:cs="Arial"/>
                <w:sz w:val="18"/>
                <w:szCs w:val="18"/>
                <w:lang w:val="en-GB"/>
              </w:rPr>
            </w:pPr>
          </w:p>
          <w:p w14:paraId="51B5735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993" w:type="dxa"/>
          </w:tcPr>
          <w:p w14:paraId="3916A87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354AEC7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165DC93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w:t>
            </w:r>
            <w:r w:rsidRPr="006437E1">
              <w:rPr>
                <w:rFonts w:ascii="Arial" w:hAnsi="Arial" w:cs="Arial"/>
                <w:sz w:val="18"/>
                <w:szCs w:val="18"/>
                <w:lang w:val="en-GB"/>
              </w:rPr>
              <w:t xml:space="preserve"> national hunting federations, academic institutions</w:t>
            </w:r>
          </w:p>
        </w:tc>
        <w:tc>
          <w:tcPr>
            <w:tcW w:w="2443" w:type="dxa"/>
          </w:tcPr>
          <w:p w14:paraId="26FD7A8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guidance (eg RSPB), results of new publications on disease risk/spread.</w:t>
            </w:r>
          </w:p>
          <w:p w14:paraId="6553742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7.10.1</w:t>
            </w:r>
          </w:p>
        </w:tc>
      </w:tr>
      <w:tr w:rsidR="00C96521" w:rsidRPr="006437E1" w14:paraId="5787AE16" w14:textId="77777777" w:rsidTr="00C96521">
        <w:tc>
          <w:tcPr>
            <w:tcW w:w="2340" w:type="dxa"/>
          </w:tcPr>
          <w:p w14:paraId="0EA4C95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6.7 Good practice guidelines for using chemically coated seeds available and promoted by [</w:t>
            </w:r>
            <w:r w:rsidRPr="006437E1">
              <w:rPr>
                <w:rFonts w:ascii="Arial" w:hAnsi="Arial" w:cs="Arial"/>
                <w:i/>
                <w:sz w:val="18"/>
                <w:szCs w:val="18"/>
                <w:lang w:val="en-GB"/>
              </w:rPr>
              <w:t>2020</w:t>
            </w:r>
            <w:r w:rsidRPr="006437E1">
              <w:rPr>
                <w:rFonts w:ascii="Arial" w:hAnsi="Arial" w:cs="Arial"/>
                <w:sz w:val="18"/>
                <w:szCs w:val="18"/>
                <w:lang w:val="en-GB"/>
              </w:rPr>
              <w:t>].</w:t>
            </w:r>
          </w:p>
        </w:tc>
        <w:tc>
          <w:tcPr>
            <w:tcW w:w="4572" w:type="dxa"/>
          </w:tcPr>
          <w:p w14:paraId="62CDC6C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6.7.1</w:t>
            </w:r>
          </w:p>
          <w:p w14:paraId="0B4ECF61" w14:textId="77285DB0"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Develop and promote good practice for farmers using chemically coated seeds in order to limit threat to </w:t>
            </w:r>
            <w:r w:rsidR="005028F9" w:rsidRPr="006437E1">
              <w:rPr>
                <w:rFonts w:ascii="Arial" w:hAnsi="Arial" w:cs="Arial"/>
                <w:sz w:val="18"/>
                <w:szCs w:val="18"/>
                <w:lang w:val="en-GB"/>
              </w:rPr>
              <w:t>T</w:t>
            </w:r>
            <w:r w:rsidRPr="006437E1">
              <w:rPr>
                <w:rFonts w:ascii="Arial" w:hAnsi="Arial" w:cs="Arial"/>
                <w:sz w:val="18"/>
                <w:szCs w:val="18"/>
                <w:lang w:val="en-GB"/>
              </w:rPr>
              <w:t>urtle</w:t>
            </w:r>
            <w:r w:rsidR="005028F9" w:rsidRPr="006437E1">
              <w:rPr>
                <w:rFonts w:ascii="Arial" w:hAnsi="Arial" w:cs="Arial"/>
                <w:sz w:val="18"/>
                <w:szCs w:val="18"/>
                <w:lang w:val="en-GB"/>
              </w:rPr>
              <w:t xml:space="preserve"> D</w:t>
            </w:r>
            <w:r w:rsidRPr="006437E1">
              <w:rPr>
                <w:rFonts w:ascii="Arial" w:hAnsi="Arial" w:cs="Arial"/>
                <w:sz w:val="18"/>
                <w:szCs w:val="18"/>
                <w:lang w:val="en-GB"/>
              </w:rPr>
              <w:t>oves and other wildlife.</w:t>
            </w:r>
          </w:p>
          <w:p w14:paraId="697679FA" w14:textId="77777777" w:rsidR="00C96521" w:rsidRPr="006437E1" w:rsidRDefault="00C96521" w:rsidP="00C96521">
            <w:pPr>
              <w:widowControl/>
              <w:autoSpaceDE/>
              <w:autoSpaceDN/>
              <w:adjustRightInd/>
              <w:rPr>
                <w:rFonts w:ascii="Arial" w:hAnsi="Arial" w:cs="Arial"/>
                <w:sz w:val="18"/>
                <w:szCs w:val="18"/>
                <w:lang w:val="en-GB"/>
              </w:rPr>
            </w:pPr>
          </w:p>
          <w:p w14:paraId="01325F70" w14:textId="6D5F9169"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Applicable to: all Range States where chemically coated seeds are available to </w:t>
            </w:r>
            <w:r w:rsidR="005028F9" w:rsidRPr="006437E1">
              <w:rPr>
                <w:rFonts w:ascii="Arial" w:hAnsi="Arial" w:cs="Arial"/>
                <w:sz w:val="18"/>
                <w:szCs w:val="18"/>
                <w:lang w:val="en-GB"/>
              </w:rPr>
              <w:t>T</w:t>
            </w:r>
            <w:r w:rsidRPr="006437E1">
              <w:rPr>
                <w:rFonts w:ascii="Arial" w:hAnsi="Arial" w:cs="Arial"/>
                <w:sz w:val="18"/>
                <w:szCs w:val="18"/>
                <w:lang w:val="en-GB"/>
              </w:rPr>
              <w:t>urtle</w:t>
            </w:r>
            <w:r w:rsidR="005028F9" w:rsidRPr="006437E1">
              <w:rPr>
                <w:rFonts w:ascii="Arial" w:hAnsi="Arial" w:cs="Arial"/>
                <w:sz w:val="18"/>
                <w:szCs w:val="18"/>
                <w:lang w:val="en-GB"/>
              </w:rPr>
              <w:t xml:space="preserve"> D</w:t>
            </w:r>
            <w:r w:rsidRPr="006437E1">
              <w:rPr>
                <w:rFonts w:ascii="Arial" w:hAnsi="Arial" w:cs="Arial"/>
                <w:sz w:val="18"/>
                <w:szCs w:val="18"/>
                <w:lang w:val="en-GB"/>
              </w:rPr>
              <w:t>oves (i</w:t>
            </w:r>
            <w:r w:rsidR="005028F9" w:rsidRPr="006437E1">
              <w:rPr>
                <w:rFonts w:ascii="Arial" w:hAnsi="Arial" w:cs="Arial"/>
                <w:sz w:val="18"/>
                <w:szCs w:val="18"/>
                <w:lang w:val="en-GB"/>
              </w:rPr>
              <w:t>.</w:t>
            </w:r>
            <w:r w:rsidRPr="006437E1">
              <w:rPr>
                <w:rFonts w:ascii="Arial" w:hAnsi="Arial" w:cs="Arial"/>
                <w:sz w:val="18"/>
                <w:szCs w:val="18"/>
                <w:lang w:val="en-GB"/>
              </w:rPr>
              <w:t>e</w:t>
            </w:r>
            <w:r w:rsidR="005028F9" w:rsidRPr="006437E1">
              <w:rPr>
                <w:rFonts w:ascii="Arial" w:hAnsi="Arial" w:cs="Arial"/>
                <w:sz w:val="18"/>
                <w:szCs w:val="18"/>
                <w:lang w:val="en-GB"/>
              </w:rPr>
              <w:t>.</w:t>
            </w:r>
            <w:r w:rsidRPr="006437E1">
              <w:rPr>
                <w:rFonts w:ascii="Arial" w:hAnsi="Arial" w:cs="Arial"/>
                <w:sz w:val="18"/>
                <w:szCs w:val="18"/>
                <w:lang w:val="en-GB"/>
              </w:rPr>
              <w:t xml:space="preserve"> both are present at same time)</w:t>
            </w:r>
          </w:p>
        </w:tc>
        <w:tc>
          <w:tcPr>
            <w:tcW w:w="993" w:type="dxa"/>
          </w:tcPr>
          <w:p w14:paraId="0484099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58704DF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676B712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FARMING AGENCIES</w:t>
            </w:r>
            <w:r w:rsidRPr="006437E1">
              <w:rPr>
                <w:rFonts w:ascii="Arial" w:hAnsi="Arial" w:cs="Arial"/>
                <w:sz w:val="18"/>
                <w:szCs w:val="18"/>
                <w:lang w:val="en-GB"/>
              </w:rPr>
              <w:t>, academic institutions</w:t>
            </w:r>
          </w:p>
        </w:tc>
        <w:tc>
          <w:tcPr>
            <w:tcW w:w="2443" w:type="dxa"/>
          </w:tcPr>
          <w:p w14:paraId="1FE0A1C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Farming guidelines, agricultural supplier guidelines, results of new publications on poisoning.</w:t>
            </w:r>
          </w:p>
          <w:p w14:paraId="07AB73D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7.11.1</w:t>
            </w:r>
          </w:p>
        </w:tc>
      </w:tr>
      <w:tr w:rsidR="00C96521" w:rsidRPr="006437E1" w14:paraId="35A45F7D" w14:textId="77777777" w:rsidTr="00C96521">
        <w:tc>
          <w:tcPr>
            <w:tcW w:w="2340" w:type="dxa"/>
          </w:tcPr>
          <w:p w14:paraId="0B2E5790" w14:textId="4224B3BF"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6.8 Turtle</w:t>
            </w:r>
            <w:r w:rsidR="005028F9" w:rsidRPr="006437E1">
              <w:rPr>
                <w:rFonts w:ascii="Arial" w:hAnsi="Arial" w:cs="Arial"/>
                <w:sz w:val="18"/>
                <w:szCs w:val="18"/>
                <w:lang w:val="en-GB"/>
              </w:rPr>
              <w:t xml:space="preserve"> D</w:t>
            </w:r>
            <w:r w:rsidRPr="006437E1">
              <w:rPr>
                <w:rFonts w:ascii="Arial" w:hAnsi="Arial" w:cs="Arial"/>
                <w:sz w:val="18"/>
                <w:szCs w:val="18"/>
                <w:lang w:val="en-GB"/>
              </w:rPr>
              <w:t>ove listed as an EU priority species for funding by [</w:t>
            </w:r>
            <w:r w:rsidRPr="006437E1">
              <w:rPr>
                <w:rFonts w:ascii="Arial" w:hAnsi="Arial" w:cs="Arial"/>
                <w:i/>
                <w:sz w:val="18"/>
                <w:szCs w:val="18"/>
                <w:lang w:val="en-GB"/>
              </w:rPr>
              <w:t>2018</w:t>
            </w:r>
            <w:r w:rsidRPr="006437E1">
              <w:rPr>
                <w:rFonts w:ascii="Arial" w:hAnsi="Arial" w:cs="Arial"/>
                <w:sz w:val="18"/>
                <w:szCs w:val="18"/>
                <w:lang w:val="en-GB"/>
              </w:rPr>
              <w:t>].</w:t>
            </w:r>
          </w:p>
        </w:tc>
        <w:tc>
          <w:tcPr>
            <w:tcW w:w="4572" w:type="dxa"/>
          </w:tcPr>
          <w:p w14:paraId="0BE1F36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6.8.1</w:t>
            </w:r>
          </w:p>
          <w:p w14:paraId="76445457" w14:textId="30F3FF0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European Commission includes the turtle-dove on the EU list of priority species, to enable access to funding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LIFE programme).</w:t>
            </w:r>
          </w:p>
          <w:p w14:paraId="36649334" w14:textId="77777777" w:rsidR="00C96521" w:rsidRPr="006437E1" w:rsidRDefault="00C96521" w:rsidP="00C96521">
            <w:pPr>
              <w:widowControl/>
              <w:autoSpaceDE/>
              <w:autoSpaceDN/>
              <w:adjustRightInd/>
              <w:rPr>
                <w:rFonts w:ascii="Arial" w:hAnsi="Arial" w:cs="Arial"/>
                <w:sz w:val="18"/>
                <w:szCs w:val="18"/>
                <w:lang w:val="en-GB"/>
              </w:rPr>
            </w:pPr>
          </w:p>
          <w:p w14:paraId="4B7006A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Applicable to: EU Member States.</w:t>
            </w:r>
          </w:p>
        </w:tc>
        <w:tc>
          <w:tcPr>
            <w:tcW w:w="993" w:type="dxa"/>
          </w:tcPr>
          <w:p w14:paraId="23BB5F6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High</w:t>
            </w:r>
          </w:p>
        </w:tc>
        <w:tc>
          <w:tcPr>
            <w:tcW w:w="1134" w:type="dxa"/>
          </w:tcPr>
          <w:p w14:paraId="6647B12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67634076"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EUROPEAN COMMISSION</w:t>
            </w:r>
          </w:p>
        </w:tc>
        <w:tc>
          <w:tcPr>
            <w:tcW w:w="2443" w:type="dxa"/>
          </w:tcPr>
          <w:p w14:paraId="65ACEA46" w14:textId="41A7229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Evidence of strong declines of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in Europe; IUCN Red List status of turtle-dove.</w:t>
            </w:r>
          </w:p>
        </w:tc>
      </w:tr>
    </w:tbl>
    <w:p w14:paraId="7DF01300"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7E15E9F9"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291"/>
        <w:gridCol w:w="4404"/>
        <w:gridCol w:w="1252"/>
        <w:gridCol w:w="1238"/>
        <w:gridCol w:w="2612"/>
        <w:gridCol w:w="2378"/>
      </w:tblGrid>
      <w:tr w:rsidR="00C96521" w:rsidRPr="006437E1" w14:paraId="74B1C6BB" w14:textId="77777777" w:rsidTr="006437E1">
        <w:trPr>
          <w:tblHeader/>
        </w:trPr>
        <w:tc>
          <w:tcPr>
            <w:tcW w:w="14175" w:type="dxa"/>
            <w:gridSpan w:val="6"/>
            <w:shd w:val="clear" w:color="auto" w:fill="BFBFBF" w:themeFill="background1" w:themeFillShade="BF"/>
          </w:tcPr>
          <w:p w14:paraId="29BDE2C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Objective 7: Fill knowledge gaps</w:t>
            </w:r>
          </w:p>
        </w:tc>
      </w:tr>
      <w:tr w:rsidR="00C96521" w:rsidRPr="006437E1" w14:paraId="36ACFE8C" w14:textId="77777777" w:rsidTr="00C96521">
        <w:trPr>
          <w:tblHeader/>
        </w:trPr>
        <w:tc>
          <w:tcPr>
            <w:tcW w:w="2291" w:type="dxa"/>
            <w:shd w:val="clear" w:color="auto" w:fill="D9D9D9"/>
          </w:tcPr>
          <w:p w14:paraId="6321D6F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Result</w:t>
            </w:r>
          </w:p>
        </w:tc>
        <w:tc>
          <w:tcPr>
            <w:tcW w:w="4404" w:type="dxa"/>
            <w:shd w:val="clear" w:color="auto" w:fill="D9D9D9"/>
          </w:tcPr>
          <w:p w14:paraId="244186D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and scope</w:t>
            </w:r>
          </w:p>
        </w:tc>
        <w:tc>
          <w:tcPr>
            <w:tcW w:w="1252" w:type="dxa"/>
            <w:shd w:val="clear" w:color="auto" w:fill="D9D9D9"/>
          </w:tcPr>
          <w:p w14:paraId="00DEEBA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Priority</w:t>
            </w:r>
          </w:p>
        </w:tc>
        <w:tc>
          <w:tcPr>
            <w:tcW w:w="1238" w:type="dxa"/>
            <w:shd w:val="clear" w:color="auto" w:fill="D9D9D9"/>
          </w:tcPr>
          <w:p w14:paraId="03024D3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Timescale</w:t>
            </w:r>
          </w:p>
        </w:tc>
        <w:tc>
          <w:tcPr>
            <w:tcW w:w="2612" w:type="dxa"/>
            <w:shd w:val="clear" w:color="auto" w:fill="D9D9D9"/>
          </w:tcPr>
          <w:p w14:paraId="0A581225" w14:textId="60512C1C"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Organi</w:t>
            </w:r>
            <w:r w:rsidR="005028F9" w:rsidRPr="006437E1">
              <w:rPr>
                <w:rFonts w:ascii="Arial" w:hAnsi="Arial" w:cs="Arial"/>
                <w:sz w:val="18"/>
                <w:szCs w:val="18"/>
                <w:lang w:val="en-GB"/>
              </w:rPr>
              <w:t>z</w:t>
            </w:r>
            <w:r w:rsidRPr="006437E1">
              <w:rPr>
                <w:rFonts w:ascii="Arial" w:hAnsi="Arial" w:cs="Arial"/>
                <w:sz w:val="18"/>
                <w:szCs w:val="18"/>
                <w:lang w:val="en-GB"/>
              </w:rPr>
              <w:t>ations responsible</w:t>
            </w:r>
          </w:p>
        </w:tc>
        <w:tc>
          <w:tcPr>
            <w:tcW w:w="2378" w:type="dxa"/>
            <w:shd w:val="clear" w:color="auto" w:fill="D9D9D9"/>
          </w:tcPr>
          <w:p w14:paraId="6FBCBD0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Inputs required</w:t>
            </w:r>
          </w:p>
        </w:tc>
      </w:tr>
      <w:tr w:rsidR="00C96521" w:rsidRPr="006437E1" w14:paraId="1A81E052" w14:textId="77777777" w:rsidTr="00C96521">
        <w:tc>
          <w:tcPr>
            <w:tcW w:w="2291" w:type="dxa"/>
            <w:vMerge w:val="restart"/>
          </w:tcPr>
          <w:p w14:paraId="25AE20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7.1 More complete knowledge of turtle-dove movements throughout the yearly cycle by [</w:t>
            </w:r>
            <w:r w:rsidRPr="006437E1">
              <w:rPr>
                <w:rFonts w:ascii="Arial" w:hAnsi="Arial" w:cs="Arial"/>
                <w:i/>
                <w:sz w:val="18"/>
                <w:szCs w:val="18"/>
                <w:lang w:val="en-GB"/>
              </w:rPr>
              <w:t>2020</w:t>
            </w:r>
            <w:r w:rsidRPr="006437E1">
              <w:rPr>
                <w:rFonts w:ascii="Arial" w:hAnsi="Arial" w:cs="Arial"/>
                <w:sz w:val="18"/>
                <w:szCs w:val="18"/>
                <w:lang w:val="en-GB"/>
              </w:rPr>
              <w:t>].</w:t>
            </w:r>
          </w:p>
        </w:tc>
        <w:tc>
          <w:tcPr>
            <w:tcW w:w="4404" w:type="dxa"/>
          </w:tcPr>
          <w:p w14:paraId="24234C9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7.1.1</w:t>
            </w:r>
          </w:p>
          <w:p w14:paraId="793EEDE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further tracking studies and ringing return analyses to determine migration routes and key stop-over/bottle-neck areas in Western Europe.</w:t>
            </w:r>
          </w:p>
          <w:p w14:paraId="7E3908E9" w14:textId="77777777" w:rsidR="00C96521" w:rsidRPr="006437E1" w:rsidRDefault="00C96521" w:rsidP="00C96521">
            <w:pPr>
              <w:widowControl/>
              <w:autoSpaceDE/>
              <w:autoSpaceDN/>
              <w:adjustRightInd/>
              <w:rPr>
                <w:rFonts w:ascii="Arial" w:hAnsi="Arial" w:cs="Arial"/>
                <w:sz w:val="18"/>
                <w:szCs w:val="18"/>
                <w:lang w:val="en-GB"/>
              </w:rPr>
            </w:pPr>
          </w:p>
          <w:p w14:paraId="6D17BEC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western Europe and African Range States.</w:t>
            </w:r>
          </w:p>
        </w:tc>
        <w:tc>
          <w:tcPr>
            <w:tcW w:w="1252" w:type="dxa"/>
          </w:tcPr>
          <w:p w14:paraId="42FE433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2F66538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039E3543"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676E040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029EA08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Ringing and tagging studies; EURING; common bird monitoring.</w:t>
            </w:r>
          </w:p>
        </w:tc>
      </w:tr>
      <w:tr w:rsidR="00C96521" w:rsidRPr="006437E1" w14:paraId="344DC9DC" w14:textId="77777777" w:rsidTr="00C96521">
        <w:tc>
          <w:tcPr>
            <w:tcW w:w="2291" w:type="dxa"/>
            <w:vMerge/>
          </w:tcPr>
          <w:p w14:paraId="03876BE2"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7D42692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7.1.2</w:t>
            </w:r>
          </w:p>
          <w:p w14:paraId="77C91C3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further tracking studies to determine migration routes and key stop-over/bottle-neck areas in Eastern Europe and Central Asia.</w:t>
            </w:r>
          </w:p>
          <w:p w14:paraId="794D41F9" w14:textId="77777777" w:rsidR="00C96521" w:rsidRPr="006437E1" w:rsidRDefault="00C96521" w:rsidP="00C96521">
            <w:pPr>
              <w:widowControl/>
              <w:autoSpaceDE/>
              <w:autoSpaceDN/>
              <w:adjustRightInd/>
              <w:rPr>
                <w:rFonts w:ascii="Arial" w:hAnsi="Arial" w:cs="Arial"/>
                <w:sz w:val="18"/>
                <w:szCs w:val="18"/>
                <w:lang w:val="en-GB"/>
              </w:rPr>
            </w:pPr>
          </w:p>
          <w:p w14:paraId="23E8EA5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eastern Europe, Central Asia and Middle East Range States.</w:t>
            </w:r>
          </w:p>
        </w:tc>
        <w:tc>
          <w:tcPr>
            <w:tcW w:w="1252" w:type="dxa"/>
          </w:tcPr>
          <w:p w14:paraId="3973C3D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292C984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2ED988DF"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6A64A0A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31736DF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Ringing and tagging studies; EURING; common bird monitoring.</w:t>
            </w:r>
          </w:p>
        </w:tc>
      </w:tr>
      <w:tr w:rsidR="00C96521" w:rsidRPr="006437E1" w14:paraId="63A2866E" w14:textId="77777777" w:rsidTr="00C96521">
        <w:tc>
          <w:tcPr>
            <w:tcW w:w="2291" w:type="dxa"/>
            <w:vMerge/>
          </w:tcPr>
          <w:p w14:paraId="2745DACF"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3DE8018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7.1.3</w:t>
            </w:r>
          </w:p>
          <w:p w14:paraId="088F791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further tracking studies to determine movements and habitat use of birds within their wintering grounds in Africa.</w:t>
            </w:r>
          </w:p>
          <w:p w14:paraId="0324B05D" w14:textId="77777777" w:rsidR="00C96521" w:rsidRPr="006437E1" w:rsidRDefault="00C96521" w:rsidP="00C96521">
            <w:pPr>
              <w:widowControl/>
              <w:autoSpaceDE/>
              <w:autoSpaceDN/>
              <w:adjustRightInd/>
              <w:rPr>
                <w:rFonts w:ascii="Arial" w:hAnsi="Arial" w:cs="Arial"/>
                <w:sz w:val="18"/>
                <w:szCs w:val="18"/>
                <w:lang w:val="en-GB"/>
              </w:rPr>
            </w:pPr>
          </w:p>
          <w:p w14:paraId="318E86D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West Africa, East Africa</w:t>
            </w:r>
          </w:p>
        </w:tc>
        <w:tc>
          <w:tcPr>
            <w:tcW w:w="1252" w:type="dxa"/>
          </w:tcPr>
          <w:p w14:paraId="43D7187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2DD310A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1531EA8D"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36FFD29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0F3E49D1" w14:textId="31967FC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Ringing and tagging studies; EURING; national databases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WABDaB for West Africa).</w:t>
            </w:r>
          </w:p>
        </w:tc>
      </w:tr>
      <w:tr w:rsidR="00C96521" w:rsidRPr="006437E1" w14:paraId="719A7332" w14:textId="77777777" w:rsidTr="00C96521">
        <w:tc>
          <w:tcPr>
            <w:tcW w:w="2291" w:type="dxa"/>
            <w:vMerge/>
          </w:tcPr>
          <w:p w14:paraId="6D0C09F1"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01E656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7.1.4</w:t>
            </w:r>
          </w:p>
          <w:p w14:paraId="7C92CCD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tracking studies to determine movements of birds breeding in North Africa.</w:t>
            </w:r>
          </w:p>
          <w:p w14:paraId="26CA273C" w14:textId="77777777" w:rsidR="00C96521" w:rsidRPr="006437E1" w:rsidRDefault="00C96521" w:rsidP="00C96521">
            <w:pPr>
              <w:widowControl/>
              <w:autoSpaceDE/>
              <w:autoSpaceDN/>
              <w:adjustRightInd/>
              <w:rPr>
                <w:rFonts w:ascii="Arial" w:hAnsi="Arial" w:cs="Arial"/>
                <w:sz w:val="18"/>
                <w:szCs w:val="18"/>
                <w:lang w:val="en-GB"/>
              </w:rPr>
            </w:pPr>
          </w:p>
          <w:p w14:paraId="344FF76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North, West and East Africa.</w:t>
            </w:r>
          </w:p>
        </w:tc>
        <w:tc>
          <w:tcPr>
            <w:tcW w:w="1252" w:type="dxa"/>
          </w:tcPr>
          <w:p w14:paraId="7AD2CC4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03F3EA4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3F6EA272"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125AB94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3D834FD5" w14:textId="4000D9C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Ringing and tagging studies; EURING; national databases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WABDaB for West Africa).</w:t>
            </w:r>
          </w:p>
        </w:tc>
      </w:tr>
      <w:tr w:rsidR="00C96521" w:rsidRPr="006437E1" w14:paraId="258E00CE" w14:textId="77777777" w:rsidTr="00C96521">
        <w:tc>
          <w:tcPr>
            <w:tcW w:w="2291" w:type="dxa"/>
            <w:vMerge w:val="restart"/>
          </w:tcPr>
          <w:p w14:paraId="4D4236A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7.2 More complete knowledge of national population sizes and trends by [</w:t>
            </w:r>
            <w:r w:rsidRPr="006437E1">
              <w:rPr>
                <w:rFonts w:ascii="Arial" w:hAnsi="Arial" w:cs="Arial"/>
                <w:i/>
                <w:sz w:val="18"/>
                <w:szCs w:val="18"/>
                <w:lang w:val="en-GB"/>
              </w:rPr>
              <w:t>2020</w:t>
            </w:r>
            <w:r w:rsidRPr="006437E1">
              <w:rPr>
                <w:rFonts w:ascii="Arial" w:hAnsi="Arial" w:cs="Arial"/>
                <w:sz w:val="18"/>
                <w:szCs w:val="18"/>
                <w:lang w:val="en-GB"/>
              </w:rPr>
              <w:t>].</w:t>
            </w:r>
          </w:p>
          <w:p w14:paraId="0038923F"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154F36F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7.2.1</w:t>
            </w:r>
          </w:p>
          <w:p w14:paraId="1AFD089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Collate existing information on eastern populations of turtle-dove that are not within the scope of this Action Plan to determine activities for future versions.</w:t>
            </w:r>
          </w:p>
          <w:p w14:paraId="783F3CAF" w14:textId="77777777" w:rsidR="00C96521" w:rsidRPr="006437E1" w:rsidRDefault="00C96521" w:rsidP="00C96521">
            <w:pPr>
              <w:widowControl/>
              <w:autoSpaceDE/>
              <w:autoSpaceDN/>
              <w:adjustRightInd/>
              <w:rPr>
                <w:rFonts w:ascii="Arial" w:hAnsi="Arial" w:cs="Arial"/>
                <w:sz w:val="18"/>
                <w:szCs w:val="18"/>
                <w:lang w:val="en-GB"/>
              </w:rPr>
            </w:pPr>
          </w:p>
          <w:p w14:paraId="2D0801F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some Range States in Central Asia, the Middle East , and Asia (as far east as China).</w:t>
            </w:r>
          </w:p>
        </w:tc>
        <w:tc>
          <w:tcPr>
            <w:tcW w:w="1252" w:type="dxa"/>
          </w:tcPr>
          <w:p w14:paraId="273FDB9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238" w:type="dxa"/>
          </w:tcPr>
          <w:p w14:paraId="57D6E8B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12" w:type="dxa"/>
          </w:tcPr>
          <w:p w14:paraId="6AA9D625"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10892F5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79EA1E0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National databases; common bird monitoring; turtle-dove specific surveys.</w:t>
            </w:r>
          </w:p>
        </w:tc>
      </w:tr>
      <w:tr w:rsidR="00C96521" w:rsidRPr="006437E1" w14:paraId="01C3791F" w14:textId="77777777" w:rsidTr="00C96521">
        <w:tc>
          <w:tcPr>
            <w:tcW w:w="2291" w:type="dxa"/>
            <w:vMerge/>
          </w:tcPr>
          <w:p w14:paraId="53C19CCD"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45A946A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7.2.2</w:t>
            </w:r>
          </w:p>
          <w:p w14:paraId="0A07666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Ensure that national monitoring schemes include turtle-dove specific surveys in order to enable more </w:t>
            </w:r>
            <w:r w:rsidRPr="006437E1">
              <w:rPr>
                <w:rFonts w:ascii="Arial" w:hAnsi="Arial" w:cs="Arial"/>
                <w:sz w:val="18"/>
                <w:szCs w:val="18"/>
                <w:lang w:val="en-GB"/>
              </w:rPr>
              <w:lastRenderedPageBreak/>
              <w:t>robust estimates of national, regional and international population sizes and trends, and modelling of recent and potential changes is possible.</w:t>
            </w:r>
          </w:p>
          <w:p w14:paraId="58EF738C" w14:textId="77777777" w:rsidR="00C96521" w:rsidRPr="006437E1" w:rsidRDefault="00C96521" w:rsidP="00C96521">
            <w:pPr>
              <w:widowControl/>
              <w:autoSpaceDE/>
              <w:autoSpaceDN/>
              <w:adjustRightInd/>
              <w:rPr>
                <w:rFonts w:ascii="Arial" w:hAnsi="Arial" w:cs="Arial"/>
                <w:sz w:val="18"/>
                <w:szCs w:val="18"/>
                <w:lang w:val="en-GB"/>
              </w:rPr>
            </w:pPr>
          </w:p>
          <w:p w14:paraId="7530B9A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but in particular those currently with poor population and trend estimates, especially Turkey, eastern Europe, and into Asia.</w:t>
            </w:r>
          </w:p>
        </w:tc>
        <w:tc>
          <w:tcPr>
            <w:tcW w:w="1252" w:type="dxa"/>
          </w:tcPr>
          <w:p w14:paraId="694FBFF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High</w:t>
            </w:r>
          </w:p>
        </w:tc>
        <w:tc>
          <w:tcPr>
            <w:tcW w:w="1238" w:type="dxa"/>
          </w:tcPr>
          <w:p w14:paraId="338467D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79902EF1"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2B65C83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lastRenderedPageBreak/>
              <w:t>ACADEMIC INSTITUTIONS</w:t>
            </w:r>
            <w:r w:rsidRPr="006437E1">
              <w:rPr>
                <w:rFonts w:ascii="Arial" w:hAnsi="Arial" w:cs="Arial"/>
                <w:sz w:val="18"/>
                <w:szCs w:val="18"/>
                <w:lang w:val="en-GB"/>
              </w:rPr>
              <w:t>, national hunting federations, national wildlife agencies.</w:t>
            </w:r>
          </w:p>
        </w:tc>
        <w:tc>
          <w:tcPr>
            <w:tcW w:w="2378" w:type="dxa"/>
          </w:tcPr>
          <w:p w14:paraId="7ABEB8C6" w14:textId="73A42C6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 xml:space="preserve">National databases; common bird monitoring;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 xml:space="preserve">specific </w:t>
            </w:r>
            <w:r w:rsidRPr="006437E1">
              <w:rPr>
                <w:rFonts w:ascii="Arial" w:hAnsi="Arial" w:cs="Arial"/>
                <w:sz w:val="18"/>
                <w:szCs w:val="18"/>
                <w:lang w:val="en-GB"/>
              </w:rPr>
              <w:lastRenderedPageBreak/>
              <w:t>surveys; Article 12 reporting under Birds Directive.</w:t>
            </w:r>
          </w:p>
        </w:tc>
      </w:tr>
      <w:tr w:rsidR="00C96521" w:rsidRPr="006437E1" w14:paraId="5B1A74A2" w14:textId="77777777" w:rsidTr="00C96521">
        <w:tc>
          <w:tcPr>
            <w:tcW w:w="2291" w:type="dxa"/>
            <w:vMerge/>
          </w:tcPr>
          <w:p w14:paraId="430A5109"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7DD397A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7.2.3</w:t>
            </w:r>
          </w:p>
          <w:p w14:paraId="396D6976" w14:textId="3D3BE8F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Develop targeted data collection on population size and trends of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populations in sub-Saharan Africa and collate information into a single database.</w:t>
            </w:r>
          </w:p>
          <w:p w14:paraId="3573A983" w14:textId="77777777" w:rsidR="00C96521" w:rsidRPr="006437E1" w:rsidRDefault="00C96521" w:rsidP="00C96521">
            <w:pPr>
              <w:widowControl/>
              <w:autoSpaceDE/>
              <w:autoSpaceDN/>
              <w:adjustRightInd/>
              <w:rPr>
                <w:rFonts w:ascii="Arial" w:hAnsi="Arial" w:cs="Arial"/>
                <w:sz w:val="18"/>
                <w:szCs w:val="18"/>
                <w:lang w:val="en-GB"/>
              </w:rPr>
            </w:pPr>
          </w:p>
          <w:p w14:paraId="313AD1A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in sub-Saharan Africa</w:t>
            </w:r>
          </w:p>
        </w:tc>
        <w:tc>
          <w:tcPr>
            <w:tcW w:w="1252" w:type="dxa"/>
          </w:tcPr>
          <w:p w14:paraId="388A671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30A27CC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6499D5CD"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7CAC0EC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6FC10645" w14:textId="4A5B963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National databases; common bird monitoring structures;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specific surveys.</w:t>
            </w:r>
          </w:p>
        </w:tc>
      </w:tr>
      <w:tr w:rsidR="00C96521" w:rsidRPr="006437E1" w14:paraId="52C4BCAE" w14:textId="77777777" w:rsidTr="00C96521">
        <w:tc>
          <w:tcPr>
            <w:tcW w:w="2291" w:type="dxa"/>
          </w:tcPr>
          <w:p w14:paraId="20F9568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7.3 More complete knowledge of sub-species distributions and movements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18792D3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7.3.1</w:t>
            </w:r>
          </w:p>
          <w:p w14:paraId="7BC79AD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research to determine movements and population sizes and trends for the turtle-dove sub-species, including isotope and genetic research in eastern Europe.</w:t>
            </w:r>
          </w:p>
          <w:p w14:paraId="338B6B51" w14:textId="77777777" w:rsidR="00C96521" w:rsidRPr="006437E1" w:rsidRDefault="00C96521" w:rsidP="00C96521">
            <w:pPr>
              <w:widowControl/>
              <w:autoSpaceDE/>
              <w:autoSpaceDN/>
              <w:adjustRightInd/>
              <w:rPr>
                <w:rFonts w:ascii="Arial" w:hAnsi="Arial" w:cs="Arial"/>
                <w:sz w:val="18"/>
                <w:szCs w:val="18"/>
                <w:lang w:val="en-GB"/>
              </w:rPr>
            </w:pPr>
          </w:p>
          <w:p w14:paraId="06A0D42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Applicable to: those Range States holding less well-studied sub-species (in particular, but not confined to, </w:t>
            </w:r>
            <w:r w:rsidRPr="006437E1">
              <w:rPr>
                <w:rFonts w:ascii="Arial" w:hAnsi="Arial" w:cs="Arial"/>
                <w:i/>
                <w:sz w:val="18"/>
                <w:szCs w:val="18"/>
                <w:lang w:val="en-GB"/>
              </w:rPr>
              <w:t>S. t. hoggara</w:t>
            </w:r>
            <w:r w:rsidRPr="006437E1">
              <w:rPr>
                <w:rFonts w:ascii="Arial" w:hAnsi="Arial" w:cs="Arial"/>
                <w:sz w:val="18"/>
                <w:szCs w:val="18"/>
                <w:lang w:val="en-GB"/>
              </w:rPr>
              <w:t xml:space="preserve"> and </w:t>
            </w:r>
            <w:r w:rsidRPr="006437E1">
              <w:rPr>
                <w:rFonts w:ascii="Arial" w:hAnsi="Arial" w:cs="Arial"/>
                <w:i/>
                <w:sz w:val="18"/>
                <w:szCs w:val="18"/>
                <w:lang w:val="en-GB"/>
              </w:rPr>
              <w:t>S. t. rufescens</w:t>
            </w:r>
            <w:r w:rsidRPr="006437E1">
              <w:rPr>
                <w:rFonts w:ascii="Arial" w:hAnsi="Arial" w:cs="Arial"/>
                <w:sz w:val="18"/>
                <w:szCs w:val="18"/>
                <w:lang w:val="en-GB"/>
              </w:rPr>
              <w:t>).</w:t>
            </w:r>
          </w:p>
        </w:tc>
        <w:tc>
          <w:tcPr>
            <w:tcW w:w="1252" w:type="dxa"/>
          </w:tcPr>
          <w:p w14:paraId="62F87C5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238" w:type="dxa"/>
          </w:tcPr>
          <w:p w14:paraId="71C7061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7B40D307"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00ECA25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111D962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Actions 7.1.1-7.1.4</w:t>
            </w:r>
          </w:p>
          <w:p w14:paraId="37159A1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7.2.1-7.23</w:t>
            </w:r>
          </w:p>
        </w:tc>
      </w:tr>
      <w:tr w:rsidR="00C96521" w:rsidRPr="006437E1" w14:paraId="0F27393C" w14:textId="77777777" w:rsidTr="00C96521">
        <w:tc>
          <w:tcPr>
            <w:tcW w:w="2291" w:type="dxa"/>
            <w:vMerge w:val="restart"/>
          </w:tcPr>
          <w:p w14:paraId="60874569" w14:textId="3FA66F8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7.4 Greater understanding of the key components needed in a </w:t>
            </w:r>
            <w:r w:rsidR="005028F9" w:rsidRPr="006437E1">
              <w:rPr>
                <w:rFonts w:ascii="Arial" w:hAnsi="Arial" w:cs="Arial"/>
                <w:sz w:val="18"/>
                <w:szCs w:val="18"/>
                <w:lang w:val="en-GB"/>
              </w:rPr>
              <w:t xml:space="preserve">Turtle Dove‘s </w:t>
            </w:r>
            <w:r w:rsidRPr="006437E1">
              <w:rPr>
                <w:rFonts w:ascii="Arial" w:hAnsi="Arial" w:cs="Arial"/>
                <w:sz w:val="18"/>
                <w:szCs w:val="18"/>
                <w:lang w:val="en-GB"/>
              </w:rPr>
              <w:t>habitat by [</w:t>
            </w:r>
            <w:r w:rsidRPr="006437E1">
              <w:rPr>
                <w:rFonts w:ascii="Arial" w:hAnsi="Arial" w:cs="Arial"/>
                <w:i/>
                <w:sz w:val="18"/>
                <w:szCs w:val="18"/>
                <w:lang w:val="en-GB"/>
              </w:rPr>
              <w:t>2020</w:t>
            </w:r>
            <w:r w:rsidRPr="006437E1">
              <w:rPr>
                <w:rFonts w:ascii="Arial" w:hAnsi="Arial" w:cs="Arial"/>
                <w:sz w:val="18"/>
                <w:szCs w:val="18"/>
                <w:lang w:val="en-GB"/>
              </w:rPr>
              <w:t>].</w:t>
            </w:r>
          </w:p>
          <w:p w14:paraId="407EC40E" w14:textId="77777777" w:rsidR="00C96521" w:rsidRPr="006437E1" w:rsidRDefault="00C96521" w:rsidP="00C96521">
            <w:pPr>
              <w:widowControl/>
              <w:autoSpaceDE/>
              <w:autoSpaceDN/>
              <w:adjustRightInd/>
              <w:rPr>
                <w:rFonts w:ascii="Arial" w:hAnsi="Arial" w:cs="Arial"/>
                <w:sz w:val="18"/>
                <w:szCs w:val="18"/>
                <w:lang w:val="en-GB"/>
              </w:rPr>
            </w:pPr>
          </w:p>
          <w:p w14:paraId="5A34310A"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1F4A325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7.4.1</w:t>
            </w:r>
          </w:p>
          <w:p w14:paraId="7C78ED3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Improve knowledge of turtle-dove habitat associations and dietary needs, and undertake regional comparisons in population change compared to agricultural change.  </w:t>
            </w:r>
          </w:p>
          <w:p w14:paraId="4630719A" w14:textId="77777777" w:rsidR="00C96521" w:rsidRPr="006437E1" w:rsidRDefault="00C96521" w:rsidP="00C96521">
            <w:pPr>
              <w:widowControl/>
              <w:autoSpaceDE/>
              <w:autoSpaceDN/>
              <w:adjustRightInd/>
              <w:rPr>
                <w:rFonts w:ascii="Arial" w:hAnsi="Arial" w:cs="Arial"/>
                <w:sz w:val="18"/>
                <w:szCs w:val="18"/>
                <w:lang w:val="en-GB"/>
              </w:rPr>
            </w:pPr>
          </w:p>
          <w:p w14:paraId="4B83041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7C4032A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45E4242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5C4B02BE"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44B51D6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73368F6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successful prescriptions for turtle-doves; research papers; hunting bag samples.</w:t>
            </w:r>
          </w:p>
        </w:tc>
      </w:tr>
      <w:tr w:rsidR="00C96521" w:rsidRPr="006437E1" w14:paraId="12989FE0" w14:textId="77777777" w:rsidTr="00C96521">
        <w:tc>
          <w:tcPr>
            <w:tcW w:w="2291" w:type="dxa"/>
            <w:vMerge/>
          </w:tcPr>
          <w:p w14:paraId="6ECB60E0"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0B50666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7.4.2</w:t>
            </w:r>
          </w:p>
          <w:p w14:paraId="2675BFD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tracking studies to determine small-scale movements of birds within their breeding area in different habitats (forest, agricultural landscapes).</w:t>
            </w:r>
          </w:p>
          <w:p w14:paraId="0E4E1C1D" w14:textId="77777777" w:rsidR="00C96521" w:rsidRPr="006437E1" w:rsidRDefault="00C96521" w:rsidP="00C96521">
            <w:pPr>
              <w:widowControl/>
              <w:autoSpaceDE/>
              <w:autoSpaceDN/>
              <w:adjustRightInd/>
              <w:rPr>
                <w:rFonts w:ascii="Arial" w:hAnsi="Arial" w:cs="Arial"/>
                <w:sz w:val="18"/>
                <w:szCs w:val="18"/>
                <w:lang w:val="en-GB"/>
              </w:rPr>
            </w:pPr>
          </w:p>
          <w:p w14:paraId="6599390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422EDAF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1A9288B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02930E80"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5EA0055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3BF8AC7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Actions 7.1.1-7.1.4</w:t>
            </w:r>
          </w:p>
          <w:p w14:paraId="4DFD89B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7.4.1</w:t>
            </w:r>
          </w:p>
        </w:tc>
      </w:tr>
      <w:tr w:rsidR="00C96521" w:rsidRPr="006437E1" w14:paraId="4FB42B65" w14:textId="77777777" w:rsidTr="00C96521">
        <w:tc>
          <w:tcPr>
            <w:tcW w:w="2291" w:type="dxa"/>
            <w:vMerge/>
          </w:tcPr>
          <w:p w14:paraId="043A13EB"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431AD30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7.4.3</w:t>
            </w:r>
          </w:p>
          <w:p w14:paraId="771F416E" w14:textId="46A2906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Conduct a Sahel-wide inventory of features that contribute to good quality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 xml:space="preserve">habitat, </w:t>
            </w:r>
            <w:r w:rsidRPr="006437E1">
              <w:rPr>
                <w:rFonts w:ascii="Arial" w:hAnsi="Arial" w:cs="Arial"/>
                <w:sz w:val="18"/>
                <w:szCs w:val="18"/>
                <w:lang w:val="en-GB"/>
              </w:rPr>
              <w:lastRenderedPageBreak/>
              <w:t>including roosting sites, wetlands and seasonally-flooded acacia stands.</w:t>
            </w:r>
          </w:p>
          <w:p w14:paraId="051E2382" w14:textId="77777777" w:rsidR="00C96521" w:rsidRPr="006437E1" w:rsidRDefault="00C96521" w:rsidP="00C96521">
            <w:pPr>
              <w:widowControl/>
              <w:autoSpaceDE/>
              <w:autoSpaceDN/>
              <w:adjustRightInd/>
              <w:rPr>
                <w:rFonts w:ascii="Arial" w:hAnsi="Arial" w:cs="Arial"/>
                <w:sz w:val="18"/>
                <w:szCs w:val="18"/>
                <w:lang w:val="en-GB"/>
              </w:rPr>
            </w:pPr>
          </w:p>
          <w:p w14:paraId="7044E02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in sub-Saharan Africa.</w:t>
            </w:r>
          </w:p>
        </w:tc>
        <w:tc>
          <w:tcPr>
            <w:tcW w:w="1252" w:type="dxa"/>
          </w:tcPr>
          <w:p w14:paraId="1D5845A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High</w:t>
            </w:r>
          </w:p>
        </w:tc>
        <w:tc>
          <w:tcPr>
            <w:tcW w:w="1238" w:type="dxa"/>
          </w:tcPr>
          <w:p w14:paraId="5E742F4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2A47291D"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0701015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lastRenderedPageBreak/>
              <w:t>ACADEMIC INSTITUTIONS</w:t>
            </w:r>
            <w:r w:rsidRPr="006437E1">
              <w:rPr>
                <w:rFonts w:ascii="Arial" w:hAnsi="Arial" w:cs="Arial"/>
                <w:sz w:val="18"/>
                <w:szCs w:val="18"/>
                <w:lang w:val="en-GB"/>
              </w:rPr>
              <w:t>, national hunting federations, national wildlife agencies.</w:t>
            </w:r>
          </w:p>
        </w:tc>
        <w:tc>
          <w:tcPr>
            <w:tcW w:w="2378" w:type="dxa"/>
          </w:tcPr>
          <w:p w14:paraId="4C9D759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 xml:space="preserve">Ramsar, CBD, UNCCD, CMS, EU Joint Research </w:t>
            </w:r>
            <w:r w:rsidRPr="006437E1">
              <w:rPr>
                <w:rFonts w:ascii="Arial" w:hAnsi="Arial" w:cs="Arial"/>
                <w:sz w:val="18"/>
                <w:szCs w:val="18"/>
                <w:lang w:val="en-GB"/>
              </w:rPr>
              <w:lastRenderedPageBreak/>
              <w:t>Centre for Remote Sensing.</w:t>
            </w:r>
          </w:p>
        </w:tc>
      </w:tr>
      <w:tr w:rsidR="00C96521" w:rsidRPr="006437E1" w14:paraId="098AA5F7" w14:textId="77777777" w:rsidTr="00C96521">
        <w:tc>
          <w:tcPr>
            <w:tcW w:w="2291" w:type="dxa"/>
          </w:tcPr>
          <w:p w14:paraId="4DF194DC" w14:textId="054A5A09"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 xml:space="preserve">7.5 Greater understanding of </w:t>
            </w:r>
            <w:r w:rsidR="005028F9" w:rsidRPr="006437E1">
              <w:rPr>
                <w:rFonts w:ascii="Arial" w:hAnsi="Arial" w:cs="Arial"/>
                <w:sz w:val="18"/>
                <w:szCs w:val="18"/>
                <w:lang w:val="en-GB"/>
              </w:rPr>
              <w:t>Turtle Dove</w:t>
            </w:r>
            <w:r w:rsidRPr="006437E1">
              <w:rPr>
                <w:rFonts w:ascii="Arial" w:hAnsi="Arial" w:cs="Arial"/>
                <w:sz w:val="18"/>
                <w:szCs w:val="18"/>
                <w:lang w:val="en-GB"/>
              </w:rPr>
              <w:t xml:space="preserve"> survival and breeding productivity by [</w:t>
            </w:r>
            <w:r w:rsidRPr="006437E1">
              <w:rPr>
                <w:rFonts w:ascii="Arial" w:hAnsi="Arial" w:cs="Arial"/>
                <w:i/>
                <w:sz w:val="18"/>
                <w:szCs w:val="18"/>
                <w:lang w:val="en-GB"/>
              </w:rPr>
              <w:t>2020</w:t>
            </w:r>
            <w:r w:rsidRPr="006437E1">
              <w:rPr>
                <w:rFonts w:ascii="Arial" w:hAnsi="Arial" w:cs="Arial"/>
                <w:sz w:val="18"/>
                <w:szCs w:val="18"/>
                <w:lang w:val="en-GB"/>
              </w:rPr>
              <w:t>].</w:t>
            </w:r>
          </w:p>
        </w:tc>
        <w:tc>
          <w:tcPr>
            <w:tcW w:w="4404" w:type="dxa"/>
          </w:tcPr>
          <w:p w14:paraId="47E8AD9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7.5.1</w:t>
            </w:r>
          </w:p>
          <w:p w14:paraId="44584263" w14:textId="709B487F"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Put in place long-term monitoring programmes on annual survival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capture-mark-recapture) and breeding productivity.</w:t>
            </w:r>
          </w:p>
          <w:p w14:paraId="08F7A337" w14:textId="77777777" w:rsidR="00C96521" w:rsidRPr="006437E1" w:rsidRDefault="00C96521" w:rsidP="00C96521">
            <w:pPr>
              <w:widowControl/>
              <w:autoSpaceDE/>
              <w:autoSpaceDN/>
              <w:adjustRightInd/>
              <w:rPr>
                <w:rFonts w:ascii="Arial" w:hAnsi="Arial" w:cs="Arial"/>
                <w:sz w:val="18"/>
                <w:szCs w:val="18"/>
                <w:lang w:val="en-GB"/>
              </w:rPr>
            </w:pPr>
          </w:p>
          <w:p w14:paraId="1F3D20E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07238F3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7A3AEAC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414DC968"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6034710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56E0CFA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Research papers; hunting bag samples.</w:t>
            </w:r>
          </w:p>
        </w:tc>
      </w:tr>
      <w:tr w:rsidR="00C96521" w:rsidRPr="006437E1" w14:paraId="79B64F96" w14:textId="77777777" w:rsidTr="00C96521">
        <w:tc>
          <w:tcPr>
            <w:tcW w:w="2291" w:type="dxa"/>
          </w:tcPr>
          <w:p w14:paraId="270DB0FA" w14:textId="09A49750"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7.6 Characterisation of ideal stop-over and wintering sites for </w:t>
            </w:r>
            <w:r w:rsidR="005028F9" w:rsidRPr="006437E1">
              <w:rPr>
                <w:rFonts w:ascii="Arial" w:hAnsi="Arial" w:cs="Arial"/>
                <w:sz w:val="18"/>
                <w:szCs w:val="18"/>
                <w:lang w:val="en-GB"/>
              </w:rPr>
              <w:t>Turtle Dove</w:t>
            </w:r>
            <w:r w:rsidRPr="006437E1">
              <w:rPr>
                <w:rFonts w:ascii="Arial" w:hAnsi="Arial" w:cs="Arial"/>
                <w:sz w:val="18"/>
                <w:szCs w:val="18"/>
                <w:lang w:val="en-GB"/>
              </w:rPr>
              <w:t xml:space="preserve">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534B1BC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7.6.1</w:t>
            </w:r>
          </w:p>
          <w:p w14:paraId="037624B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research to characterise key stop-over and wintering sites, and an assessment of remote sensing as a tool to predict further areas.</w:t>
            </w:r>
          </w:p>
          <w:p w14:paraId="666A945B" w14:textId="77777777" w:rsidR="00C96521" w:rsidRPr="006437E1" w:rsidRDefault="00C96521" w:rsidP="00C96521">
            <w:pPr>
              <w:widowControl/>
              <w:autoSpaceDE/>
              <w:autoSpaceDN/>
              <w:adjustRightInd/>
              <w:rPr>
                <w:rFonts w:ascii="Arial" w:hAnsi="Arial" w:cs="Arial"/>
                <w:sz w:val="18"/>
                <w:szCs w:val="18"/>
                <w:lang w:val="en-GB"/>
              </w:rPr>
            </w:pPr>
          </w:p>
          <w:p w14:paraId="21CA632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wintering Range States and those with key stop-over sites.</w:t>
            </w:r>
          </w:p>
        </w:tc>
        <w:tc>
          <w:tcPr>
            <w:tcW w:w="1252" w:type="dxa"/>
          </w:tcPr>
          <w:p w14:paraId="6C4A2E1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74D8577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2AA15CE8"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0B760BE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4AB415D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Actions 7.1.1-7.1.3</w:t>
            </w:r>
          </w:p>
        </w:tc>
      </w:tr>
      <w:tr w:rsidR="00C96521" w:rsidRPr="006437E1" w14:paraId="66275FF3" w14:textId="77777777" w:rsidTr="00C96521">
        <w:tc>
          <w:tcPr>
            <w:tcW w:w="2291" w:type="dxa"/>
          </w:tcPr>
          <w:p w14:paraId="62182B1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7.7 Understanding of the country of origin of hunted birds [</w:t>
            </w:r>
            <w:r w:rsidRPr="006437E1">
              <w:rPr>
                <w:rFonts w:ascii="Arial" w:hAnsi="Arial" w:cs="Arial"/>
                <w:i/>
                <w:sz w:val="18"/>
                <w:szCs w:val="18"/>
                <w:lang w:val="en-GB"/>
              </w:rPr>
              <w:t>2020</w:t>
            </w:r>
            <w:r w:rsidRPr="006437E1">
              <w:rPr>
                <w:rFonts w:ascii="Arial" w:hAnsi="Arial" w:cs="Arial"/>
                <w:sz w:val="18"/>
                <w:szCs w:val="18"/>
                <w:lang w:val="en-GB"/>
              </w:rPr>
              <w:t>].</w:t>
            </w:r>
          </w:p>
        </w:tc>
        <w:tc>
          <w:tcPr>
            <w:tcW w:w="4404" w:type="dxa"/>
          </w:tcPr>
          <w:p w14:paraId="54393BD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7.7.1</w:t>
            </w:r>
          </w:p>
          <w:p w14:paraId="32BA5D7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Analyse new tracking and isotopic data to determine the origins of birds killed in each country.</w:t>
            </w:r>
          </w:p>
          <w:p w14:paraId="32A038FB" w14:textId="77777777" w:rsidR="00C96521" w:rsidRPr="006437E1" w:rsidRDefault="00C96521" w:rsidP="00C96521">
            <w:pPr>
              <w:widowControl/>
              <w:autoSpaceDE/>
              <w:autoSpaceDN/>
              <w:adjustRightInd/>
              <w:rPr>
                <w:rFonts w:ascii="Arial" w:hAnsi="Arial" w:cs="Arial"/>
                <w:sz w:val="18"/>
                <w:szCs w:val="18"/>
                <w:lang w:val="en-GB"/>
              </w:rPr>
            </w:pPr>
          </w:p>
          <w:p w14:paraId="47B6C91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Application: all Range States.</w:t>
            </w:r>
          </w:p>
        </w:tc>
        <w:tc>
          <w:tcPr>
            <w:tcW w:w="1252" w:type="dxa"/>
          </w:tcPr>
          <w:p w14:paraId="4A4DD51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26F3D93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73E136B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xml:space="preserve">, </w:t>
            </w:r>
            <w:r w:rsidRPr="006437E1">
              <w:rPr>
                <w:rFonts w:ascii="Arial" w:hAnsi="Arial" w:cs="Arial"/>
                <w:b/>
                <w:sz w:val="18"/>
                <w:szCs w:val="18"/>
                <w:lang w:val="en-GB"/>
              </w:rPr>
              <w:t>ACADEMIC INSTITUTIONS</w:t>
            </w:r>
            <w:r w:rsidRPr="006437E1">
              <w:rPr>
                <w:rFonts w:ascii="Arial" w:hAnsi="Arial" w:cs="Arial"/>
                <w:sz w:val="18"/>
                <w:szCs w:val="18"/>
                <w:lang w:val="en-GB"/>
              </w:rPr>
              <w:t>, FACE, national hunting federations.</w:t>
            </w:r>
          </w:p>
        </w:tc>
        <w:tc>
          <w:tcPr>
            <w:tcW w:w="2378" w:type="dxa"/>
          </w:tcPr>
          <w:p w14:paraId="21FC467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Actions 7.1.1-7.1.4</w:t>
            </w:r>
          </w:p>
        </w:tc>
      </w:tr>
      <w:tr w:rsidR="00C96521" w:rsidRPr="006437E1" w14:paraId="21CF08D6" w14:textId="77777777" w:rsidTr="00C96521">
        <w:tc>
          <w:tcPr>
            <w:tcW w:w="2291" w:type="dxa"/>
          </w:tcPr>
          <w:p w14:paraId="0F98D3A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7.8 More robust figures for hunting tourism by [</w:t>
            </w:r>
            <w:r w:rsidRPr="006437E1">
              <w:rPr>
                <w:rFonts w:ascii="Arial" w:hAnsi="Arial" w:cs="Arial"/>
                <w:i/>
                <w:sz w:val="18"/>
                <w:szCs w:val="18"/>
                <w:lang w:val="en-GB"/>
              </w:rPr>
              <w:t>2020</w:t>
            </w:r>
            <w:r w:rsidRPr="006437E1">
              <w:rPr>
                <w:rFonts w:ascii="Arial" w:hAnsi="Arial" w:cs="Arial"/>
                <w:sz w:val="18"/>
                <w:szCs w:val="18"/>
                <w:lang w:val="en-GB"/>
              </w:rPr>
              <w:t>].</w:t>
            </w:r>
          </w:p>
        </w:tc>
        <w:tc>
          <w:tcPr>
            <w:tcW w:w="4404" w:type="dxa"/>
          </w:tcPr>
          <w:p w14:paraId="74FBA5F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7.8.1</w:t>
            </w:r>
          </w:p>
          <w:p w14:paraId="751B1D2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Collect and analyse data on hunting tourism to develop more accurate estimates of yearly take.</w:t>
            </w:r>
          </w:p>
          <w:p w14:paraId="2C3AE10D" w14:textId="77777777" w:rsidR="00C96521" w:rsidRPr="006437E1" w:rsidRDefault="00C96521" w:rsidP="00C96521">
            <w:pPr>
              <w:widowControl/>
              <w:autoSpaceDE/>
              <w:autoSpaceDN/>
              <w:adjustRightInd/>
              <w:rPr>
                <w:rFonts w:ascii="Arial" w:hAnsi="Arial" w:cs="Arial"/>
                <w:sz w:val="18"/>
                <w:szCs w:val="18"/>
                <w:lang w:val="en-GB"/>
              </w:rPr>
            </w:pPr>
          </w:p>
          <w:p w14:paraId="69D86EE3" w14:textId="77777777" w:rsidR="00C96521" w:rsidRPr="006437E1" w:rsidRDefault="00C96521" w:rsidP="00C96521">
            <w:pPr>
              <w:widowControl/>
              <w:autoSpaceDE/>
              <w:autoSpaceDN/>
              <w:adjustRightInd/>
              <w:rPr>
                <w:rFonts w:ascii="Arial" w:hAnsi="Arial" w:cs="Arial"/>
                <w:sz w:val="18"/>
                <w:szCs w:val="18"/>
                <w:lang w:val="en-GB"/>
              </w:rPr>
            </w:pPr>
          </w:p>
          <w:p w14:paraId="2F22D907" w14:textId="77777777" w:rsidR="00C96521" w:rsidRPr="006437E1" w:rsidRDefault="00C96521" w:rsidP="00C96521">
            <w:pPr>
              <w:widowControl/>
              <w:autoSpaceDE/>
              <w:autoSpaceDN/>
              <w:adjustRightInd/>
              <w:rPr>
                <w:rFonts w:ascii="Arial" w:hAnsi="Arial" w:cs="Arial"/>
                <w:sz w:val="18"/>
                <w:szCs w:val="18"/>
                <w:lang w:val="en-GB"/>
              </w:rPr>
            </w:pPr>
          </w:p>
          <w:p w14:paraId="66EC9DDC" w14:textId="77777777" w:rsidR="00C96521" w:rsidRPr="006437E1" w:rsidRDefault="00C96521" w:rsidP="00C96521">
            <w:pPr>
              <w:widowControl/>
              <w:autoSpaceDE/>
              <w:autoSpaceDN/>
              <w:adjustRightInd/>
              <w:rPr>
                <w:rFonts w:ascii="Arial" w:hAnsi="Arial" w:cs="Arial"/>
                <w:sz w:val="18"/>
                <w:szCs w:val="18"/>
                <w:lang w:val="en-GB"/>
              </w:rPr>
            </w:pPr>
          </w:p>
          <w:p w14:paraId="1E70E33B" w14:textId="77777777" w:rsidR="00C96521" w:rsidRPr="006437E1" w:rsidRDefault="00C96521" w:rsidP="00C96521">
            <w:pPr>
              <w:widowControl/>
              <w:autoSpaceDE/>
              <w:autoSpaceDN/>
              <w:adjustRightInd/>
              <w:rPr>
                <w:rFonts w:ascii="Arial" w:hAnsi="Arial" w:cs="Arial"/>
                <w:sz w:val="18"/>
                <w:szCs w:val="18"/>
                <w:lang w:val="en-GB"/>
              </w:rPr>
            </w:pPr>
          </w:p>
          <w:p w14:paraId="6BCA0DE5" w14:textId="77777777" w:rsidR="00C96521" w:rsidRPr="006437E1" w:rsidRDefault="00C96521" w:rsidP="00C96521">
            <w:pPr>
              <w:widowControl/>
              <w:autoSpaceDE/>
              <w:autoSpaceDN/>
              <w:adjustRightInd/>
              <w:rPr>
                <w:rFonts w:ascii="Arial" w:hAnsi="Arial" w:cs="Arial"/>
                <w:sz w:val="18"/>
                <w:szCs w:val="18"/>
                <w:lang w:val="en-GB"/>
              </w:rPr>
            </w:pPr>
          </w:p>
          <w:p w14:paraId="418404A0" w14:textId="77777777" w:rsidR="00C96521" w:rsidRPr="006437E1" w:rsidRDefault="00C96521" w:rsidP="00C96521">
            <w:pPr>
              <w:widowControl/>
              <w:autoSpaceDE/>
              <w:autoSpaceDN/>
              <w:adjustRightInd/>
              <w:rPr>
                <w:rFonts w:ascii="Arial" w:hAnsi="Arial" w:cs="Arial"/>
                <w:sz w:val="18"/>
                <w:szCs w:val="18"/>
                <w:lang w:val="en-GB"/>
              </w:rPr>
            </w:pPr>
          </w:p>
          <w:p w14:paraId="00B2407A" w14:textId="77777777" w:rsidR="00C96521" w:rsidRPr="006437E1" w:rsidRDefault="00C96521" w:rsidP="00C96521">
            <w:pPr>
              <w:widowControl/>
              <w:autoSpaceDE/>
              <w:autoSpaceDN/>
              <w:adjustRightInd/>
              <w:rPr>
                <w:rFonts w:ascii="Arial" w:hAnsi="Arial" w:cs="Arial"/>
                <w:sz w:val="18"/>
                <w:szCs w:val="18"/>
                <w:lang w:val="en-GB"/>
              </w:rPr>
            </w:pPr>
          </w:p>
          <w:p w14:paraId="51602D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71B80BB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3CA7529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7A191BB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xml:space="preserve">, </w:t>
            </w:r>
            <w:r w:rsidRPr="006437E1">
              <w:rPr>
                <w:rFonts w:ascii="Arial" w:hAnsi="Arial" w:cs="Arial"/>
                <w:b/>
                <w:sz w:val="18"/>
                <w:szCs w:val="18"/>
                <w:lang w:val="en-GB"/>
              </w:rPr>
              <w:t>ACADEMIC INSTITUTIONS</w:t>
            </w:r>
            <w:r w:rsidRPr="006437E1">
              <w:rPr>
                <w:rFonts w:ascii="Arial" w:hAnsi="Arial" w:cs="Arial"/>
                <w:sz w:val="18"/>
                <w:szCs w:val="18"/>
                <w:lang w:val="en-GB"/>
              </w:rPr>
              <w:t>, FACE, national hunting federations.</w:t>
            </w:r>
          </w:p>
        </w:tc>
        <w:tc>
          <w:tcPr>
            <w:tcW w:w="2378" w:type="dxa"/>
          </w:tcPr>
          <w:p w14:paraId="3049FF2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National reports to the Berne Convention, EU Road-Map, CMS MIKT, IMPEL, National Action Plans, Nature Directives Fitness Check Guide; EU Sustainable Hunting Guide, existing tagging projects and research, reports and data from NGOs and national authorities.</w:t>
            </w:r>
          </w:p>
        </w:tc>
      </w:tr>
      <w:tr w:rsidR="00C96521" w:rsidRPr="006437E1" w14:paraId="3586FBFA" w14:textId="77777777" w:rsidTr="00C96521">
        <w:tc>
          <w:tcPr>
            <w:tcW w:w="2291" w:type="dxa"/>
            <w:vMerge w:val="restart"/>
          </w:tcPr>
          <w:p w14:paraId="1E92C90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7.9 More robust figures for illegal killing by [</w:t>
            </w:r>
            <w:r w:rsidRPr="006437E1">
              <w:rPr>
                <w:rFonts w:ascii="Arial" w:hAnsi="Arial" w:cs="Arial"/>
                <w:i/>
                <w:sz w:val="18"/>
                <w:szCs w:val="18"/>
                <w:lang w:val="en-GB"/>
              </w:rPr>
              <w:t>2020</w:t>
            </w:r>
            <w:r w:rsidRPr="006437E1">
              <w:rPr>
                <w:rFonts w:ascii="Arial" w:hAnsi="Arial" w:cs="Arial"/>
                <w:sz w:val="18"/>
                <w:szCs w:val="18"/>
                <w:lang w:val="en-GB"/>
              </w:rPr>
              <w:t>].</w:t>
            </w:r>
          </w:p>
        </w:tc>
        <w:tc>
          <w:tcPr>
            <w:tcW w:w="4404" w:type="dxa"/>
          </w:tcPr>
          <w:p w14:paraId="00367F0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7.9.1</w:t>
            </w:r>
          </w:p>
          <w:p w14:paraId="45B45B47" w14:textId="2B3A9878"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Collect and analyse data on illegal killing of </w:t>
            </w:r>
            <w:r w:rsidR="005028F9" w:rsidRPr="006437E1">
              <w:rPr>
                <w:rFonts w:ascii="Arial" w:hAnsi="Arial" w:cs="Arial"/>
                <w:sz w:val="18"/>
                <w:szCs w:val="18"/>
                <w:lang w:val="en-GB"/>
              </w:rPr>
              <w:t>Turtle Dove</w:t>
            </w:r>
            <w:r w:rsidRPr="006437E1">
              <w:rPr>
                <w:rFonts w:ascii="Arial" w:hAnsi="Arial" w:cs="Arial"/>
                <w:sz w:val="18"/>
                <w:szCs w:val="18"/>
                <w:lang w:val="en-GB"/>
              </w:rPr>
              <w:t xml:space="preserve"> to develop more accurate estimates of yearly take.</w:t>
            </w:r>
          </w:p>
          <w:p w14:paraId="331E98EC" w14:textId="77777777" w:rsidR="00C96521" w:rsidRPr="006437E1" w:rsidRDefault="00C96521" w:rsidP="00C96521">
            <w:pPr>
              <w:widowControl/>
              <w:autoSpaceDE/>
              <w:autoSpaceDN/>
              <w:adjustRightInd/>
              <w:rPr>
                <w:rFonts w:ascii="Arial" w:hAnsi="Arial" w:cs="Arial"/>
                <w:sz w:val="18"/>
                <w:szCs w:val="18"/>
                <w:lang w:val="en-GB"/>
              </w:rPr>
            </w:pPr>
          </w:p>
          <w:p w14:paraId="37DD6DB3" w14:textId="77777777" w:rsidR="00C96521" w:rsidRPr="006437E1" w:rsidRDefault="00C96521" w:rsidP="00C96521">
            <w:pPr>
              <w:widowControl/>
              <w:autoSpaceDE/>
              <w:autoSpaceDN/>
              <w:adjustRightInd/>
              <w:rPr>
                <w:rFonts w:ascii="Arial" w:hAnsi="Arial" w:cs="Arial"/>
                <w:sz w:val="18"/>
                <w:szCs w:val="18"/>
                <w:lang w:val="en-GB"/>
              </w:rPr>
            </w:pPr>
          </w:p>
          <w:p w14:paraId="44C64F4F" w14:textId="77777777" w:rsidR="00C96521" w:rsidRPr="006437E1" w:rsidRDefault="00C96521" w:rsidP="00C96521">
            <w:pPr>
              <w:widowControl/>
              <w:autoSpaceDE/>
              <w:autoSpaceDN/>
              <w:adjustRightInd/>
              <w:rPr>
                <w:rFonts w:ascii="Arial" w:hAnsi="Arial" w:cs="Arial"/>
                <w:sz w:val="18"/>
                <w:szCs w:val="18"/>
                <w:lang w:val="en-GB"/>
              </w:rPr>
            </w:pPr>
          </w:p>
          <w:p w14:paraId="06DD5707" w14:textId="77777777" w:rsidR="00C96521" w:rsidRPr="006437E1" w:rsidRDefault="00C96521" w:rsidP="00C96521">
            <w:pPr>
              <w:widowControl/>
              <w:autoSpaceDE/>
              <w:autoSpaceDN/>
              <w:adjustRightInd/>
              <w:rPr>
                <w:rFonts w:ascii="Arial" w:hAnsi="Arial" w:cs="Arial"/>
                <w:sz w:val="18"/>
                <w:szCs w:val="18"/>
                <w:lang w:val="en-GB"/>
              </w:rPr>
            </w:pPr>
          </w:p>
          <w:p w14:paraId="74606C66" w14:textId="77777777" w:rsidR="00C96521" w:rsidRPr="006437E1" w:rsidRDefault="00C96521" w:rsidP="00C96521">
            <w:pPr>
              <w:widowControl/>
              <w:autoSpaceDE/>
              <w:autoSpaceDN/>
              <w:adjustRightInd/>
              <w:rPr>
                <w:rFonts w:ascii="Arial" w:hAnsi="Arial" w:cs="Arial"/>
                <w:sz w:val="18"/>
                <w:szCs w:val="18"/>
                <w:lang w:val="en-GB"/>
              </w:rPr>
            </w:pPr>
          </w:p>
          <w:p w14:paraId="322B827C" w14:textId="77777777" w:rsidR="00C96521" w:rsidRPr="006437E1" w:rsidRDefault="00C96521" w:rsidP="00C96521">
            <w:pPr>
              <w:widowControl/>
              <w:autoSpaceDE/>
              <w:autoSpaceDN/>
              <w:adjustRightInd/>
              <w:rPr>
                <w:rFonts w:ascii="Arial" w:hAnsi="Arial" w:cs="Arial"/>
                <w:sz w:val="18"/>
                <w:szCs w:val="18"/>
                <w:lang w:val="en-GB"/>
              </w:rPr>
            </w:pPr>
          </w:p>
          <w:p w14:paraId="4A39AB95" w14:textId="77777777" w:rsidR="00C96521" w:rsidRPr="006437E1" w:rsidRDefault="00C96521" w:rsidP="00C96521">
            <w:pPr>
              <w:widowControl/>
              <w:autoSpaceDE/>
              <w:autoSpaceDN/>
              <w:adjustRightInd/>
              <w:rPr>
                <w:rFonts w:ascii="Arial" w:hAnsi="Arial" w:cs="Arial"/>
                <w:sz w:val="18"/>
                <w:szCs w:val="18"/>
                <w:lang w:val="en-GB"/>
              </w:rPr>
            </w:pPr>
          </w:p>
          <w:p w14:paraId="2178597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210DA22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High</w:t>
            </w:r>
          </w:p>
        </w:tc>
        <w:tc>
          <w:tcPr>
            <w:tcW w:w="1238" w:type="dxa"/>
          </w:tcPr>
          <w:p w14:paraId="231327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30D8CE4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xml:space="preserve">, </w:t>
            </w:r>
            <w:r w:rsidRPr="006437E1">
              <w:rPr>
                <w:rFonts w:ascii="Arial" w:hAnsi="Arial" w:cs="Arial"/>
                <w:b/>
                <w:sz w:val="18"/>
                <w:szCs w:val="18"/>
                <w:lang w:val="en-GB"/>
              </w:rPr>
              <w:t>ACADEMIC INSTITUTIONS</w:t>
            </w:r>
            <w:r w:rsidRPr="006437E1">
              <w:rPr>
                <w:rFonts w:ascii="Arial" w:hAnsi="Arial" w:cs="Arial"/>
                <w:sz w:val="18"/>
                <w:szCs w:val="18"/>
                <w:lang w:val="en-GB"/>
              </w:rPr>
              <w:t>, FACE, national hunting federations.</w:t>
            </w:r>
          </w:p>
        </w:tc>
        <w:tc>
          <w:tcPr>
            <w:tcW w:w="2378" w:type="dxa"/>
          </w:tcPr>
          <w:p w14:paraId="086F6BC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National reports to the Berne Convention, EU Road-Map, CMS MIKT, IMPEL, National Action Plans, Nature Directives Fitness Check Guide; EU Sustainable Hunting </w:t>
            </w:r>
            <w:r w:rsidRPr="006437E1">
              <w:rPr>
                <w:rFonts w:ascii="Arial" w:hAnsi="Arial" w:cs="Arial"/>
                <w:sz w:val="18"/>
                <w:szCs w:val="18"/>
                <w:lang w:val="en-GB"/>
              </w:rPr>
              <w:lastRenderedPageBreak/>
              <w:t>Guide, existing tagging projects and research, reports and data from NGOs and national authorities.</w:t>
            </w:r>
          </w:p>
        </w:tc>
      </w:tr>
      <w:tr w:rsidR="00C96521" w:rsidRPr="006437E1" w14:paraId="0D253D09" w14:textId="77777777" w:rsidTr="00C96521">
        <w:tc>
          <w:tcPr>
            <w:tcW w:w="2291" w:type="dxa"/>
            <w:vMerge/>
          </w:tcPr>
          <w:p w14:paraId="167D6643"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63C8D3E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7.9.2</w:t>
            </w:r>
          </w:p>
          <w:p w14:paraId="2A7654A2" w14:textId="66B9EF9F"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a socio-economic study on the reasons that people illegally kill and the role of the turtle-dove in their lives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their personal economy).</w:t>
            </w:r>
          </w:p>
          <w:p w14:paraId="18998D2A" w14:textId="77777777" w:rsidR="00C96521" w:rsidRPr="006437E1" w:rsidRDefault="00C96521" w:rsidP="00C96521">
            <w:pPr>
              <w:widowControl/>
              <w:autoSpaceDE/>
              <w:autoSpaceDN/>
              <w:adjustRightInd/>
              <w:rPr>
                <w:rFonts w:ascii="Arial" w:hAnsi="Arial" w:cs="Arial"/>
                <w:sz w:val="18"/>
                <w:szCs w:val="18"/>
                <w:lang w:val="en-GB"/>
              </w:rPr>
            </w:pPr>
          </w:p>
          <w:p w14:paraId="55C9549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27BEA72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58205B6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6C5ED0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FACE, national hunting federations, national wildlife agencies.</w:t>
            </w:r>
          </w:p>
        </w:tc>
        <w:tc>
          <w:tcPr>
            <w:tcW w:w="2378" w:type="dxa"/>
          </w:tcPr>
          <w:p w14:paraId="0C6B584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literature on subsistence hunting, illegal killing.</w:t>
            </w:r>
          </w:p>
        </w:tc>
      </w:tr>
      <w:tr w:rsidR="00C96521" w:rsidRPr="006437E1" w14:paraId="5F72ADF8" w14:textId="77777777" w:rsidTr="00C96521">
        <w:tc>
          <w:tcPr>
            <w:tcW w:w="2291" w:type="dxa"/>
          </w:tcPr>
          <w:p w14:paraId="68A33512" w14:textId="0955BD69"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7.10 Understanding of the role of disease/parasites in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mortality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5837D33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7.10.1</w:t>
            </w:r>
          </w:p>
          <w:p w14:paraId="70AF09D2" w14:textId="740ADFE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Undertake research on the effects of disease (in particular </w:t>
            </w:r>
            <w:r w:rsidRPr="006437E1">
              <w:rPr>
                <w:rFonts w:ascii="Arial" w:hAnsi="Arial" w:cs="Arial"/>
                <w:i/>
                <w:sz w:val="18"/>
                <w:szCs w:val="18"/>
                <w:lang w:val="en-GB"/>
              </w:rPr>
              <w:t>Trichomonas gallinae</w:t>
            </w:r>
            <w:r w:rsidRPr="006437E1">
              <w:rPr>
                <w:rFonts w:ascii="Arial" w:hAnsi="Arial" w:cs="Arial"/>
                <w:sz w:val="18"/>
                <w:szCs w:val="18"/>
                <w:lang w:val="en-GB"/>
              </w:rPr>
              <w:t xml:space="preserve">) and parasites on the mortality and fitness of </w:t>
            </w:r>
            <w:r w:rsidR="005028F9" w:rsidRPr="006437E1">
              <w:rPr>
                <w:rFonts w:ascii="Arial" w:hAnsi="Arial" w:cs="Arial"/>
                <w:sz w:val="18"/>
                <w:szCs w:val="18"/>
                <w:lang w:val="en-GB"/>
              </w:rPr>
              <w:t>Turtle Doves</w:t>
            </w:r>
            <w:r w:rsidRPr="006437E1">
              <w:rPr>
                <w:rFonts w:ascii="Arial" w:hAnsi="Arial" w:cs="Arial"/>
                <w:sz w:val="18"/>
                <w:szCs w:val="18"/>
                <w:lang w:val="en-GB"/>
              </w:rPr>
              <w:t>, and whether or not there is a population-level effect.</w:t>
            </w:r>
          </w:p>
          <w:p w14:paraId="0618AE82" w14:textId="77777777" w:rsidR="00C96521" w:rsidRPr="006437E1" w:rsidRDefault="00C96521" w:rsidP="00C96521">
            <w:pPr>
              <w:widowControl/>
              <w:autoSpaceDE/>
              <w:autoSpaceDN/>
              <w:adjustRightInd/>
              <w:rPr>
                <w:rFonts w:ascii="Arial" w:hAnsi="Arial" w:cs="Arial"/>
                <w:sz w:val="18"/>
                <w:szCs w:val="18"/>
                <w:lang w:val="en-GB"/>
              </w:rPr>
            </w:pPr>
          </w:p>
          <w:p w14:paraId="7BEB766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132980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3A35208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232E82B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hunting federations, national wildlife agencies.</w:t>
            </w:r>
          </w:p>
        </w:tc>
        <w:tc>
          <w:tcPr>
            <w:tcW w:w="2378" w:type="dxa"/>
          </w:tcPr>
          <w:p w14:paraId="4A59508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Rapid sampling by hunters; existing studies on disease and parasitology.</w:t>
            </w:r>
          </w:p>
        </w:tc>
      </w:tr>
      <w:tr w:rsidR="00C96521" w:rsidRPr="006437E1" w14:paraId="6EC247E2" w14:textId="77777777" w:rsidTr="00C96521">
        <w:tc>
          <w:tcPr>
            <w:tcW w:w="2291" w:type="dxa"/>
            <w:vMerge w:val="restart"/>
          </w:tcPr>
          <w:p w14:paraId="4D88F103" w14:textId="2D688D78"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7.11 Understanding of the role of poisoning in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mortality or productivity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1992EBD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7.11.1</w:t>
            </w:r>
          </w:p>
          <w:p w14:paraId="346E523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Research the effects of pesticide/herbicide ingestion on mortality, fertility, and immune response.</w:t>
            </w:r>
          </w:p>
          <w:p w14:paraId="07553A9D" w14:textId="77777777" w:rsidR="00C96521" w:rsidRPr="006437E1" w:rsidRDefault="00C96521" w:rsidP="00C96521">
            <w:pPr>
              <w:widowControl/>
              <w:autoSpaceDE/>
              <w:autoSpaceDN/>
              <w:adjustRightInd/>
              <w:rPr>
                <w:rFonts w:ascii="Arial" w:hAnsi="Arial" w:cs="Arial"/>
                <w:sz w:val="18"/>
                <w:szCs w:val="18"/>
                <w:lang w:val="en-GB"/>
              </w:rPr>
            </w:pPr>
          </w:p>
          <w:p w14:paraId="6BB64DB5" w14:textId="77777777" w:rsidR="00C96521" w:rsidRPr="006437E1" w:rsidRDefault="00C96521" w:rsidP="00C96521">
            <w:pPr>
              <w:widowControl/>
              <w:autoSpaceDE/>
              <w:autoSpaceDN/>
              <w:adjustRightInd/>
              <w:rPr>
                <w:rFonts w:ascii="Arial" w:hAnsi="Arial" w:cs="Arial"/>
                <w:sz w:val="18"/>
                <w:szCs w:val="18"/>
                <w:lang w:val="en-GB"/>
              </w:rPr>
            </w:pPr>
          </w:p>
          <w:p w14:paraId="4BD00D31" w14:textId="77777777" w:rsidR="00C96521" w:rsidRPr="006437E1" w:rsidRDefault="00C96521" w:rsidP="00C96521">
            <w:pPr>
              <w:widowControl/>
              <w:autoSpaceDE/>
              <w:autoSpaceDN/>
              <w:adjustRightInd/>
              <w:rPr>
                <w:rFonts w:ascii="Arial" w:hAnsi="Arial" w:cs="Arial"/>
                <w:sz w:val="18"/>
                <w:szCs w:val="18"/>
                <w:lang w:val="en-GB"/>
              </w:rPr>
            </w:pPr>
          </w:p>
          <w:p w14:paraId="0796F522" w14:textId="77777777" w:rsidR="00C96521" w:rsidRPr="006437E1" w:rsidRDefault="00C96521" w:rsidP="00C96521">
            <w:pPr>
              <w:widowControl/>
              <w:autoSpaceDE/>
              <w:autoSpaceDN/>
              <w:adjustRightInd/>
              <w:rPr>
                <w:rFonts w:ascii="Arial" w:hAnsi="Arial" w:cs="Arial"/>
                <w:sz w:val="18"/>
                <w:szCs w:val="18"/>
                <w:lang w:val="en-GB"/>
              </w:rPr>
            </w:pPr>
          </w:p>
          <w:p w14:paraId="4546D52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496BC45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4657CD3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3167A24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wildlife agencies.</w:t>
            </w:r>
          </w:p>
        </w:tc>
        <w:tc>
          <w:tcPr>
            <w:tcW w:w="2378" w:type="dxa"/>
          </w:tcPr>
          <w:p w14:paraId="6FC835B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Rapid sampling by hunters; existing studies on the effects of poisons, including lead; CMS Action Plan on Poisoning; ENEC (European Network against Environmental Crime)</w:t>
            </w:r>
          </w:p>
        </w:tc>
      </w:tr>
      <w:tr w:rsidR="00C96521" w:rsidRPr="006437E1" w14:paraId="39DADD87" w14:textId="77777777" w:rsidTr="00C96521">
        <w:tc>
          <w:tcPr>
            <w:tcW w:w="2291" w:type="dxa"/>
            <w:vMerge/>
          </w:tcPr>
          <w:p w14:paraId="2E4C9A2B"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4BC3413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7.11.2</w:t>
            </w:r>
          </w:p>
          <w:p w14:paraId="1CA9631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Survey the use of pesticides and herbicides in key wintering and stop-over locations.</w:t>
            </w:r>
          </w:p>
          <w:p w14:paraId="294A9B0F" w14:textId="77777777" w:rsidR="00C96521" w:rsidRPr="006437E1" w:rsidRDefault="00C96521" w:rsidP="00C96521">
            <w:pPr>
              <w:widowControl/>
              <w:autoSpaceDE/>
              <w:autoSpaceDN/>
              <w:adjustRightInd/>
              <w:rPr>
                <w:rFonts w:ascii="Arial" w:hAnsi="Arial" w:cs="Arial"/>
                <w:sz w:val="18"/>
                <w:szCs w:val="18"/>
                <w:lang w:val="en-GB"/>
              </w:rPr>
            </w:pPr>
          </w:p>
          <w:p w14:paraId="2E2B490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mainly North and West Africa, and in particular quelea and locust control in the Sahel; key European stop-over areas.</w:t>
            </w:r>
          </w:p>
        </w:tc>
        <w:tc>
          <w:tcPr>
            <w:tcW w:w="1252" w:type="dxa"/>
          </w:tcPr>
          <w:p w14:paraId="4D9E067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426B949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12" w:type="dxa"/>
          </w:tcPr>
          <w:p w14:paraId="342F707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wildlife agencies.</w:t>
            </w:r>
          </w:p>
        </w:tc>
        <w:tc>
          <w:tcPr>
            <w:tcW w:w="2378" w:type="dxa"/>
          </w:tcPr>
          <w:p w14:paraId="1AFB683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CMS Guidelines on Poisoning; national databases; national and local government.</w:t>
            </w:r>
          </w:p>
        </w:tc>
      </w:tr>
      <w:tr w:rsidR="00C96521" w:rsidRPr="006437E1" w14:paraId="6997FCF7" w14:textId="77777777" w:rsidTr="00C96521">
        <w:tc>
          <w:tcPr>
            <w:tcW w:w="2291" w:type="dxa"/>
          </w:tcPr>
          <w:p w14:paraId="1C715711" w14:textId="2F1B5D4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7.12 Understanding of the role of collisions in </w:t>
            </w:r>
            <w:r w:rsidR="005028F9" w:rsidRPr="006437E1">
              <w:rPr>
                <w:rFonts w:ascii="Arial" w:hAnsi="Arial" w:cs="Arial"/>
                <w:sz w:val="18"/>
                <w:szCs w:val="18"/>
                <w:lang w:val="en-GB"/>
              </w:rPr>
              <w:t>Turtle Dove</w:t>
            </w:r>
            <w:r w:rsidRPr="006437E1">
              <w:rPr>
                <w:rFonts w:ascii="Arial" w:hAnsi="Arial" w:cs="Arial"/>
                <w:sz w:val="18"/>
                <w:szCs w:val="18"/>
                <w:lang w:val="en-GB"/>
              </w:rPr>
              <w:t xml:space="preserve"> mortality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4325E4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7.12.1</w:t>
            </w:r>
          </w:p>
          <w:p w14:paraId="1FBD7945" w14:textId="029869D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Carry out a literature search to determine if there is any evidence that collisions with wind and electrical infrastructure could have a significant impact on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numbers.</w:t>
            </w:r>
          </w:p>
          <w:p w14:paraId="42E21E90" w14:textId="77777777" w:rsidR="00C96521" w:rsidRPr="006437E1" w:rsidRDefault="00C96521" w:rsidP="00C96521">
            <w:pPr>
              <w:widowControl/>
              <w:autoSpaceDE/>
              <w:autoSpaceDN/>
              <w:adjustRightInd/>
              <w:rPr>
                <w:rFonts w:ascii="Arial" w:hAnsi="Arial" w:cs="Arial"/>
                <w:sz w:val="18"/>
                <w:szCs w:val="18"/>
                <w:lang w:val="en-GB"/>
              </w:rPr>
            </w:pPr>
          </w:p>
          <w:p w14:paraId="77BB53A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68840EB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238" w:type="dxa"/>
          </w:tcPr>
          <w:p w14:paraId="2D3685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12" w:type="dxa"/>
          </w:tcPr>
          <w:p w14:paraId="1FA606D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wildlife agencies.</w:t>
            </w:r>
          </w:p>
        </w:tc>
        <w:tc>
          <w:tcPr>
            <w:tcW w:w="2378" w:type="dxa"/>
          </w:tcPr>
          <w:p w14:paraId="3F6039D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literature and databases on collisions.</w:t>
            </w:r>
          </w:p>
        </w:tc>
      </w:tr>
      <w:tr w:rsidR="00C96521" w:rsidRPr="006437E1" w14:paraId="43094799" w14:textId="77777777" w:rsidTr="00C96521">
        <w:tc>
          <w:tcPr>
            <w:tcW w:w="2291" w:type="dxa"/>
          </w:tcPr>
          <w:p w14:paraId="06D08659" w14:textId="0FC294A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lastRenderedPageBreak/>
              <w:t xml:space="preserve">7.13 Understanding of the role of predation in </w:t>
            </w:r>
            <w:r w:rsidR="005028F9" w:rsidRPr="006437E1">
              <w:rPr>
                <w:rFonts w:ascii="Arial" w:hAnsi="Arial" w:cs="Arial"/>
                <w:sz w:val="18"/>
                <w:szCs w:val="18"/>
                <w:lang w:val="en-GB"/>
              </w:rPr>
              <w:t>Turtle Dove</w:t>
            </w:r>
            <w:r w:rsidRPr="006437E1">
              <w:rPr>
                <w:rFonts w:ascii="Arial" w:hAnsi="Arial" w:cs="Arial"/>
                <w:sz w:val="18"/>
                <w:szCs w:val="18"/>
                <w:lang w:val="en-GB"/>
              </w:rPr>
              <w:t xml:space="preserve"> mortality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08BEA60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7.13.1</w:t>
            </w:r>
          </w:p>
          <w:p w14:paraId="14F5108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Research the effects of predation (eg snakes, invasive raccoons, cats, corvids) on turtle-dove mortality.</w:t>
            </w:r>
          </w:p>
          <w:p w14:paraId="1887A951" w14:textId="77777777" w:rsidR="00C96521" w:rsidRPr="006437E1" w:rsidRDefault="00C96521" w:rsidP="00C96521">
            <w:pPr>
              <w:widowControl/>
              <w:autoSpaceDE/>
              <w:autoSpaceDN/>
              <w:adjustRightInd/>
              <w:rPr>
                <w:rFonts w:ascii="Arial" w:hAnsi="Arial" w:cs="Arial"/>
                <w:sz w:val="18"/>
                <w:szCs w:val="18"/>
                <w:lang w:val="en-GB"/>
              </w:rPr>
            </w:pPr>
          </w:p>
          <w:p w14:paraId="27774A9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2675453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238" w:type="dxa"/>
          </w:tcPr>
          <w:p w14:paraId="7BEE32D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12" w:type="dxa"/>
          </w:tcPr>
          <w:p w14:paraId="7C2046D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wildlife agencies.</w:t>
            </w:r>
          </w:p>
        </w:tc>
        <w:tc>
          <w:tcPr>
            <w:tcW w:w="2378" w:type="dxa"/>
          </w:tcPr>
          <w:p w14:paraId="7D4B0B9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literature on predation.</w:t>
            </w:r>
          </w:p>
        </w:tc>
      </w:tr>
      <w:tr w:rsidR="00C96521" w:rsidRPr="006437E1" w14:paraId="555C6432" w14:textId="77777777" w:rsidTr="00C96521">
        <w:tc>
          <w:tcPr>
            <w:tcW w:w="2291" w:type="dxa"/>
          </w:tcPr>
          <w:p w14:paraId="560C9006" w14:textId="512B1FA8"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7.14 Understanding of the role of competition in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productivity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3AFE0F0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7.14.1</w:t>
            </w:r>
          </w:p>
          <w:p w14:paraId="3F94032B" w14:textId="49717C5E"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Conduct detailed analysis of evidence of competition with </w:t>
            </w:r>
            <w:r w:rsidR="005028F9" w:rsidRPr="006437E1">
              <w:rPr>
                <w:rFonts w:ascii="Arial" w:hAnsi="Arial" w:cs="Arial"/>
                <w:sz w:val="18"/>
                <w:szCs w:val="18"/>
                <w:lang w:val="en-GB"/>
              </w:rPr>
              <w:t>C</w:t>
            </w:r>
            <w:r w:rsidRPr="006437E1">
              <w:rPr>
                <w:rFonts w:ascii="Arial" w:hAnsi="Arial" w:cs="Arial"/>
                <w:sz w:val="18"/>
                <w:szCs w:val="18"/>
                <w:lang w:val="en-GB"/>
              </w:rPr>
              <w:t xml:space="preserve">ollared </w:t>
            </w:r>
            <w:r w:rsidR="005028F9" w:rsidRPr="006437E1">
              <w:rPr>
                <w:rFonts w:ascii="Arial" w:hAnsi="Arial" w:cs="Arial"/>
                <w:sz w:val="18"/>
                <w:szCs w:val="18"/>
                <w:lang w:val="en-GB"/>
              </w:rPr>
              <w:t>D</w:t>
            </w:r>
            <w:r w:rsidRPr="006437E1">
              <w:rPr>
                <w:rFonts w:ascii="Arial" w:hAnsi="Arial" w:cs="Arial"/>
                <w:sz w:val="18"/>
                <w:szCs w:val="18"/>
                <w:lang w:val="en-GB"/>
              </w:rPr>
              <w:t>ove and other species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w:t>
            </w:r>
            <w:r w:rsidR="005028F9" w:rsidRPr="006437E1">
              <w:rPr>
                <w:rFonts w:ascii="Arial" w:hAnsi="Arial" w:cs="Arial"/>
                <w:sz w:val="18"/>
                <w:szCs w:val="18"/>
                <w:lang w:val="en-GB"/>
              </w:rPr>
              <w:t>W</w:t>
            </w:r>
            <w:r w:rsidRPr="006437E1">
              <w:rPr>
                <w:rFonts w:ascii="Arial" w:hAnsi="Arial" w:cs="Arial"/>
                <w:sz w:val="18"/>
                <w:szCs w:val="18"/>
                <w:lang w:val="en-GB"/>
              </w:rPr>
              <w:t xml:space="preserve">ood </w:t>
            </w:r>
            <w:r w:rsidR="005028F9" w:rsidRPr="006437E1">
              <w:rPr>
                <w:rFonts w:ascii="Arial" w:hAnsi="Arial" w:cs="Arial"/>
                <w:sz w:val="18"/>
                <w:szCs w:val="18"/>
                <w:lang w:val="en-GB"/>
              </w:rPr>
              <w:t>P</w:t>
            </w:r>
            <w:r w:rsidRPr="006437E1">
              <w:rPr>
                <w:rFonts w:ascii="Arial" w:hAnsi="Arial" w:cs="Arial"/>
                <w:sz w:val="18"/>
                <w:szCs w:val="18"/>
                <w:lang w:val="en-GB"/>
              </w:rPr>
              <w:t xml:space="preserve">igeon, </w:t>
            </w:r>
            <w:r w:rsidR="005028F9" w:rsidRPr="006437E1">
              <w:rPr>
                <w:rFonts w:ascii="Arial" w:hAnsi="Arial" w:cs="Arial"/>
                <w:sz w:val="18"/>
                <w:szCs w:val="18"/>
                <w:lang w:val="en-GB"/>
              </w:rPr>
              <w:t>L</w:t>
            </w:r>
            <w:r w:rsidRPr="006437E1">
              <w:rPr>
                <w:rFonts w:ascii="Arial" w:hAnsi="Arial" w:cs="Arial"/>
                <w:sz w:val="18"/>
                <w:szCs w:val="18"/>
                <w:lang w:val="en-GB"/>
              </w:rPr>
              <w:t xml:space="preserve">aughing </w:t>
            </w:r>
            <w:r w:rsidR="005028F9" w:rsidRPr="006437E1">
              <w:rPr>
                <w:rFonts w:ascii="Arial" w:hAnsi="Arial" w:cs="Arial"/>
                <w:sz w:val="18"/>
                <w:szCs w:val="18"/>
                <w:lang w:val="en-GB"/>
              </w:rPr>
              <w:t>D</w:t>
            </w:r>
            <w:r w:rsidRPr="006437E1">
              <w:rPr>
                <w:rFonts w:ascii="Arial" w:hAnsi="Arial" w:cs="Arial"/>
                <w:sz w:val="18"/>
                <w:szCs w:val="18"/>
                <w:lang w:val="en-GB"/>
              </w:rPr>
              <w:t>ove).</w:t>
            </w:r>
          </w:p>
          <w:p w14:paraId="2C4A7139" w14:textId="77777777" w:rsidR="00C96521" w:rsidRPr="006437E1" w:rsidRDefault="00C96521" w:rsidP="00C96521">
            <w:pPr>
              <w:widowControl/>
              <w:autoSpaceDE/>
              <w:autoSpaceDN/>
              <w:adjustRightInd/>
              <w:rPr>
                <w:rFonts w:ascii="Arial" w:hAnsi="Arial" w:cs="Arial"/>
                <w:sz w:val="18"/>
                <w:szCs w:val="18"/>
                <w:lang w:val="en-GB"/>
              </w:rPr>
            </w:pPr>
          </w:p>
          <w:p w14:paraId="3EE6611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272675F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238" w:type="dxa"/>
          </w:tcPr>
          <w:p w14:paraId="09890FD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12" w:type="dxa"/>
          </w:tcPr>
          <w:p w14:paraId="6A31E6B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wildlife agencies.</w:t>
            </w:r>
          </w:p>
        </w:tc>
        <w:tc>
          <w:tcPr>
            <w:tcW w:w="2378" w:type="dxa"/>
          </w:tcPr>
          <w:p w14:paraId="176D40D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literature on competition.</w:t>
            </w:r>
          </w:p>
        </w:tc>
      </w:tr>
    </w:tbl>
    <w:p w14:paraId="547CBCF0" w14:textId="77777777" w:rsidR="00C96521" w:rsidRPr="00C96521" w:rsidRDefault="00C96521" w:rsidP="00C96521">
      <w:pPr>
        <w:widowControl/>
        <w:autoSpaceDE/>
        <w:autoSpaceDN/>
        <w:adjustRightInd/>
        <w:spacing w:before="120" w:line="276" w:lineRule="auto"/>
        <w:rPr>
          <w:rFonts w:eastAsia="MS Mincho" w:cs="Arial"/>
          <w:szCs w:val="18"/>
          <w:lang w:val="en-GB" w:eastAsia="ja-JP"/>
        </w:rPr>
      </w:pPr>
    </w:p>
    <w:p w14:paraId="506916CF" w14:textId="77777777" w:rsidR="00C96521" w:rsidRPr="00C96521" w:rsidRDefault="00C96521" w:rsidP="00C96521">
      <w:pPr>
        <w:widowControl/>
        <w:autoSpaceDE/>
        <w:autoSpaceDN/>
        <w:adjustRightInd/>
        <w:spacing w:line="276" w:lineRule="auto"/>
        <w:rPr>
          <w:rFonts w:eastAsia="MS Gothic"/>
          <w:b/>
          <w:bCs/>
          <w:color w:val="365F91"/>
          <w:sz w:val="32"/>
          <w:szCs w:val="28"/>
          <w:lang w:val="en-GB" w:eastAsia="ja-JP"/>
        </w:rPr>
      </w:pPr>
      <w:r w:rsidRPr="00C96521">
        <w:rPr>
          <w:rFonts w:eastAsia="MS Mincho"/>
          <w:sz w:val="20"/>
          <w:szCs w:val="22"/>
          <w:lang w:val="en-GB" w:eastAsia="ja-JP"/>
        </w:rPr>
        <w:br w:type="page"/>
      </w:r>
    </w:p>
    <w:p w14:paraId="6A9CD1F2"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sectPr w:rsidR="00C96521" w:rsidRPr="00C96521" w:rsidSect="00C96521">
          <w:pgSz w:w="16840" w:h="11920" w:orient="landscape"/>
          <w:pgMar w:top="1300" w:right="920" w:bottom="1300" w:left="1276" w:header="730" w:footer="738" w:gutter="0"/>
          <w:cols w:space="720"/>
          <w:docGrid w:linePitch="299"/>
        </w:sectPr>
      </w:pPr>
    </w:p>
    <w:p w14:paraId="1D2F2D73"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16" w:name="_Toc478646901"/>
      <w:r w:rsidRPr="00C96521">
        <w:rPr>
          <w:rFonts w:eastAsia="MS Gothic"/>
          <w:b/>
          <w:bCs/>
          <w:color w:val="365F91"/>
          <w:sz w:val="32"/>
          <w:szCs w:val="28"/>
          <w:lang w:val="en-GB" w:eastAsia="ja-JP"/>
        </w:rPr>
        <w:lastRenderedPageBreak/>
        <w:t>Annex 1 - BIOLOGICAL ASSESSMENT</w:t>
      </w:r>
      <w:bookmarkEnd w:id="16"/>
    </w:p>
    <w:p w14:paraId="35EF43E8"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7" w:name="_Toc478646902"/>
      <w:r w:rsidRPr="00C96521">
        <w:rPr>
          <w:rFonts w:ascii="Cambria" w:eastAsia="MS Gothic" w:hAnsi="Cambria"/>
          <w:b/>
          <w:bCs/>
          <w:color w:val="4F81BD"/>
          <w:sz w:val="26"/>
          <w:szCs w:val="26"/>
          <w:lang w:val="en-GB" w:eastAsia="ja-JP"/>
        </w:rPr>
        <w:t>Distribution throughout the annual cycle</w:t>
      </w:r>
      <w:bookmarkEnd w:id="17"/>
      <w:r w:rsidRPr="00C96521">
        <w:rPr>
          <w:rFonts w:ascii="Cambria" w:eastAsia="MS Gothic" w:hAnsi="Cambria"/>
          <w:b/>
          <w:bCs/>
          <w:color w:val="4F81BD"/>
          <w:sz w:val="26"/>
          <w:szCs w:val="26"/>
          <w:lang w:val="en-GB" w:eastAsia="ja-JP"/>
        </w:rPr>
        <w:t xml:space="preserve"> </w:t>
      </w:r>
    </w:p>
    <w:p w14:paraId="370CFEC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974741" w14:textId="2C83DEC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Capture-recapture data suggest that there are three main migratory flyways for </w:t>
      </w:r>
      <w:r w:rsidR="005028F9">
        <w:rPr>
          <w:rFonts w:eastAsia="MS Mincho"/>
          <w:sz w:val="20"/>
          <w:szCs w:val="22"/>
          <w:lang w:val="en-GB" w:eastAsia="ja-JP"/>
        </w:rPr>
        <w:t xml:space="preserve">the </w:t>
      </w:r>
      <w:r w:rsidR="005028F9" w:rsidRPr="005D4262">
        <w:rPr>
          <w:rFonts w:cs="Arial"/>
          <w:szCs w:val="18"/>
          <w:lang w:val="en-GB"/>
        </w:rPr>
        <w:t>Turtle</w:t>
      </w:r>
      <w:r w:rsidR="005028F9">
        <w:rPr>
          <w:rFonts w:cs="Arial"/>
          <w:szCs w:val="18"/>
          <w:lang w:val="en-GB"/>
        </w:rPr>
        <w:t xml:space="preserve"> D</w:t>
      </w:r>
      <w:r w:rsidR="005028F9" w:rsidRPr="005D4262">
        <w:rPr>
          <w:rFonts w:cs="Arial"/>
          <w:szCs w:val="18"/>
          <w:lang w:val="en-GB"/>
        </w:rPr>
        <w:t>ove</w:t>
      </w:r>
      <w:r w:rsidRPr="00C96521">
        <w:rPr>
          <w:rFonts w:eastAsia="MS Mincho"/>
          <w:sz w:val="20"/>
          <w:szCs w:val="22"/>
          <w:lang w:val="en-GB" w:eastAsia="ja-JP"/>
        </w:rPr>
        <w:t xml:space="preserve">: western, central and eastern European (Marx </w:t>
      </w:r>
      <w:r w:rsidRPr="00C96521">
        <w:rPr>
          <w:rFonts w:eastAsia="MS Mincho"/>
          <w:i/>
          <w:sz w:val="20"/>
          <w:szCs w:val="22"/>
          <w:lang w:val="en-GB" w:eastAsia="ja-JP"/>
        </w:rPr>
        <w:t>et al</w:t>
      </w:r>
      <w:r w:rsidRPr="00C96521">
        <w:rPr>
          <w:rFonts w:eastAsia="MS Mincho"/>
          <w:sz w:val="20"/>
          <w:szCs w:val="22"/>
          <w:lang w:val="en-GB" w:eastAsia="ja-JP"/>
        </w:rPr>
        <w:t xml:space="preserve"> 2016). A very large proportion (62-94</w:t>
      </w:r>
      <w:r w:rsidR="005028F9">
        <w:rPr>
          <w:rFonts w:eastAsia="MS Mincho"/>
          <w:sz w:val="20"/>
          <w:szCs w:val="22"/>
          <w:lang w:val="en-GB" w:eastAsia="ja-JP"/>
        </w:rPr>
        <w:t xml:space="preserve"> per cent</w:t>
      </w:r>
      <w:r w:rsidRPr="00C96521">
        <w:rPr>
          <w:rFonts w:eastAsia="MS Mincho"/>
          <w:sz w:val="20"/>
          <w:szCs w:val="22"/>
          <w:lang w:val="en-GB" w:eastAsia="ja-JP"/>
        </w:rPr>
        <w:t>) of birds breeding in France, Germany and the UK follow the western flyway, while 56</w:t>
      </w:r>
      <w:r w:rsidR="005028F9">
        <w:rPr>
          <w:rFonts w:eastAsia="MS Mincho"/>
          <w:sz w:val="20"/>
          <w:szCs w:val="22"/>
          <w:lang w:val="en-GB" w:eastAsia="ja-JP"/>
        </w:rPr>
        <w:t xml:space="preserve"> per cent</w:t>
      </w:r>
      <w:r w:rsidRPr="00C96521">
        <w:rPr>
          <w:rFonts w:eastAsia="MS Mincho"/>
          <w:sz w:val="20"/>
          <w:szCs w:val="22"/>
          <w:lang w:val="en-GB" w:eastAsia="ja-JP"/>
        </w:rPr>
        <w:t xml:space="preserve"> of birds breeding in the Czech Republic use the central flyway and 55</w:t>
      </w:r>
      <w:r w:rsidR="005028F9">
        <w:rPr>
          <w:rFonts w:eastAsia="MS Mincho"/>
          <w:sz w:val="20"/>
          <w:szCs w:val="22"/>
          <w:lang w:val="en-GB" w:eastAsia="ja-JP"/>
        </w:rPr>
        <w:t xml:space="preserve"> per cent</w:t>
      </w:r>
      <w:r w:rsidRPr="00C96521">
        <w:rPr>
          <w:rFonts w:eastAsia="MS Mincho"/>
          <w:sz w:val="20"/>
          <w:szCs w:val="22"/>
          <w:lang w:val="en-GB" w:eastAsia="ja-JP"/>
        </w:rPr>
        <w:t xml:space="preserve"> birds breeding in Hungary use the eastern flyway, with overlap between the central and eastern flyways. See Figure 4 for the distribution of these flyways.</w:t>
      </w:r>
    </w:p>
    <w:p w14:paraId="2E95411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EEFA75D" w14:textId="77777777" w:rsidR="00C96521" w:rsidRPr="00C96521" w:rsidRDefault="00C96521" w:rsidP="00C96521">
      <w:pPr>
        <w:widowControl/>
        <w:autoSpaceDE/>
        <w:autoSpaceDN/>
        <w:adjustRightInd/>
        <w:spacing w:line="276" w:lineRule="auto"/>
        <w:jc w:val="center"/>
        <w:rPr>
          <w:rFonts w:eastAsia="MS Mincho"/>
          <w:sz w:val="20"/>
          <w:szCs w:val="22"/>
          <w:lang w:val="en-GB" w:eastAsia="ja-JP"/>
        </w:rPr>
      </w:pPr>
      <w:r w:rsidRPr="00C96521">
        <w:rPr>
          <w:rFonts w:eastAsia="MS Mincho"/>
          <w:noProof/>
          <w:sz w:val="20"/>
          <w:szCs w:val="22"/>
        </w:rPr>
        <w:drawing>
          <wp:inline distT="0" distB="0" distL="0" distR="0" wp14:anchorId="4F9DA35D" wp14:editId="6D9107AA">
            <wp:extent cx="5010150" cy="3009447"/>
            <wp:effectExtent l="1905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010150" cy="3009447"/>
                    </a:xfrm>
                    <a:prstGeom prst="rect">
                      <a:avLst/>
                    </a:prstGeom>
                    <a:noFill/>
                    <a:ln w="9525">
                      <a:noFill/>
                      <a:miter lim="800000"/>
                      <a:headEnd/>
                      <a:tailEnd/>
                    </a:ln>
                  </pic:spPr>
                </pic:pic>
              </a:graphicData>
            </a:graphic>
          </wp:inline>
        </w:drawing>
      </w:r>
    </w:p>
    <w:p w14:paraId="3AF46C9C" w14:textId="77777777" w:rsidR="00C96521" w:rsidRPr="00C96521" w:rsidRDefault="00C96521" w:rsidP="00C96521">
      <w:pPr>
        <w:widowControl/>
        <w:autoSpaceDE/>
        <w:autoSpaceDN/>
        <w:adjustRightInd/>
        <w:spacing w:line="276" w:lineRule="auto"/>
        <w:jc w:val="center"/>
        <w:rPr>
          <w:rFonts w:eastAsia="MS Mincho"/>
          <w:sz w:val="20"/>
          <w:szCs w:val="22"/>
          <w:lang w:val="en-GB" w:eastAsia="ja-JP"/>
        </w:rPr>
      </w:pPr>
    </w:p>
    <w:p w14:paraId="4DF75DA2"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 xml:space="preserve">Figure 4. Patterns of use of turtle-doves from five different countries (Czech Republic, France, Germany, Hungary and the UK) (figure from Marx </w:t>
      </w:r>
      <w:r w:rsidRPr="00C96521">
        <w:rPr>
          <w:rFonts w:eastAsia="MS Mincho"/>
          <w:sz w:val="20"/>
          <w:szCs w:val="22"/>
          <w:lang w:val="en-GB" w:eastAsia="ja-JP"/>
        </w:rPr>
        <w:t>et al</w:t>
      </w:r>
      <w:r w:rsidRPr="00C96521">
        <w:rPr>
          <w:rFonts w:eastAsia="MS Mincho"/>
          <w:i/>
          <w:sz w:val="20"/>
          <w:szCs w:val="22"/>
          <w:lang w:val="en-GB" w:eastAsia="ja-JP"/>
        </w:rPr>
        <w:t xml:space="preserve"> 2016). Line density kernels for 70% (red), 80% (yellow) and 90% (blue) of birds.</w:t>
      </w:r>
    </w:p>
    <w:p w14:paraId="25CFFC3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70AFD08" w14:textId="1E16E975"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The post-breeding migration towards Africa starts by the end of July and reaches its most intensive period at the end of August/beginning of September, the last birds being observed at the beginning of October (Snow and Perrins 1998). The western migratory route is across the Iberian Peninsula and Morocco, while other routes pass through Italy, Malta, Tunisia, and through Greece, Egypt, and the Middle</w:t>
      </w:r>
      <w:r w:rsidR="005028F9">
        <w:rPr>
          <w:rFonts w:eastAsia="MS Mincho" w:cs="Arial"/>
          <w:sz w:val="20"/>
          <w:szCs w:val="22"/>
          <w:lang w:val="en-GB" w:eastAsia="ja-JP"/>
        </w:rPr>
        <w:t xml:space="preserve"> </w:t>
      </w:r>
      <w:r w:rsidRPr="00C96521">
        <w:rPr>
          <w:rFonts w:eastAsia="MS Mincho" w:cs="Arial"/>
          <w:sz w:val="20"/>
          <w:szCs w:val="22"/>
          <w:lang w:val="en-GB" w:eastAsia="ja-JP"/>
        </w:rPr>
        <w:t>East (Cramp 1985, Rocha and Hidalgo 2002a). In the east, some birds are observed migrating west of the Caucasus during daylight hours, possibly suggesting an important migration route (Batumi Raptor Count 2015). The wintering area is entirely in Africa, and stretches from the 10</w:t>
      </w:r>
      <w:r w:rsidRPr="006437E1">
        <w:rPr>
          <w:rFonts w:eastAsia="MS Mincho" w:cs="Arial"/>
          <w:sz w:val="20"/>
          <w:szCs w:val="22"/>
          <w:vertAlign w:val="superscript"/>
          <w:lang w:val="en-GB" w:eastAsia="ja-JP"/>
        </w:rPr>
        <w:t>th</w:t>
      </w:r>
      <w:r w:rsidR="009E54BD">
        <w:rPr>
          <w:rFonts w:eastAsia="MS Mincho" w:cs="Arial"/>
          <w:sz w:val="20"/>
          <w:szCs w:val="22"/>
          <w:lang w:val="en-GB" w:eastAsia="ja-JP"/>
        </w:rPr>
        <w:t xml:space="preserve"> </w:t>
      </w:r>
      <w:r w:rsidRPr="00C96521">
        <w:rPr>
          <w:rFonts w:eastAsia="MS Mincho" w:cs="Arial"/>
          <w:sz w:val="20"/>
          <w:szCs w:val="22"/>
          <w:lang w:val="en-GB" w:eastAsia="ja-JP"/>
        </w:rPr>
        <w:t>parallel to the 20</w:t>
      </w:r>
      <w:r w:rsidRPr="006437E1">
        <w:rPr>
          <w:rFonts w:eastAsia="MS Mincho" w:cs="Arial"/>
          <w:sz w:val="20"/>
          <w:szCs w:val="22"/>
          <w:vertAlign w:val="superscript"/>
          <w:lang w:val="en-GB" w:eastAsia="ja-JP"/>
        </w:rPr>
        <w:t>th</w:t>
      </w:r>
      <w:r w:rsidR="009E54BD">
        <w:rPr>
          <w:rFonts w:eastAsia="MS Mincho" w:cs="Arial"/>
          <w:sz w:val="20"/>
          <w:szCs w:val="22"/>
          <w:lang w:val="en-GB" w:eastAsia="ja-JP"/>
        </w:rPr>
        <w:t xml:space="preserve"> </w:t>
      </w:r>
      <w:r w:rsidRPr="00C96521">
        <w:rPr>
          <w:rFonts w:eastAsia="MS Mincho" w:cs="Arial"/>
          <w:sz w:val="20"/>
          <w:szCs w:val="22"/>
          <w:lang w:val="en-GB" w:eastAsia="ja-JP"/>
        </w:rPr>
        <w:t xml:space="preserve">parallel North and corresponds to the Sahel-Sudan zone. </w:t>
      </w:r>
    </w:p>
    <w:p w14:paraId="3B99E0D7"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9537625" w14:textId="641A419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The western European populations migrate via the southwest of France and the Iberian Peninsula, where they are joined by birds breeding in Portugal and Spain, cross Morocco and Mauritania, and finally winter in the savannas of the western half of tropical Africa. Recent tagging and tracking studies have confirmed routes for western birds and shown that many use the south of Spain to make stopovers before arriving in North Africa and crossing the Sahara (SEO/BirdLife 2016b, Lormée </w:t>
      </w:r>
      <w:r w:rsidRPr="00C96521">
        <w:rPr>
          <w:rFonts w:eastAsia="MS Mincho" w:cs="Arial"/>
          <w:i/>
          <w:sz w:val="20"/>
          <w:szCs w:val="22"/>
          <w:lang w:val="en-GB" w:eastAsia="ja-JP"/>
        </w:rPr>
        <w:t>unpublished</w:t>
      </w:r>
      <w:r w:rsidRPr="00C96521">
        <w:rPr>
          <w:rFonts w:eastAsia="MS Mincho" w:cs="Arial"/>
          <w:sz w:val="20"/>
          <w:szCs w:val="22"/>
          <w:lang w:val="en-GB" w:eastAsia="ja-JP"/>
        </w:rPr>
        <w:t xml:space="preserve">, Lormée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 RSPB 2016). Senegal, </w:t>
      </w:r>
      <w:r w:rsidR="009E54BD">
        <w:rPr>
          <w:rFonts w:eastAsia="MS Mincho" w:cs="Arial"/>
          <w:sz w:val="20"/>
          <w:szCs w:val="22"/>
          <w:lang w:val="en-GB" w:eastAsia="ja-JP"/>
        </w:rPr>
        <w:t>t</w:t>
      </w:r>
      <w:r w:rsidR="009E54BD" w:rsidRPr="00C96521">
        <w:rPr>
          <w:rFonts w:eastAsia="MS Mincho" w:cs="Arial"/>
          <w:sz w:val="20"/>
          <w:szCs w:val="22"/>
          <w:lang w:val="en-GB" w:eastAsia="ja-JP"/>
        </w:rPr>
        <w:t xml:space="preserve">he </w:t>
      </w:r>
      <w:r w:rsidRPr="00C96521">
        <w:rPr>
          <w:rFonts w:eastAsia="MS Mincho" w:cs="Arial"/>
          <w:sz w:val="20"/>
          <w:szCs w:val="22"/>
          <w:lang w:val="en-GB" w:eastAsia="ja-JP"/>
        </w:rPr>
        <w:t xml:space="preserve">Gambia, Guinea Bissau, the north of Guinea </w:t>
      </w:r>
      <w:r w:rsidR="009E54BD">
        <w:rPr>
          <w:rFonts w:eastAsia="MS Mincho" w:cs="Arial"/>
          <w:sz w:val="20"/>
          <w:szCs w:val="22"/>
          <w:lang w:val="en-GB" w:eastAsia="ja-JP"/>
        </w:rPr>
        <w:t>(</w:t>
      </w:r>
      <w:r w:rsidR="009E54BD" w:rsidRPr="00C96521">
        <w:rPr>
          <w:rFonts w:eastAsia="MS Mincho" w:cs="Arial"/>
          <w:sz w:val="20"/>
          <w:szCs w:val="22"/>
          <w:lang w:val="en-GB" w:eastAsia="ja-JP"/>
        </w:rPr>
        <w:t>Conakry</w:t>
      </w:r>
      <w:r w:rsidR="009E54BD">
        <w:rPr>
          <w:rFonts w:eastAsia="MS Mincho" w:cs="Arial"/>
          <w:sz w:val="20"/>
          <w:szCs w:val="22"/>
          <w:lang w:val="en-GB" w:eastAsia="ja-JP"/>
        </w:rPr>
        <w:t>)</w:t>
      </w:r>
      <w:r w:rsidR="009E54BD"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and south-west Mali are considered to be the host countries for the greater part of these populations, but the species has also been recorded in many other African countries (southern Niger, Burkina Faso, northern Côte d’Ivoire, northern Ghana, northern Nigeria and northern Cameroon) (Aebischer 2002, Carvalho and Dias 2001, </w:t>
      </w:r>
      <w:r w:rsidRPr="00C96521">
        <w:rPr>
          <w:rFonts w:eastAsia="MS Mincho" w:cs="Arial"/>
          <w:sz w:val="20"/>
          <w:szCs w:val="22"/>
          <w:lang w:val="en-GB" w:eastAsia="ja-JP"/>
        </w:rPr>
        <w:lastRenderedPageBreak/>
        <w:t xml:space="preserve">2003). An analysis of migration routes of birds fitted with light-level geolocators in France found that the core wintering area covered western Mali, the Inner Niger Delta and the border of Mali and Mauritania while some birds are found in northern Guinea, north-west Burkina Faso and </w:t>
      </w:r>
      <w:r w:rsidR="009E54BD">
        <w:rPr>
          <w:rFonts w:eastAsia="MS Mincho" w:cs="Arial"/>
          <w:sz w:val="20"/>
          <w:szCs w:val="22"/>
          <w:lang w:val="en-GB" w:eastAsia="ja-JP"/>
        </w:rPr>
        <w:t>Cote d’Ivoire</w:t>
      </w:r>
      <w:r w:rsidRPr="00C96521">
        <w:rPr>
          <w:rFonts w:eastAsia="MS Mincho" w:cs="Arial"/>
          <w:sz w:val="20"/>
          <w:szCs w:val="22"/>
          <w:lang w:val="en-GB" w:eastAsia="ja-JP"/>
        </w:rPr>
        <w:t xml:space="preserve">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2013). In 2000, an estimated 22,000 </w:t>
      </w:r>
      <w:r w:rsidR="009E54BD">
        <w:rPr>
          <w:rFonts w:eastAsia="MS Mincho" w:cs="Arial"/>
          <w:sz w:val="20"/>
          <w:szCs w:val="22"/>
          <w:lang w:val="en-GB" w:eastAsia="ja-JP"/>
        </w:rPr>
        <w:t>T</w:t>
      </w:r>
      <w:r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Pr="00C96521">
        <w:rPr>
          <w:rFonts w:eastAsia="MS Mincho" w:cs="Arial"/>
          <w:sz w:val="20"/>
          <w:szCs w:val="22"/>
          <w:lang w:val="en-GB" w:eastAsia="ja-JP"/>
        </w:rPr>
        <w:t xml:space="preserve">oves were recorded at a site in south-east Mauritania, apparently roosting in an acacia-lined wadi adjacent to a lake (Joost Brouwer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In Senegal,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oves </w:t>
      </w:r>
      <w:r w:rsidRPr="00C96521">
        <w:rPr>
          <w:rFonts w:eastAsia="MS Mincho" w:cs="Arial"/>
          <w:sz w:val="20"/>
          <w:szCs w:val="22"/>
          <w:lang w:val="en-GB" w:eastAsia="ja-JP"/>
        </w:rPr>
        <w:t xml:space="preserve">arrive from late July to August-September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The first stops for the species in the Sahel region may be in the pastoral rather than the agricultural (cereal growing) zone (Joost Brouwer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In </w:t>
      </w:r>
      <w:r w:rsidR="009E54BD">
        <w:rPr>
          <w:rFonts w:eastAsia="MS Mincho" w:cs="Arial"/>
          <w:sz w:val="20"/>
          <w:szCs w:val="22"/>
          <w:lang w:val="en-GB" w:eastAsia="ja-JP"/>
        </w:rPr>
        <w:t>t</w:t>
      </w:r>
      <w:r w:rsidRPr="00C96521">
        <w:rPr>
          <w:rFonts w:eastAsia="MS Mincho" w:cs="Arial"/>
          <w:sz w:val="20"/>
          <w:szCs w:val="22"/>
          <w:lang w:val="en-GB" w:eastAsia="ja-JP"/>
        </w:rPr>
        <w:t xml:space="preserve">he Gambia, the species has been recorded in the dry season from September to May (Barlow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1997), while in Niger the species is scarce or absent even in suitable habitats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There are very few records related to Niger on the West African Bird DataBase, and many of these consist of groups of dead birds (Giraudoux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1986, WABDaB 2016). In Cameroon, the species is found in October and November, and again in February and March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Some individuals also winter in Morocco (Jarry 1994), but rarely in Europe. </w:t>
      </w:r>
    </w:p>
    <w:p w14:paraId="31E81B58"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06DD7C3" w14:textId="09F27F0E"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 more eastward migratory band of birds, probably mainly from Central Europe, stretches over Italy, Malta, Cyprus, Tunisia and Libya, and may winter in Sudan, Ethiopia and Chad, possibly reaching as far west as Mali and Burkina Faso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The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Dove</w:t>
      </w:r>
      <w:r w:rsidRPr="00C96521">
        <w:rPr>
          <w:rFonts w:eastAsia="MS Mincho" w:cs="Arial"/>
          <w:sz w:val="20"/>
          <w:szCs w:val="22"/>
          <w:lang w:val="en-GB" w:eastAsia="ja-JP"/>
        </w:rPr>
        <w:t xml:space="preserve">is described as an abundant winter visitor to Sudan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Bulgaria forms an important migratory crossroad with birds from a range of countries, including the Czech Republic, Hungary and Germany (Nankinov 1994, in Dubois 2002). At the Batumi Raptor Count in Georgia, migrating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oves </w:t>
      </w:r>
      <w:r w:rsidRPr="00C96521">
        <w:rPr>
          <w:rFonts w:eastAsia="MS Mincho" w:cs="Arial"/>
          <w:sz w:val="20"/>
          <w:szCs w:val="22"/>
          <w:lang w:val="en-GB" w:eastAsia="ja-JP"/>
        </w:rPr>
        <w:t xml:space="preserve">numbering hundreds of individuals were observed passing through in September and October 2016, possibly suggesting an important migration route in the Caucasus (Batumi Raptor Count 2016, Raffael Ayé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An analysis of ringing recoveries found that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oves </w:t>
      </w:r>
      <w:r w:rsidRPr="00C96521">
        <w:rPr>
          <w:rFonts w:eastAsia="MS Mincho" w:cs="Arial"/>
          <w:sz w:val="20"/>
          <w:szCs w:val="22"/>
          <w:lang w:val="en-GB" w:eastAsia="ja-JP"/>
        </w:rPr>
        <w:t>recovered in Malta had been ringed in a range of European countries. The largest percentage came from Italy (c</w:t>
      </w:r>
      <w:r w:rsidR="009E54BD">
        <w:rPr>
          <w:rFonts w:eastAsia="MS Mincho" w:cs="Arial"/>
          <w:sz w:val="20"/>
          <w:szCs w:val="22"/>
          <w:lang w:val="en-GB" w:eastAsia="ja-JP"/>
        </w:rPr>
        <w:t xml:space="preserve">. </w:t>
      </w:r>
      <w:r w:rsidRPr="00C96521">
        <w:rPr>
          <w:rFonts w:eastAsia="MS Mincho" w:cs="Arial"/>
          <w:sz w:val="20"/>
          <w:szCs w:val="22"/>
          <w:lang w:val="en-GB" w:eastAsia="ja-JP"/>
        </w:rPr>
        <w:t>50</w:t>
      </w:r>
      <w:r w:rsidR="009E54BD">
        <w:rPr>
          <w:rFonts w:eastAsia="MS Mincho" w:cs="Arial"/>
          <w:sz w:val="20"/>
          <w:szCs w:val="22"/>
          <w:lang w:val="en-GB" w:eastAsia="ja-JP"/>
        </w:rPr>
        <w:t xml:space="preserve"> per cent</w:t>
      </w:r>
      <w:r w:rsidRPr="00C96521">
        <w:rPr>
          <w:rFonts w:eastAsia="MS Mincho" w:cs="Arial"/>
          <w:sz w:val="20"/>
          <w:szCs w:val="22"/>
          <w:lang w:val="en-GB" w:eastAsia="ja-JP"/>
        </w:rPr>
        <w:t>), followed by the Czech Republic (c</w:t>
      </w:r>
      <w:r w:rsidR="009E54BD">
        <w:rPr>
          <w:rFonts w:eastAsia="MS Mincho" w:cs="Arial"/>
          <w:sz w:val="20"/>
          <w:szCs w:val="22"/>
          <w:lang w:val="en-GB" w:eastAsia="ja-JP"/>
        </w:rPr>
        <w:t xml:space="preserve">. </w:t>
      </w:r>
      <w:r w:rsidRPr="00C96521">
        <w:rPr>
          <w:rFonts w:eastAsia="MS Mincho" w:cs="Arial"/>
          <w:sz w:val="20"/>
          <w:szCs w:val="22"/>
          <w:lang w:val="en-GB" w:eastAsia="ja-JP"/>
        </w:rPr>
        <w:t>25</w:t>
      </w:r>
      <w:r w:rsidR="009E54BD">
        <w:rPr>
          <w:rFonts w:eastAsia="MS Mincho" w:cs="Arial"/>
          <w:sz w:val="20"/>
          <w:szCs w:val="22"/>
          <w:lang w:val="en-GB" w:eastAsia="ja-JP"/>
        </w:rPr>
        <w:t xml:space="preserve"> per cent</w:t>
      </w:r>
      <w:r w:rsidRPr="00C96521">
        <w:rPr>
          <w:rFonts w:eastAsia="MS Mincho" w:cs="Arial"/>
          <w:sz w:val="20"/>
          <w:szCs w:val="22"/>
          <w:lang w:val="en-GB" w:eastAsia="ja-JP"/>
        </w:rPr>
        <w:t>), Tunisia, Hungary, Germany, Poland, France, Croatia and Austria (Raine 2007).</w:t>
      </w:r>
    </w:p>
    <w:p w14:paraId="00FB10B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ABBCFEF" w14:textId="4A3473E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During pre-breeding migration the first observations of the species in Europe occur in late March and early April (Gargallo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2011), getting fully underway in late April. Towards the north of the range, migration reaches its peak during the first half of May and finishes mid-June. Data from the </w:t>
      </w:r>
      <w:r w:rsidR="009E54BD" w:rsidRPr="00C96521">
        <w:rPr>
          <w:rFonts w:eastAsia="MS Mincho" w:cs="Arial"/>
          <w:sz w:val="20"/>
          <w:szCs w:val="22"/>
          <w:lang w:val="en-GB" w:eastAsia="ja-JP"/>
        </w:rPr>
        <w:t>Iberian Peninsula</w:t>
      </w:r>
      <w:r w:rsidRPr="00C96521">
        <w:rPr>
          <w:rFonts w:eastAsia="MS Mincho" w:cs="Arial"/>
          <w:sz w:val="20"/>
          <w:szCs w:val="22"/>
          <w:lang w:val="en-GB" w:eastAsia="ja-JP"/>
        </w:rPr>
        <w:t xml:space="preserve"> suggest a late arrival to the breeding grounds, based on 10-year trend for Portugal (Feith 2011, 2013) and earlier autumn departure date (Montoya and Meson 1994, Montoya 2009). In Italy, the highest value of relative abundance based on birds ringed during return migration across the Mediterranean is at the beginning of May (Macchio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1999). A fast and significant increase in wing length of birds staging on Italian islands during their northbound migration across the Mediterranean is reported between the middle of April and the end of May, suggesting the passage of birds belonging to different geographical populations (Licheri and Spina 2005). Birds ringed in a range of countries, including Sweden, the Czech Republic, the western and southern Mediterranean, and Tunisia, have been recovered in Italy (Spina and Volponi 2008). The central Mediterranean is crossed by birds heading towards Central and Eastern Europe, as confirmed by direct recoveries and recoveries during the breeding season of birds ringed on Italian islands. In the UK, evidence shows that the median annual spring arrival date has not altered (Newson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 but the median annual autumn departure date has become earlier by eight days, resulting in a shortening of the breeding season (Browne and Aebischer 2003b).</w:t>
      </w:r>
    </w:p>
    <w:p w14:paraId="5224CCCE"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8D1DCFD" w14:textId="31A96446"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Early studies with </w:t>
      </w:r>
      <w:r w:rsidR="009E54BD" w:rsidRPr="00C96521">
        <w:rPr>
          <w:rFonts w:eastAsia="MS Mincho" w:cs="Arial"/>
          <w:sz w:val="20"/>
          <w:szCs w:val="22"/>
          <w:lang w:val="en-GB" w:eastAsia="ja-JP"/>
        </w:rPr>
        <w:t>miniaturi</w:t>
      </w:r>
      <w:r w:rsidR="009E54BD">
        <w:rPr>
          <w:rFonts w:eastAsia="MS Mincho" w:cs="Arial"/>
          <w:sz w:val="20"/>
          <w:szCs w:val="22"/>
          <w:lang w:val="en-GB" w:eastAsia="ja-JP"/>
        </w:rPr>
        <w:t>z</w:t>
      </w:r>
      <w:r w:rsidR="009E54BD" w:rsidRPr="00C96521">
        <w:rPr>
          <w:rFonts w:eastAsia="MS Mincho" w:cs="Arial"/>
          <w:sz w:val="20"/>
          <w:szCs w:val="22"/>
          <w:lang w:val="en-GB" w:eastAsia="ja-JP"/>
        </w:rPr>
        <w:t xml:space="preserve">ed </w:t>
      </w:r>
      <w:r w:rsidRPr="00C96521">
        <w:rPr>
          <w:rFonts w:eastAsia="MS Mincho" w:cs="Arial"/>
          <w:sz w:val="20"/>
          <w:szCs w:val="22"/>
          <w:lang w:val="en-GB" w:eastAsia="ja-JP"/>
        </w:rPr>
        <w:t xml:space="preserve">light-level geolocators attached to birds confirmed that turtle-doves breeding in western Europe winter in West Africa, and may make movements of several hundreds of kilometres during the wintering season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2013). This work also pointed to the possibility that the species undergoes a ‘loop migration’ whereby the post-breeding migration flyway is located further west than the northbound spring migration. Evidence of staging in North Africa for several weeks after crossing the Sahara also indicates that environmental conditions in these staging areas may play a pivotal role in population dynamics, for instance the quality and availability of staging posts in Central Sahara. Tracking data have also highlighted that birds use more limited areas for wintering than previously thought (Lormée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 Recent satellite tracking data from a bird tagged in the UK </w:t>
      </w:r>
      <w:r w:rsidRPr="00C96521">
        <w:rPr>
          <w:rFonts w:eastAsia="MS Mincho" w:cs="Arial"/>
          <w:sz w:val="20"/>
          <w:szCs w:val="22"/>
          <w:lang w:val="en-GB" w:eastAsia="ja-JP"/>
        </w:rPr>
        <w:lastRenderedPageBreak/>
        <w:t>support the proposal that the species may be philopatric to both its breeding and wintering grounds (RSPB 2016).</w:t>
      </w:r>
    </w:p>
    <w:p w14:paraId="5617D42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B332B91" w14:textId="26BB9F94" w:rsidR="00C96521" w:rsidRPr="00C96521" w:rsidRDefault="009E54BD" w:rsidP="00C96521">
      <w:pPr>
        <w:widowControl/>
        <w:autoSpaceDE/>
        <w:autoSpaceDN/>
        <w:adjustRightInd/>
        <w:spacing w:line="276" w:lineRule="auto"/>
        <w:rPr>
          <w:rFonts w:eastAsia="MS Mincho" w:cs="Arial"/>
          <w:sz w:val="20"/>
          <w:szCs w:val="22"/>
          <w:lang w:val="en-GB" w:eastAsia="ja-JP"/>
        </w:rPr>
      </w:pPr>
      <w:r>
        <w:rPr>
          <w:rFonts w:eastAsia="MS Mincho" w:cs="Arial"/>
          <w:sz w:val="20"/>
          <w:szCs w:val="22"/>
          <w:lang w:val="en-GB" w:eastAsia="ja-JP"/>
        </w:rPr>
        <w:t>T</w:t>
      </w:r>
      <w:r w:rsidRPr="00C96521">
        <w:rPr>
          <w:rFonts w:eastAsia="MS Mincho" w:cs="Arial"/>
          <w:sz w:val="20"/>
          <w:szCs w:val="22"/>
          <w:lang w:val="en-GB" w:eastAsia="ja-JP"/>
        </w:rPr>
        <w:t>urtle</w:t>
      </w:r>
      <w:r>
        <w:rPr>
          <w:rFonts w:eastAsia="MS Mincho" w:cs="Arial"/>
          <w:sz w:val="20"/>
          <w:szCs w:val="22"/>
          <w:lang w:val="en-GB" w:eastAsia="ja-JP"/>
        </w:rPr>
        <w:t xml:space="preserve"> D</w:t>
      </w:r>
      <w:r w:rsidRPr="00C96521">
        <w:rPr>
          <w:rFonts w:eastAsia="MS Mincho" w:cs="Arial"/>
          <w:sz w:val="20"/>
          <w:szCs w:val="22"/>
          <w:lang w:val="en-GB" w:eastAsia="ja-JP"/>
        </w:rPr>
        <w:t xml:space="preserve">oves </w:t>
      </w:r>
      <w:r w:rsidR="00C96521" w:rsidRPr="00C96521">
        <w:rPr>
          <w:rFonts w:eastAsia="MS Mincho" w:cs="Arial"/>
          <w:sz w:val="20"/>
          <w:szCs w:val="22"/>
          <w:lang w:val="en-GB" w:eastAsia="ja-JP"/>
        </w:rPr>
        <w:t xml:space="preserve">from central and eastern Europe seem to move south, possibly following a reverse loop migration, flying south-east in autumn, through the Balkans, Greece and European Turkey, and moving northwards in spring across the central Mediterranean (Spina and Volponi 2008, Lormée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2016). Within the Mediterranean region, the northward migration generally takes place between early April and mid-May with a peak in late April (Zwarts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2009). Those birds wintering south of </w:t>
      </w:r>
      <w:r>
        <w:rPr>
          <w:rFonts w:eastAsia="MS Mincho" w:cs="Arial"/>
          <w:sz w:val="20"/>
          <w:szCs w:val="22"/>
          <w:lang w:val="en-GB" w:eastAsia="ja-JP"/>
        </w:rPr>
        <w:t>t</w:t>
      </w:r>
      <w:r w:rsidR="00C96521" w:rsidRPr="00C96521">
        <w:rPr>
          <w:rFonts w:eastAsia="MS Mincho" w:cs="Arial"/>
          <w:sz w:val="20"/>
          <w:szCs w:val="22"/>
          <w:lang w:val="en-GB" w:eastAsia="ja-JP"/>
        </w:rPr>
        <w:t xml:space="preserve">he Gambia begin to move northwards from February heading towards northern Senegal (Zwarts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2009). The species congregates in the very north of the Sahel (prior to the Sahel droughts, numbers may have reached several millions in the Senegal Delta) where it increases its body mass in order to be able to make what was originally considered to be a non-stop crossing of the Sahara, North Africa, the Mediterranean Sea and much of southern Europe (Zwarts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2009). However, new information from birds tagged in France suggests that during the northbound Sahara crossing the birds take short breaks and then stop for several weeks north of the Sahara before crossing the Mediterranean Sea (Eraud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2013). Sites in Morocco and western Algeria represent likely stopovers before the Mediterranean crossing, and the species is known to use cereal crops on agricultural land in this region where it can improve its body condition prior to the crossing. The birds may have differing spring and autumn </w:t>
      </w:r>
      <w:r w:rsidRPr="00C96521">
        <w:rPr>
          <w:rFonts w:eastAsia="MS Mincho" w:cs="Arial"/>
          <w:sz w:val="20"/>
          <w:szCs w:val="22"/>
          <w:lang w:val="en-GB" w:eastAsia="ja-JP"/>
        </w:rPr>
        <w:t>migrati</w:t>
      </w:r>
      <w:r>
        <w:rPr>
          <w:rFonts w:eastAsia="MS Mincho" w:cs="Arial"/>
          <w:sz w:val="20"/>
          <w:szCs w:val="22"/>
          <w:lang w:val="en-GB" w:eastAsia="ja-JP"/>
        </w:rPr>
        <w:t>on</w:t>
      </w:r>
      <w:r w:rsidRPr="00C96521">
        <w:rPr>
          <w:rFonts w:eastAsia="MS Mincho" w:cs="Arial"/>
          <w:sz w:val="20"/>
          <w:szCs w:val="22"/>
          <w:lang w:val="en-GB" w:eastAsia="ja-JP"/>
        </w:rPr>
        <w:t xml:space="preserve"> </w:t>
      </w:r>
      <w:r w:rsidR="00C96521" w:rsidRPr="00C96521">
        <w:rPr>
          <w:rFonts w:eastAsia="MS Mincho" w:cs="Arial"/>
          <w:sz w:val="20"/>
          <w:szCs w:val="22"/>
          <w:lang w:val="en-GB" w:eastAsia="ja-JP"/>
        </w:rPr>
        <w:t xml:space="preserve">strategies as typically more are recorded on the northward spring migration than in the autumn migration period, suggesting they may be flying at a lower altitude or flying during daylight hours more often in spring than in autumn (Zwarts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2009). Tracking research shows that most of the migration occurs at night (Lormée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2016).</w:t>
      </w:r>
    </w:p>
    <w:p w14:paraId="251B517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411ECF9" w14:textId="0A27C86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Figure 5 shows the breeding and pre-breeding migration periods for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oves </w:t>
      </w:r>
      <w:r w:rsidRPr="00C96521">
        <w:rPr>
          <w:rFonts w:eastAsia="MS Mincho" w:cs="Arial"/>
          <w:sz w:val="20"/>
          <w:szCs w:val="22"/>
          <w:lang w:val="en-GB" w:eastAsia="ja-JP"/>
        </w:rPr>
        <w:t xml:space="preserve">across the European Union. The beginning of pre-breeding migration is defined as running from the arrival of the first migrants, and breeding defined as lasting from the occupation of breeding sites (or in France, the occupation of territories by singing males) to the full flight of young birds. </w:t>
      </w:r>
    </w:p>
    <w:p w14:paraId="5EBCC7A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drawing>
          <wp:inline distT="0" distB="0" distL="0" distR="0" wp14:anchorId="6FDFFFA3" wp14:editId="7F5F0C38">
            <wp:extent cx="3906774" cy="4620513"/>
            <wp:effectExtent l="19050" t="0" r="0" b="0"/>
            <wp:docPr id="99" name="Picture 0" descr="BreedingSea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edingSeasons.jpg"/>
                    <pic:cNvPicPr/>
                  </pic:nvPicPr>
                  <pic:blipFill>
                    <a:blip r:embed="rId37" cstate="print"/>
                    <a:stretch>
                      <a:fillRect/>
                    </a:stretch>
                  </pic:blipFill>
                  <pic:spPr>
                    <a:xfrm>
                      <a:off x="0" y="0"/>
                      <a:ext cx="3915140" cy="4630407"/>
                    </a:xfrm>
                    <a:prstGeom prst="rect">
                      <a:avLst/>
                    </a:prstGeom>
                  </pic:spPr>
                </pic:pic>
              </a:graphicData>
            </a:graphic>
          </wp:inline>
        </w:drawing>
      </w:r>
    </w:p>
    <w:p w14:paraId="0B44182E"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4E604D44" w14:textId="578B6B8A"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5. Breeding season (blocked) and pre-breeding migration (starred) of </w:t>
      </w:r>
      <w:r w:rsidR="009E54BD" w:rsidRPr="006437E1">
        <w:rPr>
          <w:rFonts w:eastAsia="MS Mincho" w:cs="Arial"/>
          <w:i/>
          <w:sz w:val="20"/>
          <w:szCs w:val="22"/>
          <w:lang w:val="en-GB" w:eastAsia="ja-JP"/>
        </w:rPr>
        <w:t>Turtle Doves</w:t>
      </w:r>
      <w:r w:rsidR="009E54BD" w:rsidRPr="00C96521">
        <w:rPr>
          <w:rFonts w:eastAsia="MS Mincho" w:cs="Arial"/>
          <w:sz w:val="20"/>
          <w:szCs w:val="22"/>
          <w:lang w:val="en-GB" w:eastAsia="ja-JP"/>
        </w:rPr>
        <w:t xml:space="preserve"> </w:t>
      </w:r>
      <w:r w:rsidRPr="00C96521">
        <w:rPr>
          <w:rFonts w:eastAsia="MS Mincho" w:cs="Arial"/>
          <w:i/>
          <w:sz w:val="20"/>
          <w:szCs w:val="22"/>
          <w:lang w:val="en-GB" w:eastAsia="ja-JP"/>
        </w:rPr>
        <w:t>in EU Member States (Ireland and Sweden not included), north to south order (EU 2008). It is acknowledged that the breeding period data need to be updated in a systematic way to reflect changes in arrival and departure dates since 2008 (for example, the species now arrives in Hungary in mid-April).</w:t>
      </w:r>
    </w:p>
    <w:p w14:paraId="5F80F827"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71BCD0D3" w14:textId="66339A00" w:rsidR="00C96521" w:rsidRPr="00C96521" w:rsidRDefault="009E54BD"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Migrat</w:t>
      </w:r>
      <w:r>
        <w:rPr>
          <w:rFonts w:eastAsia="MS Mincho" w:cs="Arial"/>
          <w:sz w:val="20"/>
          <w:szCs w:val="22"/>
          <w:lang w:val="en-GB" w:eastAsia="ja-JP"/>
        </w:rPr>
        <w:t>ion</w:t>
      </w:r>
      <w:r w:rsidRPr="00C96521">
        <w:rPr>
          <w:rFonts w:eastAsia="MS Mincho" w:cs="Arial"/>
          <w:sz w:val="20"/>
          <w:szCs w:val="22"/>
          <w:lang w:val="en-GB" w:eastAsia="ja-JP"/>
        </w:rPr>
        <w:t xml:space="preserve"> </w:t>
      </w:r>
      <w:r w:rsidR="00C96521" w:rsidRPr="00C96521">
        <w:rPr>
          <w:rFonts w:eastAsia="MS Mincho" w:cs="Arial"/>
          <w:sz w:val="20"/>
          <w:szCs w:val="22"/>
          <w:lang w:val="en-GB" w:eastAsia="ja-JP"/>
        </w:rPr>
        <w:t xml:space="preserve">movements of populations breeding in the eastern part of the range are poorly understood. Birds ringed on passage in Ukraine in August were found in the eastern Mediterranean by September (Dubois 2002). In autumn, several million individuals have been observed crossing a 100km wide area in the Bagdad region of Iraq (Dubois 2002). Birds that breed in Croatia or cross Croatia have been found in southern Italy and Malta (five recoveries in total). One juvenile was ringed on 30 August in Croatia and found 19 days later on Lampedusa, Italy (Sanja Barišić </w:t>
      </w:r>
      <w:r w:rsidR="00C96521" w:rsidRPr="00C96521">
        <w:rPr>
          <w:rFonts w:eastAsia="MS Mincho" w:cs="Arial"/>
          <w:i/>
          <w:sz w:val="20"/>
          <w:szCs w:val="22"/>
          <w:lang w:val="en-GB" w:eastAsia="ja-JP"/>
        </w:rPr>
        <w:t>pers comm</w:t>
      </w:r>
      <w:r w:rsidR="00C96521" w:rsidRPr="00C96521">
        <w:rPr>
          <w:rFonts w:eastAsia="MS Mincho" w:cs="Arial"/>
          <w:sz w:val="20"/>
          <w:szCs w:val="22"/>
          <w:lang w:val="en-GB" w:eastAsia="ja-JP"/>
        </w:rPr>
        <w:t xml:space="preserve">). Similarly, the migratory patterns of the breeding population of </w:t>
      </w:r>
      <w:r w:rsidR="00C96521" w:rsidRPr="00C96521">
        <w:rPr>
          <w:rFonts w:eastAsia="MS Mincho" w:cs="Arial"/>
          <w:i/>
          <w:sz w:val="20"/>
          <w:szCs w:val="22"/>
          <w:lang w:val="en-GB" w:eastAsia="ja-JP"/>
        </w:rPr>
        <w:t>S. t. arenicola</w:t>
      </w:r>
      <w:r w:rsidR="00C96521" w:rsidRPr="00C96521">
        <w:rPr>
          <w:rFonts w:eastAsia="MS Mincho" w:cs="Arial"/>
          <w:sz w:val="20"/>
          <w:szCs w:val="22"/>
          <w:lang w:val="en-GB" w:eastAsia="ja-JP"/>
        </w:rPr>
        <w:t xml:space="preserve"> are very poorly known, and it is not clear whether these individuals use the same wintering grounds as </w:t>
      </w:r>
      <w:r w:rsidR="00C96521" w:rsidRPr="00C96521">
        <w:rPr>
          <w:rFonts w:eastAsia="MS Mincho" w:cs="Arial"/>
          <w:i/>
          <w:sz w:val="20"/>
          <w:szCs w:val="22"/>
          <w:lang w:val="en-GB" w:eastAsia="ja-JP"/>
        </w:rPr>
        <w:t>S. t. turtur</w:t>
      </w:r>
      <w:r w:rsidR="00C96521" w:rsidRPr="00C96521">
        <w:rPr>
          <w:rFonts w:eastAsia="MS Mincho" w:cs="Arial"/>
          <w:sz w:val="20"/>
          <w:szCs w:val="22"/>
          <w:lang w:val="en-GB" w:eastAsia="ja-JP"/>
        </w:rPr>
        <w:t xml:space="preserve"> (Hanane 2017).</w:t>
      </w:r>
    </w:p>
    <w:p w14:paraId="73A414A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8B84691"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8" w:name="_Toc478646903"/>
      <w:r w:rsidRPr="00C96521">
        <w:rPr>
          <w:rFonts w:ascii="Cambria" w:eastAsia="MS Gothic" w:hAnsi="Cambria"/>
          <w:b/>
          <w:bCs/>
          <w:color w:val="4F81BD"/>
          <w:sz w:val="26"/>
          <w:szCs w:val="26"/>
          <w:lang w:val="en-GB" w:eastAsia="ja-JP"/>
        </w:rPr>
        <w:t>Habitat requirements</w:t>
      </w:r>
      <w:bookmarkEnd w:id="18"/>
    </w:p>
    <w:p w14:paraId="5078200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B71E0BF" w14:textId="77892EFB"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Generally, the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Dove </w:t>
      </w:r>
      <w:r w:rsidRPr="00C96521">
        <w:rPr>
          <w:rFonts w:eastAsia="MS Mincho" w:cs="Arial"/>
          <w:sz w:val="20"/>
          <w:szCs w:val="22"/>
          <w:lang w:val="en-GB" w:eastAsia="ja-JP"/>
        </w:rPr>
        <w:t xml:space="preserve">nests in bushes/trees in landscapes with a rich, patchy habitat of open cultivated land for feeding, adjacent to wooded areas with trees and bushes in clumps (woods, copses, groves) or lines (riparian woodlands, hedges). </w:t>
      </w:r>
    </w:p>
    <w:p w14:paraId="4AC7D34E"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F0241F5" w14:textId="660FA43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the Mediterranean region, the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Dove</w:t>
      </w:r>
      <w:r w:rsidR="009E54BD"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may use a range of habitat types including woodland and orchards (Dias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2013). In the Iberian Peninsula, birds appear to prefer olive (</w:t>
      </w:r>
      <w:r w:rsidRPr="00C96521">
        <w:rPr>
          <w:rFonts w:eastAsia="MS Mincho" w:cs="Arial"/>
          <w:i/>
          <w:sz w:val="20"/>
          <w:szCs w:val="22"/>
          <w:lang w:val="en-GB" w:eastAsia="ja-JP"/>
        </w:rPr>
        <w:t>Olea europaea</w:t>
      </w:r>
      <w:r w:rsidRPr="00C96521">
        <w:rPr>
          <w:rFonts w:eastAsia="MS Mincho" w:cs="Arial"/>
          <w:sz w:val="20"/>
          <w:szCs w:val="22"/>
          <w:lang w:val="en-GB" w:eastAsia="ja-JP"/>
        </w:rPr>
        <w:t>) trees and evergreen/holm oak (</w:t>
      </w:r>
      <w:r w:rsidRPr="00C96521">
        <w:rPr>
          <w:rFonts w:eastAsia="MS Mincho" w:cs="Arial"/>
          <w:i/>
          <w:sz w:val="20"/>
          <w:szCs w:val="22"/>
          <w:lang w:val="en-GB" w:eastAsia="ja-JP"/>
        </w:rPr>
        <w:t>Quercus ilex</w:t>
      </w:r>
      <w:r w:rsidRPr="00C96521">
        <w:rPr>
          <w:rFonts w:eastAsia="MS Mincho" w:cs="Arial"/>
          <w:sz w:val="20"/>
          <w:szCs w:val="22"/>
          <w:lang w:val="en-GB" w:eastAsia="ja-JP"/>
        </w:rPr>
        <w:t xml:space="preserve">) (Icona 1989) over intensive orchards (Purroy 1997), abundance decreasing as cover increases, with abundance lower on open farmland owing to a scarcity of nesting sites (de Buruaga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2012). Abundance is also positively correlated to tree cover, particularly broadleaved forests and pine stands without woody understory, to cover by permanent crops, and to the density of woody linear habitats (Dias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2013). In Spain, a greater number of wild seed species was found in the diet in contrast to previous studies performed in farmland. </w:t>
      </w:r>
      <w:r w:rsidRPr="00C96521">
        <w:rPr>
          <w:rFonts w:eastAsia="MS Mincho" w:cs="Arial"/>
          <w:i/>
          <w:iCs/>
          <w:sz w:val="20"/>
          <w:szCs w:val="22"/>
          <w:lang w:val="en-GB" w:eastAsia="ja-JP"/>
        </w:rPr>
        <w:t>Echium plantagineum</w:t>
      </w:r>
      <w:r w:rsidRPr="00C96521">
        <w:rPr>
          <w:rFonts w:eastAsia="MS Mincho" w:cs="Arial"/>
          <w:sz w:val="20"/>
          <w:szCs w:val="22"/>
          <w:lang w:val="en-GB" w:eastAsia="ja-JP"/>
        </w:rPr>
        <w:t xml:space="preserve"> and </w:t>
      </w:r>
      <w:r w:rsidRPr="00C96521">
        <w:rPr>
          <w:rFonts w:eastAsia="MS Mincho" w:cs="Arial"/>
          <w:i/>
          <w:iCs/>
          <w:sz w:val="20"/>
          <w:szCs w:val="22"/>
          <w:lang w:val="en-GB" w:eastAsia="ja-JP"/>
        </w:rPr>
        <w:t>Amaranthus deflexus</w:t>
      </w:r>
      <w:r w:rsidRPr="00C96521">
        <w:rPr>
          <w:rFonts w:eastAsia="MS Mincho" w:cs="Arial"/>
          <w:sz w:val="20"/>
          <w:szCs w:val="22"/>
          <w:lang w:val="en-GB" w:eastAsia="ja-JP"/>
        </w:rPr>
        <w:t xml:space="preserve"> could be important seed sources for turtle-doves in Mediterranean forest. Additionally, herbaceous species whose seeds ripen earlier in the season may play an important role in turtle-dove reproductive performance, since they are frequently the only food sources available in the first half of the breeding season </w:t>
      </w:r>
      <w:r w:rsidRPr="00C96521">
        <w:rPr>
          <w:rFonts w:eastAsia="MS Mincho" w:cs="Arial"/>
          <w:sz w:val="20"/>
          <w:szCs w:val="20"/>
          <w:lang w:val="en-GB" w:eastAsia="ja-JP"/>
        </w:rPr>
        <w:t>(Gutiérrez-Galán and Alonso 2016)</w:t>
      </w:r>
      <w:r w:rsidRPr="00C96521">
        <w:rPr>
          <w:rFonts w:ascii="AdvOT46dcae81" w:eastAsia="MS Mincho" w:hAnsi="AdvOT46dcae81" w:cs="AdvOT46dcae81"/>
          <w:sz w:val="20"/>
          <w:szCs w:val="20"/>
          <w:lang w:val="en-GB" w:eastAsia="es-ES"/>
        </w:rPr>
        <w:t xml:space="preserve">. </w:t>
      </w:r>
      <w:r w:rsidRPr="00C96521">
        <w:rPr>
          <w:rFonts w:eastAsia="MS Mincho" w:cs="Arial"/>
          <w:sz w:val="20"/>
          <w:szCs w:val="22"/>
          <w:lang w:val="en-GB" w:eastAsia="ja-JP"/>
        </w:rPr>
        <w:t>In north-eastern Greece, the species prefers breeding in forest stands with a high density of medium-sized pines (</w:t>
      </w:r>
      <w:r w:rsidRPr="00C96521">
        <w:rPr>
          <w:rFonts w:eastAsia="MS Mincho" w:cs="Arial"/>
          <w:i/>
          <w:sz w:val="20"/>
          <w:szCs w:val="22"/>
          <w:lang w:val="en-GB" w:eastAsia="ja-JP"/>
        </w:rPr>
        <w:t>Pinus sp</w:t>
      </w:r>
      <w:r w:rsidRPr="00C96521">
        <w:rPr>
          <w:rFonts w:eastAsia="MS Mincho" w:cs="Arial"/>
          <w:sz w:val="20"/>
          <w:szCs w:val="22"/>
          <w:lang w:val="en-GB" w:eastAsia="ja-JP"/>
        </w:rPr>
        <w:t xml:space="preserve">) (21-30 cm in diameter at chest height) and a high percentage of canopy closure in the intermediate tree layer; it also avoids forest stands with a high percentage of canopy cover of shrubs (Bakaloudis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In Cyprus, the turtle-dove mainly breeds in wooded farmland with Turkish pine (</w:t>
      </w:r>
      <w:r w:rsidRPr="00C96521">
        <w:rPr>
          <w:rFonts w:eastAsia="MS Mincho" w:cs="Arial"/>
          <w:i/>
          <w:sz w:val="20"/>
          <w:szCs w:val="22"/>
          <w:lang w:val="en-GB" w:eastAsia="ja-JP"/>
        </w:rPr>
        <w:t>Pinus brutia</w:t>
      </w:r>
      <w:r w:rsidRPr="00C96521">
        <w:rPr>
          <w:rFonts w:eastAsia="MS Mincho" w:cs="Arial"/>
          <w:sz w:val="20"/>
          <w:szCs w:val="22"/>
          <w:lang w:val="en-GB" w:eastAsia="ja-JP"/>
        </w:rPr>
        <w:t>), olives, and almonds (</w:t>
      </w:r>
      <w:r w:rsidRPr="00C96521">
        <w:rPr>
          <w:rFonts w:eastAsia="MS Mincho" w:cs="Arial"/>
          <w:i/>
          <w:sz w:val="20"/>
          <w:szCs w:val="22"/>
          <w:lang w:val="en-GB" w:eastAsia="ja-JP"/>
        </w:rPr>
        <w:t>Prunus dulcis</w:t>
      </w:r>
      <w:r w:rsidRPr="00C96521">
        <w:rPr>
          <w:rFonts w:eastAsia="MS Mincho" w:cs="Arial"/>
          <w:sz w:val="20"/>
          <w:szCs w:val="22"/>
          <w:lang w:val="en-GB" w:eastAsia="ja-JP"/>
        </w:rPr>
        <w:t xml:space="preserve">) as the main nesting trees (Nicos Kassinis </w:t>
      </w:r>
      <w:r w:rsidRPr="00C96521">
        <w:rPr>
          <w:rFonts w:eastAsia="MS Mincho" w:cs="Arial"/>
          <w:i/>
          <w:sz w:val="20"/>
          <w:szCs w:val="22"/>
          <w:lang w:val="en-GB" w:eastAsia="ja-JP"/>
        </w:rPr>
        <w:t>unpublished</w:t>
      </w:r>
      <w:r w:rsidRPr="00C96521">
        <w:rPr>
          <w:rFonts w:eastAsia="MS Mincho" w:cs="Arial"/>
          <w:sz w:val="20"/>
          <w:szCs w:val="22"/>
          <w:lang w:val="en-GB" w:eastAsia="ja-JP"/>
        </w:rPr>
        <w:t xml:space="preserve">). </w:t>
      </w:r>
    </w:p>
    <w:p w14:paraId="44A9400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C0B09DE" w14:textId="1AF1384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Further north, hawthorn (</w:t>
      </w:r>
      <w:r w:rsidRPr="00C96521">
        <w:rPr>
          <w:rFonts w:eastAsia="MS Mincho" w:cs="Arial"/>
          <w:i/>
          <w:sz w:val="20"/>
          <w:szCs w:val="22"/>
          <w:lang w:val="en-GB" w:eastAsia="ja-JP"/>
        </w:rPr>
        <w:t>Crataegus monogyna</w:t>
      </w:r>
      <w:r w:rsidRPr="00C96521">
        <w:rPr>
          <w:rFonts w:eastAsia="MS Mincho" w:cs="Arial"/>
          <w:sz w:val="20"/>
          <w:szCs w:val="22"/>
          <w:lang w:val="en-GB" w:eastAsia="ja-JP"/>
        </w:rPr>
        <w:t>), hazel (</w:t>
      </w:r>
      <w:r w:rsidRPr="00C96521">
        <w:rPr>
          <w:rFonts w:eastAsia="MS Mincho" w:cs="Arial"/>
          <w:i/>
          <w:sz w:val="20"/>
          <w:szCs w:val="22"/>
          <w:lang w:val="en-GB" w:eastAsia="ja-JP"/>
        </w:rPr>
        <w:t>Corylus avellana</w:t>
      </w:r>
      <w:r w:rsidRPr="00C96521">
        <w:rPr>
          <w:rFonts w:eastAsia="MS Mincho" w:cs="Arial"/>
          <w:sz w:val="20"/>
          <w:szCs w:val="22"/>
          <w:lang w:val="en-GB" w:eastAsia="ja-JP"/>
        </w:rPr>
        <w:t>), blackthorn (</w:t>
      </w:r>
      <w:r w:rsidRPr="00C96521">
        <w:rPr>
          <w:rFonts w:eastAsia="MS Mincho" w:cs="Arial"/>
          <w:i/>
          <w:sz w:val="20"/>
          <w:szCs w:val="22"/>
          <w:lang w:val="en-GB" w:eastAsia="ja-JP"/>
        </w:rPr>
        <w:t>Prunus spinosa</w:t>
      </w:r>
      <w:r w:rsidRPr="00C96521">
        <w:rPr>
          <w:rFonts w:eastAsia="MS Mincho" w:cs="Arial"/>
          <w:sz w:val="20"/>
          <w:szCs w:val="22"/>
          <w:lang w:val="en-GB" w:eastAsia="ja-JP"/>
        </w:rPr>
        <w:t>) and elder (</w:t>
      </w:r>
      <w:r w:rsidRPr="00C96521">
        <w:rPr>
          <w:rFonts w:eastAsia="MS Mincho" w:cs="Arial"/>
          <w:i/>
          <w:sz w:val="20"/>
          <w:szCs w:val="22"/>
          <w:lang w:val="en-GB" w:eastAsia="ja-JP"/>
        </w:rPr>
        <w:t>Sambucus nigra</w:t>
      </w:r>
      <w:r w:rsidRPr="00C96521">
        <w:rPr>
          <w:rFonts w:eastAsia="MS Mincho" w:cs="Arial"/>
          <w:sz w:val="20"/>
          <w:szCs w:val="22"/>
          <w:lang w:val="en-GB" w:eastAsia="ja-JP"/>
        </w:rPr>
        <w:t>) provide most nesting sites, with attractiveness increasing when associated with brambles (</w:t>
      </w:r>
      <w:r w:rsidRPr="00C96521">
        <w:rPr>
          <w:rFonts w:eastAsia="MS Mincho" w:cs="Arial"/>
          <w:i/>
          <w:sz w:val="20"/>
          <w:szCs w:val="22"/>
          <w:lang w:val="en-GB" w:eastAsia="ja-JP"/>
        </w:rPr>
        <w:t>Rubus sp</w:t>
      </w:r>
      <w:r w:rsidRPr="00C96521">
        <w:rPr>
          <w:rFonts w:eastAsia="MS Mincho" w:cs="Arial"/>
          <w:sz w:val="20"/>
          <w:szCs w:val="22"/>
          <w:lang w:val="en-GB" w:eastAsia="ja-JP"/>
        </w:rPr>
        <w:t xml:space="preserve">) and other climbing plants, which can reinforce the structure of vegetation for the construction and protection of the nest (Murton 1968, Aubineau and Boutin 1998, Brown and Aebischer 2004). In north-western Europe, patchy woodland and farmland with hedges and wood plots are the main habitats, and again open farmland provides few nesting sites, although bare and fallow land have a positive influence as feeding areas (van den Brink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1996, Dunn and Morris 2012), as do dehesa (a traditional Mediterranean silvo-pastoral system) with cereals in Iberia (Rocha and Hidalgo 2002a). The small Danish population inhabits young coniferous plantations on sandy soils (J</w:t>
      </w:r>
      <w:r w:rsidR="009E54BD">
        <w:rPr>
          <w:rFonts w:eastAsia="MS Mincho" w:cs="Arial"/>
          <w:sz w:val="20"/>
          <w:szCs w:val="22"/>
          <w:lang w:val="en-GB" w:eastAsia="ja-JP"/>
        </w:rPr>
        <w:t>.</w:t>
      </w:r>
      <w:r w:rsidRPr="00C96521">
        <w:rPr>
          <w:rFonts w:eastAsia="MS Mincho" w:cs="Arial"/>
          <w:sz w:val="20"/>
          <w:szCs w:val="22"/>
          <w:lang w:val="en-GB" w:eastAsia="ja-JP"/>
        </w:rPr>
        <w:t xml:space="preserve"> Tofft </w:t>
      </w:r>
      <w:r w:rsidRPr="00C96521">
        <w:rPr>
          <w:rFonts w:eastAsia="MS Mincho" w:cs="Arial"/>
          <w:i/>
          <w:sz w:val="20"/>
          <w:szCs w:val="22"/>
          <w:lang w:val="en-GB" w:eastAsia="ja-JP"/>
        </w:rPr>
        <w:t>unpublished</w:t>
      </w:r>
      <w:r w:rsidRPr="00C96521">
        <w:rPr>
          <w:rFonts w:eastAsia="MS Mincho" w:cs="Arial"/>
          <w:sz w:val="20"/>
          <w:szCs w:val="22"/>
          <w:lang w:val="en-GB" w:eastAsia="ja-JP"/>
        </w:rPr>
        <w:t xml:space="preserve">), while in Estonia the species breeds mainly at forest edges close to farmland, and can also be found in forest clear-cuts (Jaanus Elts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w:t>
      </w:r>
    </w:p>
    <w:p w14:paraId="3E8646A4"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050D5DF" w14:textId="76841D72"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the Baltic States, Belarus, </w:t>
      </w:r>
      <w:r w:rsidR="009E54BD">
        <w:rPr>
          <w:rFonts w:eastAsia="MS Mincho" w:cs="Arial"/>
          <w:sz w:val="20"/>
          <w:szCs w:val="22"/>
          <w:lang w:val="en-GB" w:eastAsia="ja-JP"/>
        </w:rPr>
        <w:t xml:space="preserve">the </w:t>
      </w:r>
      <w:r w:rsidRPr="00C96521">
        <w:rPr>
          <w:rFonts w:eastAsia="MS Mincho" w:cs="Arial"/>
          <w:sz w:val="20"/>
          <w:szCs w:val="22"/>
          <w:lang w:val="en-GB" w:eastAsia="ja-JP"/>
        </w:rPr>
        <w:t>Russia</w:t>
      </w:r>
      <w:r w:rsidR="009E54BD">
        <w:rPr>
          <w:rFonts w:eastAsia="MS Mincho" w:cs="Arial"/>
          <w:sz w:val="20"/>
          <w:szCs w:val="22"/>
          <w:lang w:val="en-GB" w:eastAsia="ja-JP"/>
        </w:rPr>
        <w:t>n Federation</w:t>
      </w:r>
      <w:r w:rsidRPr="00C96521">
        <w:rPr>
          <w:rFonts w:eastAsia="MS Mincho" w:cs="Arial"/>
          <w:sz w:val="20"/>
          <w:szCs w:val="22"/>
          <w:lang w:val="en-GB" w:eastAsia="ja-JP"/>
        </w:rPr>
        <w:t xml:space="preserve">, and Ukraine, the species typically uses forest habitats composed of scattered pine forests or other coniferous trees in the north of the range and more </w:t>
      </w:r>
      <w:r w:rsidRPr="00C96521">
        <w:rPr>
          <w:rFonts w:eastAsia="MS Mincho" w:cs="Arial"/>
          <w:sz w:val="20"/>
          <w:szCs w:val="22"/>
          <w:lang w:val="en-GB" w:eastAsia="ja-JP"/>
        </w:rPr>
        <w:lastRenderedPageBreak/>
        <w:t>deciduous forests in the south (Rouxel 2000). However, it avoids dense coniferous forests and mature timber. In Kazakhstan it is known to nest in desert habitats provided trees or shrubs and water sources are present or nearby (Rouxel 2000).</w:t>
      </w:r>
    </w:p>
    <w:p w14:paraId="7829B31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2C936F9" w14:textId="3B97EC2B"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Morocco, the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 </w:t>
      </w:r>
      <w:r w:rsidRPr="00C96521">
        <w:rPr>
          <w:rFonts w:eastAsia="MS Mincho" w:cs="Arial"/>
          <w:sz w:val="20"/>
          <w:szCs w:val="22"/>
          <w:lang w:val="en-GB" w:eastAsia="ja-JP"/>
        </w:rPr>
        <w:t>breeds in olive and orange (</w:t>
      </w:r>
      <w:r w:rsidRPr="00C96521">
        <w:rPr>
          <w:rFonts w:eastAsia="MS Mincho" w:cs="Arial"/>
          <w:i/>
          <w:sz w:val="20"/>
          <w:szCs w:val="22"/>
          <w:lang w:val="en-GB" w:eastAsia="ja-JP"/>
        </w:rPr>
        <w:t>Citrus</w:t>
      </w:r>
      <w:r w:rsidRPr="00C96521">
        <w:rPr>
          <w:rFonts w:eastAsia="MS Mincho" w:cs="Arial"/>
          <w:sz w:val="20"/>
          <w:szCs w:val="22"/>
          <w:lang w:val="en-GB" w:eastAsia="ja-JP"/>
        </w:rPr>
        <w:t xml:space="preserve"> </w:t>
      </w:r>
      <w:r w:rsidRPr="00C96521">
        <w:rPr>
          <w:rFonts w:eastAsia="MS Mincho" w:cs="Arial"/>
          <w:i/>
          <w:sz w:val="20"/>
          <w:szCs w:val="22"/>
          <w:lang w:val="en-GB" w:eastAsia="ja-JP"/>
        </w:rPr>
        <w:t>sp</w:t>
      </w:r>
      <w:r w:rsidRPr="00C96521">
        <w:rPr>
          <w:rFonts w:eastAsia="MS Mincho" w:cs="Arial"/>
          <w:sz w:val="20"/>
          <w:szCs w:val="22"/>
          <w:lang w:val="en-GB" w:eastAsia="ja-JP"/>
        </w:rPr>
        <w:t>) orchards. Large areas of olive groves in Morocco are found in close proximity to irrigated areas with available water and cereal crops providing suitable foraging and nesting sites for the species (Hanane 2012a). However, a recent study found the density of nests was 68</w:t>
      </w:r>
      <w:r w:rsidR="009E54BD">
        <w:rPr>
          <w:rFonts w:eastAsia="MS Mincho" w:cs="Arial"/>
          <w:sz w:val="20"/>
          <w:szCs w:val="22"/>
          <w:lang w:val="en-GB" w:eastAsia="ja-JP"/>
        </w:rPr>
        <w:t xml:space="preserve"> per cent</w:t>
      </w:r>
      <w:r w:rsidRPr="00C96521">
        <w:rPr>
          <w:rFonts w:eastAsia="MS Mincho" w:cs="Arial"/>
          <w:sz w:val="20"/>
          <w:szCs w:val="22"/>
          <w:lang w:val="en-GB" w:eastAsia="ja-JP"/>
        </w:rPr>
        <w:t xml:space="preserve"> higher in orange than olive orchards (Hanane 2016a). Landscapes of fruit orchards, cereal crops and available water sources in North Africa represent favourable breeding and foraging habitat for the species (Hanane 2012b, Kafi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2015). Irrigated orchards in Morocco support large numbers of turtle-dove (~60,000 pairs in the Tadla area alone) (Hanane 2012b), while the importance of areas outside of irrigation is unknown (Hanane 2017).</w:t>
      </w:r>
    </w:p>
    <w:p w14:paraId="2C4EEDC3"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B041CB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The species also feeds on cultivated cereals, with seeds that remain on the ground post-harvest forming an important resource before migration (Dubois 2002, Dias and Fontoura 1996). A loss of agricultural weeds, bare and fallow land may have reduced food availability for the species.</w:t>
      </w:r>
    </w:p>
    <w:p w14:paraId="17CD9DC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6299482" w14:textId="454A1C5D"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Suitable wintering habitat appears to be defined by an abundant food supply, available drinking water and large trees or patches of woodland. Where one of these three key factors is absent, the species will typically only use the habitat temporarily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In winter, the amount of cereal seeds produced annually in the Mali-Senegal area has been suggested to be a significant predictor of survival rate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at least in the short-term, although cereal production increased in West Africa since the 1970s and turtle-dove populations have continued to decline (Raffael Ayé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Birds tend to use </w:t>
      </w:r>
      <w:r w:rsidRPr="00C96521">
        <w:rPr>
          <w:rFonts w:eastAsia="MS Mincho" w:cs="Arial"/>
          <w:i/>
          <w:sz w:val="20"/>
          <w:szCs w:val="22"/>
          <w:lang w:val="en-GB" w:eastAsia="ja-JP"/>
        </w:rPr>
        <w:t>Acacia</w:t>
      </w:r>
      <w:r w:rsidRPr="00C96521">
        <w:rPr>
          <w:rFonts w:eastAsia="MS Mincho" w:cs="Arial"/>
          <w:sz w:val="20"/>
          <w:szCs w:val="22"/>
          <w:lang w:val="en-GB" w:eastAsia="ja-JP"/>
        </w:rPr>
        <w:t xml:space="preserve"> </w:t>
      </w:r>
      <w:r w:rsidRPr="00C96521">
        <w:rPr>
          <w:rFonts w:eastAsia="MS Mincho" w:cs="Arial"/>
          <w:i/>
          <w:sz w:val="20"/>
          <w:szCs w:val="22"/>
          <w:lang w:val="en-GB" w:eastAsia="ja-JP"/>
        </w:rPr>
        <w:t>sp</w:t>
      </w:r>
      <w:r w:rsidRPr="00C96521">
        <w:rPr>
          <w:rFonts w:eastAsia="MS Mincho" w:cs="Arial"/>
          <w:sz w:val="20"/>
          <w:szCs w:val="22"/>
          <w:lang w:val="en-GB" w:eastAsia="ja-JP"/>
        </w:rPr>
        <w:t xml:space="preserve"> scrub as their major roosting sites and tracking has confirmed that a readily available water source, cultivated sorghum (</w:t>
      </w:r>
      <w:r w:rsidRPr="00C96521">
        <w:rPr>
          <w:rFonts w:eastAsia="MS Mincho" w:cs="Arial"/>
          <w:i/>
          <w:sz w:val="20"/>
          <w:szCs w:val="22"/>
          <w:lang w:val="en-GB" w:eastAsia="ja-JP"/>
        </w:rPr>
        <w:t>Sorghum</w:t>
      </w:r>
      <w:r w:rsidRPr="00C96521">
        <w:rPr>
          <w:rFonts w:eastAsia="MS Mincho" w:cs="Arial"/>
          <w:sz w:val="20"/>
          <w:szCs w:val="22"/>
          <w:lang w:val="en-GB" w:eastAsia="ja-JP"/>
        </w:rPr>
        <w:t xml:space="preserve"> </w:t>
      </w:r>
      <w:r w:rsidRPr="00C96521">
        <w:rPr>
          <w:rFonts w:eastAsia="MS Mincho" w:cs="Arial"/>
          <w:i/>
          <w:sz w:val="20"/>
          <w:szCs w:val="22"/>
          <w:lang w:val="en-GB" w:eastAsia="ja-JP"/>
        </w:rPr>
        <w:t>sp</w:t>
      </w:r>
      <w:r w:rsidRPr="00C96521">
        <w:rPr>
          <w:rFonts w:eastAsia="MS Mincho" w:cs="Arial"/>
          <w:sz w:val="20"/>
          <w:szCs w:val="22"/>
          <w:lang w:val="en-GB" w:eastAsia="ja-JP"/>
        </w:rPr>
        <w:t>), millet and peanut (</w:t>
      </w:r>
      <w:r w:rsidRPr="00C96521">
        <w:rPr>
          <w:rFonts w:eastAsia="MS Mincho" w:cs="Arial"/>
          <w:i/>
          <w:sz w:val="20"/>
          <w:szCs w:val="22"/>
          <w:lang w:val="en-GB" w:eastAsia="ja-JP"/>
        </w:rPr>
        <w:t>Arachis hypogaea</w:t>
      </w:r>
      <w:r w:rsidRPr="00C96521">
        <w:rPr>
          <w:rFonts w:eastAsia="MS Mincho" w:cs="Arial"/>
          <w:sz w:val="20"/>
          <w:szCs w:val="22"/>
          <w:lang w:val="en-GB" w:eastAsia="ja-JP"/>
        </w:rPr>
        <w:t xml:space="preserve">) fields, or natural scrubby grassland may be important for the species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RSPB 2016). On the wintering grounds, the species is known to feed on a diverse range of grains including: </w:t>
      </w:r>
      <w:r w:rsidRPr="00C96521">
        <w:rPr>
          <w:rFonts w:eastAsia="MS Mincho" w:cs="Arial"/>
          <w:i/>
          <w:sz w:val="20"/>
          <w:szCs w:val="22"/>
          <w:lang w:val="en-GB" w:eastAsia="ja-JP"/>
        </w:rPr>
        <w:t>Panicum laetum, Tribulus terrestris</w:t>
      </w:r>
      <w:r w:rsidRPr="00C96521">
        <w:rPr>
          <w:rFonts w:eastAsia="MS Mincho" w:cs="Arial"/>
          <w:sz w:val="20"/>
          <w:szCs w:val="22"/>
          <w:lang w:val="en-GB" w:eastAsia="ja-JP"/>
        </w:rPr>
        <w:t xml:space="preserve"> and </w:t>
      </w:r>
      <w:r w:rsidRPr="00C96521">
        <w:rPr>
          <w:rFonts w:eastAsia="MS Mincho" w:cs="Arial"/>
          <w:i/>
          <w:sz w:val="20"/>
          <w:szCs w:val="22"/>
          <w:lang w:val="en-GB" w:eastAsia="ja-JP"/>
        </w:rPr>
        <w:t>Echinocloa colona</w:t>
      </w:r>
      <w:r w:rsidRPr="00C96521">
        <w:rPr>
          <w:rFonts w:eastAsia="MS Mincho" w:cs="Arial"/>
          <w:sz w:val="20"/>
          <w:szCs w:val="22"/>
          <w:lang w:val="en-GB" w:eastAsia="ja-JP"/>
        </w:rPr>
        <w:t xml:space="preserve"> (Dubois 2002). In years with low rainfall </w:t>
      </w:r>
      <w:r w:rsidRPr="00C96521">
        <w:rPr>
          <w:rFonts w:eastAsia="MS Mincho" w:cs="Arial"/>
          <w:i/>
          <w:sz w:val="20"/>
          <w:szCs w:val="22"/>
          <w:lang w:val="en-GB" w:eastAsia="ja-JP"/>
        </w:rPr>
        <w:t>T. terrestris</w:t>
      </w:r>
      <w:r w:rsidRPr="00C96521">
        <w:rPr>
          <w:rFonts w:eastAsia="MS Mincho" w:cs="Arial"/>
          <w:sz w:val="20"/>
          <w:szCs w:val="22"/>
          <w:lang w:val="en-GB" w:eastAsia="ja-JP"/>
        </w:rPr>
        <w:t xml:space="preserve"> becomes more prevalent in the species’ diet, but it is of low nutritional value (Dubois 2002,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Spilt rice grain (</w:t>
      </w:r>
      <w:r w:rsidRPr="00C96521">
        <w:rPr>
          <w:rFonts w:eastAsia="MS Mincho" w:cs="Arial"/>
          <w:i/>
          <w:sz w:val="20"/>
          <w:szCs w:val="22"/>
          <w:lang w:val="en-GB" w:eastAsia="ja-JP"/>
        </w:rPr>
        <w:t>Oryza</w:t>
      </w:r>
      <w:r w:rsidRPr="00C96521">
        <w:rPr>
          <w:rFonts w:eastAsia="MS Mincho" w:cs="Arial"/>
          <w:sz w:val="20"/>
          <w:szCs w:val="22"/>
          <w:lang w:val="en-GB" w:eastAsia="ja-JP"/>
        </w:rPr>
        <w:t xml:space="preserve"> </w:t>
      </w:r>
      <w:r w:rsidRPr="00C96521">
        <w:rPr>
          <w:rFonts w:eastAsia="MS Mincho" w:cs="Arial"/>
          <w:i/>
          <w:sz w:val="20"/>
          <w:szCs w:val="22"/>
          <w:lang w:val="en-GB" w:eastAsia="ja-JP"/>
        </w:rPr>
        <w:t>sp</w:t>
      </w:r>
      <w:r w:rsidRPr="00C96521">
        <w:rPr>
          <w:rFonts w:eastAsia="MS Mincho" w:cs="Arial"/>
          <w:sz w:val="20"/>
          <w:szCs w:val="22"/>
          <w:lang w:val="en-GB" w:eastAsia="ja-JP"/>
        </w:rPr>
        <w:t xml:space="preserve">) in time of drought is also of vital importance. In Senegal, the species uses rice fields where it feeds on grass seeds prior to harvest and spilt grains following harvest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In Burkina Faso and Guinea Bissau, the species has been observed at wetland sites and rice fields and is known to roost in stands of </w:t>
      </w:r>
      <w:r w:rsidRPr="00C96521">
        <w:rPr>
          <w:rFonts w:eastAsia="MS Mincho" w:cs="Arial"/>
          <w:i/>
          <w:sz w:val="20"/>
          <w:szCs w:val="22"/>
          <w:lang w:val="en-GB" w:eastAsia="ja-JP"/>
        </w:rPr>
        <w:t>Acacia seyal</w:t>
      </w:r>
      <w:r w:rsidRPr="00C96521">
        <w:rPr>
          <w:rFonts w:eastAsia="MS Mincho" w:cs="Arial"/>
          <w:sz w:val="20"/>
          <w:szCs w:val="22"/>
          <w:lang w:val="en-GB" w:eastAsia="ja-JP"/>
        </w:rPr>
        <w:t xml:space="preserve"> (Carvalho and Dias 2003,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In both Nigeria and Mali, birds have been seen feeding on open treeless plains in the heat of the middle of the day, possibly a strategy either to avoid competition with other dove and pigeon species or to fatten up before the northward migration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although in October-December in parts of the Sahel it is not excessively hot in the middle of the day, so turtle-dove may not be exposed to extreme temperatures (Joost Brouwer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In </w:t>
      </w:r>
      <w:r w:rsidR="009E54BD">
        <w:rPr>
          <w:rFonts w:eastAsia="MS Mincho" w:cs="Arial"/>
          <w:sz w:val="20"/>
          <w:szCs w:val="22"/>
          <w:lang w:val="en-GB" w:eastAsia="ja-JP"/>
        </w:rPr>
        <w:t>t</w:t>
      </w:r>
      <w:r w:rsidRPr="00C96521">
        <w:rPr>
          <w:rFonts w:eastAsia="MS Mincho" w:cs="Arial"/>
          <w:sz w:val="20"/>
          <w:szCs w:val="22"/>
          <w:lang w:val="en-GB" w:eastAsia="ja-JP"/>
        </w:rPr>
        <w:t xml:space="preserve">he Gambia, the species has been recorded resting in the shrubs </w:t>
      </w:r>
      <w:r w:rsidRPr="00C96521">
        <w:rPr>
          <w:rFonts w:eastAsia="MS Mincho" w:cs="Arial"/>
          <w:i/>
          <w:sz w:val="20"/>
          <w:szCs w:val="22"/>
          <w:lang w:val="en-GB" w:eastAsia="ja-JP"/>
        </w:rPr>
        <w:t>Tamarix senegalensis</w:t>
      </w:r>
      <w:r w:rsidRPr="00C96521">
        <w:rPr>
          <w:rFonts w:eastAsia="MS Mincho" w:cs="Arial"/>
          <w:sz w:val="20"/>
          <w:szCs w:val="22"/>
          <w:lang w:val="en-GB" w:eastAsia="ja-JP"/>
        </w:rPr>
        <w:t xml:space="preserve"> and </w:t>
      </w:r>
      <w:r w:rsidRPr="00C96521">
        <w:rPr>
          <w:rFonts w:eastAsia="MS Mincho" w:cs="Arial"/>
          <w:i/>
          <w:sz w:val="20"/>
          <w:szCs w:val="22"/>
          <w:lang w:val="en-GB" w:eastAsia="ja-JP"/>
        </w:rPr>
        <w:t xml:space="preserve">Mitragyna inermis </w:t>
      </w:r>
      <w:r w:rsidRPr="00C96521">
        <w:rPr>
          <w:rFonts w:eastAsia="MS Mincho" w:cs="Arial"/>
          <w:sz w:val="20"/>
          <w:szCs w:val="22"/>
          <w:lang w:val="en-GB" w:eastAsia="ja-JP"/>
        </w:rPr>
        <w:t xml:space="preserve">(Clive R Barlow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as well as in rice fields (Lamin Jobaate </w:t>
      </w:r>
      <w:r w:rsidRPr="00C96521">
        <w:rPr>
          <w:rFonts w:eastAsia="MS Mincho" w:cs="Arial"/>
          <w:i/>
          <w:sz w:val="20"/>
          <w:szCs w:val="22"/>
          <w:lang w:val="en-GB" w:eastAsia="ja-JP"/>
        </w:rPr>
        <w:t>pers comm</w:t>
      </w:r>
      <w:r w:rsidRPr="00C96521">
        <w:rPr>
          <w:rFonts w:eastAsia="MS Mincho" w:cs="Arial"/>
          <w:sz w:val="20"/>
          <w:szCs w:val="22"/>
          <w:lang w:val="en-GB" w:eastAsia="ja-JP"/>
        </w:rPr>
        <w:t>).</w:t>
      </w:r>
    </w:p>
    <w:p w14:paraId="44331D3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7F38BBB"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9" w:name="_Toc478646904"/>
      <w:r w:rsidRPr="00C96521">
        <w:rPr>
          <w:rFonts w:ascii="Cambria" w:eastAsia="MS Gothic" w:hAnsi="Cambria"/>
          <w:b/>
          <w:bCs/>
          <w:color w:val="4F81BD"/>
          <w:sz w:val="26"/>
          <w:szCs w:val="26"/>
          <w:lang w:val="en-GB" w:eastAsia="ja-JP"/>
        </w:rPr>
        <w:t>Breakdown of turtle-dove habitat use across Europe</w:t>
      </w:r>
      <w:bookmarkEnd w:id="19"/>
    </w:p>
    <w:p w14:paraId="5544883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12A3C1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France/Portugal/Spain</w:t>
      </w:r>
    </w:p>
    <w:p w14:paraId="0C4FE1E0"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6F990598"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In France, Portugal and Spain the species uses a mixture of habitats interspersed with agricultural land.</w:t>
      </w:r>
    </w:p>
    <w:p w14:paraId="5C78936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8BBA193"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sz w:val="20"/>
          <w:szCs w:val="22"/>
          <w:lang w:val="en-GB" w:eastAsia="ja-JP"/>
        </w:rPr>
        <w:t>In France, the species is reported to use fragmented landscapes, forest edges, woodland, copses (small groups of trees) and hedges (Bacon 2012), particularly those in close proximity to grain crops, oilseed rape (</w:t>
      </w:r>
      <w:r w:rsidRPr="00C96521">
        <w:rPr>
          <w:rFonts w:eastAsia="MS Mincho"/>
          <w:i/>
          <w:sz w:val="20"/>
          <w:szCs w:val="22"/>
          <w:lang w:val="en-GB" w:eastAsia="ja-JP"/>
        </w:rPr>
        <w:t xml:space="preserve">Brassica napus) </w:t>
      </w:r>
      <w:r w:rsidRPr="00C96521">
        <w:rPr>
          <w:rFonts w:eastAsia="MS Mincho"/>
          <w:sz w:val="20"/>
          <w:szCs w:val="22"/>
          <w:lang w:val="en-GB" w:eastAsia="ja-JP"/>
        </w:rPr>
        <w:t>and sunflower (</w:t>
      </w:r>
      <w:r w:rsidRPr="00C96521">
        <w:rPr>
          <w:rFonts w:eastAsia="MS Mincho"/>
          <w:i/>
          <w:sz w:val="20"/>
          <w:szCs w:val="22"/>
          <w:lang w:val="en-GB" w:eastAsia="ja-JP"/>
        </w:rPr>
        <w:t>Helianthus sp</w:t>
      </w:r>
      <w:r w:rsidRPr="00C96521">
        <w:rPr>
          <w:rFonts w:eastAsia="MS Mincho"/>
          <w:sz w:val="20"/>
          <w:szCs w:val="22"/>
          <w:lang w:val="en-GB" w:eastAsia="ja-JP"/>
        </w:rPr>
        <w:t xml:space="preserve">) fields (Dubois </w:t>
      </w:r>
      <w:r w:rsidRPr="00C96521">
        <w:rPr>
          <w:rFonts w:eastAsia="MS Mincho"/>
          <w:i/>
          <w:sz w:val="20"/>
          <w:szCs w:val="22"/>
          <w:lang w:val="en-GB" w:eastAsia="ja-JP"/>
        </w:rPr>
        <w:t>et al</w:t>
      </w:r>
      <w:r w:rsidRPr="00C96521">
        <w:rPr>
          <w:rFonts w:eastAsia="MS Mincho"/>
          <w:sz w:val="20"/>
          <w:szCs w:val="22"/>
          <w:lang w:val="en-GB" w:eastAsia="ja-JP"/>
        </w:rPr>
        <w:t xml:space="preserve"> 2008). It nests in shrubs, particularly thorny species such as hawthorn and blackthorn.</w:t>
      </w:r>
      <w:r w:rsidRPr="00C96521">
        <w:rPr>
          <w:rFonts w:eastAsia="MS Mincho" w:cs="Arial"/>
          <w:sz w:val="20"/>
          <w:szCs w:val="22"/>
          <w:lang w:val="en-GB" w:eastAsia="ja-JP"/>
        </w:rPr>
        <w:t xml:space="preserve"> The following plants have been identified as food sources for the species in France: </w:t>
      </w:r>
      <w:r w:rsidRPr="00C96521">
        <w:rPr>
          <w:rFonts w:eastAsia="MS Mincho" w:cs="Arial"/>
          <w:i/>
          <w:sz w:val="20"/>
          <w:szCs w:val="22"/>
          <w:lang w:val="en-GB" w:eastAsia="ja-JP"/>
        </w:rPr>
        <w:t xml:space="preserve">Vicia cracca, Galeopsis speciosa, Cirsium arvense, Ulmus laevis, Amaranthus retroflexus, Euphorbia virgata, Setaria glauca, Pinus sylvestris, Lycopsis arvensis, Fagopyrum sp, Reseda lutea, Silene vulgaris, </w:t>
      </w:r>
      <w:r w:rsidRPr="006437E1">
        <w:rPr>
          <w:rFonts w:eastAsia="MS Mincho" w:cs="Arial"/>
          <w:sz w:val="20"/>
          <w:szCs w:val="22"/>
          <w:lang w:val="en-GB" w:eastAsia="ja-JP"/>
        </w:rPr>
        <w:t>and</w:t>
      </w:r>
      <w:r w:rsidRPr="00C96521">
        <w:rPr>
          <w:rFonts w:eastAsia="MS Mincho" w:cs="Arial"/>
          <w:i/>
          <w:sz w:val="20"/>
          <w:szCs w:val="22"/>
          <w:lang w:val="en-GB" w:eastAsia="ja-JP"/>
        </w:rPr>
        <w:t xml:space="preserve"> Echinochloa crus-galli</w:t>
      </w:r>
      <w:r w:rsidRPr="00C96521">
        <w:rPr>
          <w:rFonts w:eastAsia="MS Mincho" w:cs="Arial"/>
          <w:sz w:val="20"/>
          <w:szCs w:val="22"/>
          <w:lang w:val="en-GB" w:eastAsia="ja-JP"/>
        </w:rPr>
        <w:t xml:space="preserve"> (Dubois 2002). </w:t>
      </w:r>
    </w:p>
    <w:p w14:paraId="71323EF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FA79820" w14:textId="43D42B4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Portugal, </w:t>
      </w:r>
      <w:r w:rsidR="009E54BD">
        <w:rPr>
          <w:rFonts w:eastAsia="MS Mincho"/>
          <w:sz w:val="20"/>
          <w:szCs w:val="22"/>
          <w:lang w:val="en-GB" w:eastAsia="ja-JP"/>
        </w:rPr>
        <w:t xml:space="preserve">the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 </w:t>
      </w:r>
      <w:r w:rsidRPr="00C96521">
        <w:rPr>
          <w:rFonts w:eastAsia="MS Mincho"/>
          <w:sz w:val="20"/>
          <w:szCs w:val="22"/>
          <w:lang w:val="en-GB" w:eastAsia="ja-JP"/>
        </w:rPr>
        <w:t xml:space="preserve">shows a preference for forests and agricultural landscapes with trees (Dias </w:t>
      </w:r>
      <w:r w:rsidRPr="00C96521">
        <w:rPr>
          <w:rFonts w:eastAsia="MS Mincho"/>
          <w:i/>
          <w:sz w:val="20"/>
          <w:szCs w:val="22"/>
          <w:lang w:val="en-GB" w:eastAsia="ja-JP"/>
        </w:rPr>
        <w:t>et al</w:t>
      </w:r>
      <w:r w:rsidRPr="00C96521">
        <w:rPr>
          <w:rFonts w:eastAsia="MS Mincho"/>
          <w:sz w:val="20"/>
          <w:szCs w:val="22"/>
          <w:lang w:val="en-GB" w:eastAsia="ja-JP"/>
        </w:rPr>
        <w:t xml:space="preserve"> 2013). Forested habitats are the main breeding habitat, pine forest with no shrub understorey and small patches of forest in complex patchy landscapes being the most important habitats for the species. In agricultural landscapes, permanent crops (e</w:t>
      </w:r>
      <w:r w:rsidR="009E54BD">
        <w:rPr>
          <w:rFonts w:eastAsia="MS Mincho"/>
          <w:sz w:val="20"/>
          <w:szCs w:val="22"/>
          <w:lang w:val="en-GB" w:eastAsia="ja-JP"/>
        </w:rPr>
        <w:t>.</w:t>
      </w:r>
      <w:r w:rsidRPr="00C96521">
        <w:rPr>
          <w:rFonts w:eastAsia="MS Mincho"/>
          <w:sz w:val="20"/>
          <w:szCs w:val="22"/>
          <w:lang w:val="en-GB" w:eastAsia="ja-JP"/>
        </w:rPr>
        <w:t>g</w:t>
      </w:r>
      <w:r w:rsidR="009E54BD">
        <w:rPr>
          <w:rFonts w:eastAsia="MS Mincho"/>
          <w:sz w:val="20"/>
          <w:szCs w:val="22"/>
          <w:lang w:val="en-GB" w:eastAsia="ja-JP"/>
        </w:rPr>
        <w:t>.</w:t>
      </w:r>
      <w:r w:rsidRPr="00C96521">
        <w:rPr>
          <w:rFonts w:eastAsia="MS Mincho"/>
          <w:sz w:val="20"/>
          <w:szCs w:val="22"/>
          <w:lang w:val="en-GB" w:eastAsia="ja-JP"/>
        </w:rPr>
        <w:t xml:space="preserve"> orchards, traditional olive groves, oranges) are also used for breeding. Abundance is positively associated with forest cover, particularly broadleaved forests, and by pine stands without woody under-storeys, permanent crops and with a high density of woody linear habitats (Dias </w:t>
      </w:r>
      <w:r w:rsidRPr="00C96521">
        <w:rPr>
          <w:rFonts w:eastAsia="MS Mincho"/>
          <w:i/>
          <w:sz w:val="20"/>
          <w:szCs w:val="22"/>
          <w:lang w:val="en-GB" w:eastAsia="ja-JP"/>
        </w:rPr>
        <w:t>et al</w:t>
      </w:r>
      <w:r w:rsidRPr="00C96521">
        <w:rPr>
          <w:rFonts w:eastAsia="MS Mincho"/>
          <w:sz w:val="20"/>
          <w:szCs w:val="22"/>
          <w:lang w:val="en-GB" w:eastAsia="ja-JP"/>
        </w:rPr>
        <w:t xml:space="preserve"> 2013). The absence of a woody under-storey mostly results from management to reduce fire risk. Broadleaved forests were primarily stands dominated by oak (</w:t>
      </w:r>
      <w:r w:rsidRPr="00C96521">
        <w:rPr>
          <w:rFonts w:eastAsia="MS Mincho"/>
          <w:i/>
          <w:sz w:val="20"/>
          <w:szCs w:val="22"/>
          <w:lang w:val="en-GB" w:eastAsia="ja-JP"/>
        </w:rPr>
        <w:t>Quercus</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permanent crops were mostly olive and other orchards, woody linear habitats were mostly tree lines, hedgerows and riparian galleries, which are often associated with agricultural habitats. In the south (Algarve), the species is more abundant in typical ‘Barrocal’ vegetation (a mixture of Mediterranean shrubs and trees). It nests in trees (pines, oaks and fruit trees) but also in woody shrubs with a complex array of branches (Dias 2016).</w:t>
      </w:r>
    </w:p>
    <w:p w14:paraId="4B83D53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B97BE21"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Spain, a recent analysis of common bird monitoring data found that regional population declines were significantly related to trends in forest and sunflower cover and pasture cover (SEO/BirdLife 2016a). Population declines were less strong in regions where the area of forests and sunflowers had increased and where pastures were more abundant. Important declines occurred in areas with a high cover of forested habitats as well as in agricultural areas. In the north of the country, forested areas were the principal breeding habitat for the turtle-dove population (Sáenz de Buruaga </w:t>
      </w:r>
      <w:r w:rsidRPr="00C96521">
        <w:rPr>
          <w:rFonts w:eastAsia="MS Mincho"/>
          <w:i/>
          <w:sz w:val="20"/>
          <w:szCs w:val="22"/>
          <w:lang w:val="en-GB" w:eastAsia="ja-JP"/>
        </w:rPr>
        <w:t>et al</w:t>
      </w:r>
      <w:r w:rsidRPr="00C96521">
        <w:rPr>
          <w:rFonts w:eastAsia="MS Mincho"/>
          <w:sz w:val="20"/>
          <w:szCs w:val="22"/>
          <w:lang w:val="en-GB" w:eastAsia="ja-JP"/>
        </w:rPr>
        <w:t xml:space="preserve"> 2012). Linear riparian forests had the highest numbers of turtle-doves followed by patches of open evergreen oak forest interspersed with crops. Farmland played a secondary role in terms of breeding habitat. The species was widely distributed in the study area in the 1980s, but 15 years later, the range had been reduced to four sectors: coastal, central plain, transitional valleys and the Ebro valley plain. Persistence in these areas may be related to turtle-doves favouring warm, temperate climates at low altitudes, as the areas from which they disappeared were mountainous and at higher altitude. Sáenz de Buruaga </w:t>
      </w:r>
      <w:r w:rsidRPr="00C96521">
        <w:rPr>
          <w:rFonts w:eastAsia="MS Mincho"/>
          <w:i/>
          <w:sz w:val="20"/>
          <w:szCs w:val="22"/>
          <w:lang w:val="en-GB" w:eastAsia="ja-JP"/>
        </w:rPr>
        <w:t>et al</w:t>
      </w:r>
      <w:r w:rsidRPr="00C96521">
        <w:rPr>
          <w:rFonts w:eastAsia="MS Mincho"/>
          <w:sz w:val="20"/>
          <w:szCs w:val="22"/>
          <w:lang w:val="en-GB" w:eastAsia="ja-JP"/>
        </w:rPr>
        <w:t xml:space="preserve"> (2012) suggest that preserving and extending open woodland patches within farmland and riparian woodlands would be a positive conservation measure for the species, potentially increasing availability of nest sites. In Catalonia, the species shows a preference for the following habitats: irrigated orchards, non-irrigated orchards, vineyards, cereal crops, cork oak (</w:t>
      </w:r>
      <w:r w:rsidRPr="00C96521">
        <w:rPr>
          <w:rFonts w:eastAsia="MS Mincho"/>
          <w:i/>
          <w:sz w:val="20"/>
          <w:szCs w:val="22"/>
          <w:lang w:val="en-GB" w:eastAsia="ja-JP"/>
        </w:rPr>
        <w:t>Quercus suber</w:t>
      </w:r>
      <w:r w:rsidRPr="00C96521">
        <w:rPr>
          <w:rFonts w:eastAsia="MS Mincho"/>
          <w:sz w:val="20"/>
          <w:szCs w:val="22"/>
          <w:lang w:val="en-GB" w:eastAsia="ja-JP"/>
        </w:rPr>
        <w:t>), forests of pine or exotics, Scots pine (</w:t>
      </w:r>
      <w:r w:rsidRPr="00C96521">
        <w:rPr>
          <w:rFonts w:eastAsia="MS Mincho"/>
          <w:i/>
          <w:sz w:val="20"/>
          <w:szCs w:val="22"/>
          <w:lang w:val="en-GB" w:eastAsia="ja-JP"/>
        </w:rPr>
        <w:t>Pinus sylvestris</w:t>
      </w:r>
      <w:r w:rsidRPr="00C96521">
        <w:rPr>
          <w:rFonts w:eastAsia="MS Mincho"/>
          <w:sz w:val="20"/>
          <w:szCs w:val="22"/>
          <w:lang w:val="en-GB" w:eastAsia="ja-JP"/>
        </w:rPr>
        <w:t>), and Aleppo pine (</w:t>
      </w:r>
      <w:r w:rsidRPr="00C96521">
        <w:rPr>
          <w:rFonts w:eastAsia="MS Mincho"/>
          <w:i/>
          <w:sz w:val="20"/>
          <w:szCs w:val="22"/>
          <w:lang w:val="en-GB" w:eastAsia="ja-JP"/>
        </w:rPr>
        <w:t>P. halepensis</w:t>
      </w:r>
      <w:r w:rsidRPr="00C96521">
        <w:rPr>
          <w:rFonts w:eastAsia="MS Mincho"/>
          <w:sz w:val="20"/>
          <w:szCs w:val="22"/>
          <w:lang w:val="en-GB" w:eastAsia="ja-JP"/>
        </w:rPr>
        <w:t>) (ICO 2016). It avoids the following habitats: beaches, wetlands, suburbs, urban areas, irrigated arable crops, rocky areas, alpine and subalpine meadows, Mediterranean scrub, Mediterranean grassland, beech (</w:t>
      </w:r>
      <w:r w:rsidRPr="00C96521">
        <w:rPr>
          <w:rFonts w:eastAsia="MS Mincho"/>
          <w:i/>
          <w:sz w:val="20"/>
          <w:szCs w:val="22"/>
          <w:lang w:val="en-GB" w:eastAsia="ja-JP"/>
        </w:rPr>
        <w:t>Fagus sp</w:t>
      </w:r>
      <w:r w:rsidRPr="00C96521">
        <w:rPr>
          <w:rFonts w:eastAsia="MS Mincho"/>
          <w:sz w:val="20"/>
          <w:szCs w:val="22"/>
          <w:lang w:val="en-GB" w:eastAsia="ja-JP"/>
        </w:rPr>
        <w:t>) forests and riparian forests, oak, evergreen oak, fir (</w:t>
      </w:r>
      <w:r w:rsidRPr="00C96521">
        <w:rPr>
          <w:rFonts w:eastAsia="MS Mincho"/>
          <w:i/>
          <w:sz w:val="20"/>
          <w:szCs w:val="22"/>
          <w:lang w:val="en-GB" w:eastAsia="ja-JP"/>
        </w:rPr>
        <w:t>Abies</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Scots pine, and black pine (</w:t>
      </w:r>
      <w:r w:rsidRPr="00C96521">
        <w:rPr>
          <w:rFonts w:eastAsia="MS Mincho"/>
          <w:i/>
          <w:sz w:val="20"/>
          <w:szCs w:val="22"/>
          <w:lang w:val="en-GB" w:eastAsia="ja-JP"/>
        </w:rPr>
        <w:t>P. nigra</w:t>
      </w:r>
      <w:r w:rsidRPr="00C96521">
        <w:rPr>
          <w:rFonts w:eastAsia="MS Mincho"/>
          <w:sz w:val="20"/>
          <w:szCs w:val="22"/>
          <w:lang w:val="en-GB" w:eastAsia="ja-JP"/>
        </w:rPr>
        <w:t>).</w:t>
      </w:r>
    </w:p>
    <w:p w14:paraId="2765CA5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71010A0" w14:textId="77777777" w:rsidR="00C96521" w:rsidRPr="008C00B8" w:rsidRDefault="00C96521" w:rsidP="00C96521">
      <w:pPr>
        <w:widowControl/>
        <w:autoSpaceDE/>
        <w:autoSpaceDN/>
        <w:adjustRightInd/>
        <w:spacing w:line="276" w:lineRule="auto"/>
        <w:rPr>
          <w:rFonts w:eastAsia="MS Mincho"/>
          <w:b/>
          <w:sz w:val="20"/>
          <w:szCs w:val="22"/>
          <w:lang w:val="de-DE" w:eastAsia="ja-JP"/>
        </w:rPr>
      </w:pPr>
      <w:r w:rsidRPr="008C00B8">
        <w:rPr>
          <w:rFonts w:eastAsia="MS Mincho"/>
          <w:b/>
          <w:sz w:val="20"/>
          <w:szCs w:val="22"/>
          <w:lang w:val="de-DE" w:eastAsia="ja-JP"/>
        </w:rPr>
        <w:t>Belgium/Denmark/Germany/Luxembourg/Netherlands/UK</w:t>
      </w:r>
    </w:p>
    <w:p w14:paraId="0E5A7344" w14:textId="77777777" w:rsidR="00C96521" w:rsidRPr="008C00B8" w:rsidRDefault="00C96521" w:rsidP="00C96521">
      <w:pPr>
        <w:widowControl/>
        <w:autoSpaceDE/>
        <w:autoSpaceDN/>
        <w:adjustRightInd/>
        <w:spacing w:line="276" w:lineRule="auto"/>
        <w:rPr>
          <w:rFonts w:eastAsia="MS Mincho"/>
          <w:i/>
          <w:sz w:val="20"/>
          <w:szCs w:val="22"/>
          <w:lang w:val="de-DE" w:eastAsia="ja-JP"/>
        </w:rPr>
      </w:pPr>
    </w:p>
    <w:p w14:paraId="3F04A077"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The species appears to use a mixture of agricultural and wooded areas in this group of countries. In one area in Germany, the species was found to prefer forested and grassland areas, and was more persistent in woody habitats with rich, less agricultural meadows.</w:t>
      </w:r>
    </w:p>
    <w:p w14:paraId="2F8CC7E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6DCC3A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Belgium, the species was recorded as nesting in woodland groves and edge, hedges, wet alder (</w:t>
      </w:r>
      <w:r w:rsidRPr="00C96521">
        <w:rPr>
          <w:rFonts w:eastAsia="MS Mincho"/>
          <w:i/>
          <w:sz w:val="20"/>
          <w:szCs w:val="22"/>
          <w:lang w:val="en-GB" w:eastAsia="ja-JP"/>
        </w:rPr>
        <w:t>Alnus</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xml:space="preserve">) groves, scrubby dunes, young pine forests and larger plantations providing there is sufficient undergrowth (Devillers </w:t>
      </w:r>
      <w:r w:rsidRPr="00C96521">
        <w:rPr>
          <w:rFonts w:eastAsia="MS Mincho"/>
          <w:i/>
          <w:sz w:val="20"/>
          <w:szCs w:val="22"/>
          <w:lang w:val="en-GB" w:eastAsia="ja-JP"/>
        </w:rPr>
        <w:t>et al</w:t>
      </w:r>
      <w:r w:rsidRPr="00C96521">
        <w:rPr>
          <w:rFonts w:eastAsia="MS Mincho"/>
          <w:sz w:val="20"/>
          <w:szCs w:val="22"/>
          <w:lang w:val="en-GB" w:eastAsia="ja-JP"/>
        </w:rPr>
        <w:t xml:space="preserve"> 1988). To a lesser extent, the species has also been recorded breeding in large gardens, parks, and orchards.</w:t>
      </w:r>
    </w:p>
    <w:p w14:paraId="1E49B68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CEB437D" w14:textId="464994B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 study was recently carried out in the Wetterau district of central Hessen, Germany, which involved re-surveying sites where the species had been present 14 years before (Quillfeldt </w:t>
      </w:r>
      <w:r w:rsidRPr="00C96521">
        <w:rPr>
          <w:rFonts w:eastAsia="MS Mincho"/>
          <w:i/>
          <w:sz w:val="20"/>
          <w:szCs w:val="22"/>
          <w:lang w:val="en-GB" w:eastAsia="ja-JP"/>
        </w:rPr>
        <w:t>et al</w:t>
      </w:r>
      <w:r w:rsidRPr="00C96521">
        <w:rPr>
          <w:rFonts w:eastAsia="MS Mincho"/>
          <w:sz w:val="20"/>
          <w:szCs w:val="22"/>
          <w:lang w:val="en-GB" w:eastAsia="ja-JP"/>
        </w:rPr>
        <w:t xml:space="preserve"> 2014). The study found that 31</w:t>
      </w:r>
      <w:r w:rsidR="009E54BD">
        <w:rPr>
          <w:rFonts w:eastAsia="MS Mincho"/>
          <w:sz w:val="20"/>
          <w:szCs w:val="22"/>
          <w:lang w:val="en-GB" w:eastAsia="ja-JP"/>
        </w:rPr>
        <w:t xml:space="preserve"> per cent</w:t>
      </w:r>
      <w:r w:rsidRPr="00C96521">
        <w:rPr>
          <w:rFonts w:eastAsia="MS Mincho"/>
          <w:sz w:val="20"/>
          <w:szCs w:val="22"/>
          <w:lang w:val="en-GB" w:eastAsia="ja-JP"/>
        </w:rPr>
        <w:t xml:space="preserve"> sites retained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oves</w:t>
      </w:r>
      <w:r w:rsidRPr="00C96521">
        <w:rPr>
          <w:rFonts w:eastAsia="MS Mincho"/>
          <w:sz w:val="20"/>
          <w:szCs w:val="22"/>
          <w:lang w:val="en-GB" w:eastAsia="ja-JP"/>
        </w:rPr>
        <w:t xml:space="preserve">. In the Taunusausläufern area, sites that retained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oves </w:t>
      </w:r>
      <w:r w:rsidRPr="00C96521">
        <w:rPr>
          <w:rFonts w:eastAsia="MS Mincho"/>
          <w:sz w:val="20"/>
          <w:szCs w:val="22"/>
          <w:lang w:val="en-GB" w:eastAsia="ja-JP"/>
        </w:rPr>
        <w:t>had woody habitats and rich, less agricultural meadows. The species showed a preference for forested and grassland areas, and dense forested areas and mixed woodland were important for breeding. Grassland and forest meadows were important for foraging.</w:t>
      </w:r>
    </w:p>
    <w:p w14:paraId="3888D6F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4ABC9A6"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lastRenderedPageBreak/>
        <w:t xml:space="preserve">In the Netherlands, major breeding habitats for the species are younger polder forests (usually poplar, </w:t>
      </w:r>
      <w:r w:rsidRPr="00C96521">
        <w:rPr>
          <w:rFonts w:eastAsia="MS Mincho"/>
          <w:i/>
          <w:sz w:val="20"/>
          <w:szCs w:val="22"/>
          <w:lang w:val="en-GB" w:eastAsia="ja-JP"/>
        </w:rPr>
        <w:t>Populus</w:t>
      </w:r>
      <w:r w:rsidRPr="00C96521">
        <w:rPr>
          <w:rFonts w:eastAsia="MS Mincho"/>
          <w:sz w:val="20"/>
          <w:szCs w:val="22"/>
          <w:lang w:val="en-GB" w:eastAsia="ja-JP"/>
        </w:rPr>
        <w:t xml:space="preserve"> sp), hawthorn hedges, and streamside thickets (SOVON 2002). Arable land is important, particularly the edges which offer important foraging resources in the form of weed seeds. The species shows a preference for arable land over grassland and avoids very open areas.</w:t>
      </w:r>
    </w:p>
    <w:p w14:paraId="7D63D22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982DF56" w14:textId="6D5D57CB"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the UK, the species has been recorded using principally farmyards and break crops as foraging sites, and at these sites mainly fed on the weed strip around fields and on stubbles after harvest (Browne and Aebischer 2003a). In the same study, the species did not use clover (</w:t>
      </w:r>
      <w:r w:rsidRPr="00C96521">
        <w:rPr>
          <w:rFonts w:eastAsia="MS Mincho"/>
          <w:i/>
          <w:sz w:val="20"/>
          <w:szCs w:val="22"/>
          <w:lang w:val="en-GB" w:eastAsia="ja-JP"/>
        </w:rPr>
        <w:t>Trifolium</w:t>
      </w:r>
      <w:r w:rsidRPr="00C96521">
        <w:rPr>
          <w:rFonts w:eastAsia="MS Mincho"/>
          <w:sz w:val="20"/>
          <w:szCs w:val="22"/>
          <w:lang w:val="en-GB" w:eastAsia="ja-JP"/>
        </w:rPr>
        <w:t xml:space="preserve"> sp), ley or hay fields as it did in the late 1950s and early 1960s. Clover leys today are likely to contain far fewer weed species than in the 1950s/60s. Similarly, a difference in diet was identified, with diet in the 1950s/</w:t>
      </w:r>
      <w:r w:rsidR="009E54BD">
        <w:rPr>
          <w:rFonts w:eastAsia="MS Mincho"/>
          <w:sz w:val="20"/>
          <w:szCs w:val="22"/>
          <w:lang w:val="en-GB" w:eastAsia="ja-JP"/>
        </w:rPr>
        <w:t>’</w:t>
      </w:r>
      <w:r w:rsidRPr="00C96521">
        <w:rPr>
          <w:rFonts w:eastAsia="MS Mincho"/>
          <w:sz w:val="20"/>
          <w:szCs w:val="22"/>
          <w:lang w:val="en-GB" w:eastAsia="ja-JP"/>
        </w:rPr>
        <w:t>60s consisting of more than 95</w:t>
      </w:r>
      <w:r w:rsidR="009E54BD">
        <w:rPr>
          <w:rFonts w:eastAsia="MS Mincho"/>
          <w:sz w:val="20"/>
          <w:szCs w:val="22"/>
          <w:lang w:val="en-GB" w:eastAsia="ja-JP"/>
        </w:rPr>
        <w:t xml:space="preserve"> per cent</w:t>
      </w:r>
      <w:r w:rsidRPr="00C96521">
        <w:rPr>
          <w:rFonts w:eastAsia="MS Mincho"/>
          <w:sz w:val="20"/>
          <w:szCs w:val="22"/>
          <w:lang w:val="en-GB" w:eastAsia="ja-JP"/>
        </w:rPr>
        <w:t xml:space="preserve"> weed seeds, mainly fumitory (</w:t>
      </w:r>
      <w:r w:rsidRPr="00C96521">
        <w:rPr>
          <w:rFonts w:eastAsia="MS Mincho"/>
          <w:i/>
          <w:sz w:val="20"/>
          <w:szCs w:val="22"/>
          <w:lang w:val="en-GB" w:eastAsia="ja-JP"/>
        </w:rPr>
        <w:t>Fumaria officinalis</w:t>
      </w:r>
      <w:r w:rsidRPr="00C96521">
        <w:rPr>
          <w:rFonts w:eastAsia="MS Mincho"/>
          <w:sz w:val="20"/>
          <w:szCs w:val="22"/>
          <w:lang w:val="en-GB" w:eastAsia="ja-JP"/>
        </w:rPr>
        <w:t>), compared to just 40</w:t>
      </w:r>
      <w:r w:rsidR="009E54BD">
        <w:rPr>
          <w:rFonts w:eastAsia="MS Mincho"/>
          <w:sz w:val="20"/>
          <w:szCs w:val="22"/>
          <w:lang w:val="en-GB" w:eastAsia="ja-JP"/>
        </w:rPr>
        <w:t xml:space="preserve"> per cent</w:t>
      </w:r>
      <w:r w:rsidRPr="00C96521">
        <w:rPr>
          <w:rFonts w:eastAsia="MS Mincho"/>
          <w:sz w:val="20"/>
          <w:szCs w:val="22"/>
          <w:lang w:val="en-GB" w:eastAsia="ja-JP"/>
        </w:rPr>
        <w:t xml:space="preserve"> weed seeds in the late 1990s. Nestling diet in the late 1990s constituted almost 70</w:t>
      </w:r>
      <w:r w:rsidR="009E54BD">
        <w:rPr>
          <w:rFonts w:eastAsia="MS Mincho"/>
          <w:sz w:val="20"/>
          <w:szCs w:val="22"/>
          <w:lang w:val="en-GB" w:eastAsia="ja-JP"/>
        </w:rPr>
        <w:t xml:space="preserve"> per cent</w:t>
      </w:r>
      <w:r w:rsidRPr="00C96521">
        <w:rPr>
          <w:rFonts w:eastAsia="MS Mincho"/>
          <w:sz w:val="20"/>
          <w:szCs w:val="22"/>
          <w:lang w:val="en-GB" w:eastAsia="ja-JP"/>
        </w:rPr>
        <w:t xml:space="preserve"> seeds from cultivated plants (wheat </w:t>
      </w:r>
      <w:r w:rsidRPr="00C96521">
        <w:rPr>
          <w:rFonts w:eastAsia="MS Mincho"/>
          <w:i/>
          <w:sz w:val="20"/>
          <w:szCs w:val="22"/>
          <w:lang w:val="en-GB" w:eastAsia="ja-JP"/>
        </w:rPr>
        <w:t>Triticum sp</w:t>
      </w:r>
      <w:r w:rsidRPr="00C96521">
        <w:rPr>
          <w:rFonts w:eastAsia="MS Mincho"/>
          <w:sz w:val="20"/>
          <w:szCs w:val="22"/>
          <w:lang w:val="en-GB" w:eastAsia="ja-JP"/>
        </w:rPr>
        <w:t xml:space="preserve"> and rape) and adult diet 60</w:t>
      </w:r>
      <w:r w:rsidR="009E54BD">
        <w:rPr>
          <w:rFonts w:eastAsia="MS Mincho"/>
          <w:sz w:val="20"/>
          <w:szCs w:val="22"/>
          <w:lang w:val="en-GB" w:eastAsia="ja-JP"/>
        </w:rPr>
        <w:t xml:space="preserve"> per cent</w:t>
      </w:r>
      <w:r w:rsidRPr="00C96521">
        <w:rPr>
          <w:rFonts w:eastAsia="MS Mincho"/>
          <w:sz w:val="20"/>
          <w:szCs w:val="22"/>
          <w:lang w:val="en-GB" w:eastAsia="ja-JP"/>
        </w:rPr>
        <w:t xml:space="preserve"> cultivated seeds. These figures contrast strongly with diet in the 1950s/</w:t>
      </w:r>
      <w:r w:rsidR="009E54BD">
        <w:rPr>
          <w:rFonts w:eastAsia="MS Mincho"/>
          <w:sz w:val="20"/>
          <w:szCs w:val="22"/>
          <w:lang w:val="en-GB" w:eastAsia="ja-JP"/>
        </w:rPr>
        <w:t>’</w:t>
      </w:r>
      <w:r w:rsidRPr="00C96521">
        <w:rPr>
          <w:rFonts w:eastAsia="MS Mincho"/>
          <w:sz w:val="20"/>
          <w:szCs w:val="22"/>
          <w:lang w:val="en-GB" w:eastAsia="ja-JP"/>
        </w:rPr>
        <w:t>60s where seeds from cultivation made up just 23</w:t>
      </w:r>
      <w:r w:rsidR="009E54BD">
        <w:rPr>
          <w:rFonts w:eastAsia="MS Mincho"/>
          <w:sz w:val="20"/>
          <w:szCs w:val="22"/>
          <w:lang w:val="en-GB" w:eastAsia="ja-JP"/>
        </w:rPr>
        <w:t xml:space="preserve"> per cent</w:t>
      </w:r>
      <w:r w:rsidRPr="00C96521">
        <w:rPr>
          <w:rFonts w:eastAsia="MS Mincho"/>
          <w:sz w:val="20"/>
          <w:szCs w:val="22"/>
          <w:lang w:val="en-GB" w:eastAsia="ja-JP"/>
        </w:rPr>
        <w:t xml:space="preserve"> and 5</w:t>
      </w:r>
      <w:r w:rsidR="009E54BD">
        <w:rPr>
          <w:rFonts w:eastAsia="MS Mincho"/>
          <w:sz w:val="20"/>
          <w:szCs w:val="22"/>
          <w:lang w:val="en-GB" w:eastAsia="ja-JP"/>
        </w:rPr>
        <w:t xml:space="preserve"> per cent</w:t>
      </w:r>
      <w:r w:rsidRPr="00C96521">
        <w:rPr>
          <w:rFonts w:eastAsia="MS Mincho"/>
          <w:sz w:val="20"/>
          <w:szCs w:val="22"/>
          <w:lang w:val="en-GB" w:eastAsia="ja-JP"/>
        </w:rPr>
        <w:t xml:space="preserve"> respectively of nestling and adult diets. In a study in eastern England, more than 75</w:t>
      </w:r>
      <w:r w:rsidR="009E54BD">
        <w:rPr>
          <w:rFonts w:eastAsia="MS Mincho"/>
          <w:sz w:val="20"/>
          <w:szCs w:val="22"/>
          <w:lang w:val="en-GB" w:eastAsia="ja-JP"/>
        </w:rPr>
        <w:t xml:space="preserve"> pre cent</w:t>
      </w:r>
      <w:r w:rsidRPr="00C96521">
        <w:rPr>
          <w:rFonts w:eastAsia="MS Mincho"/>
          <w:sz w:val="20"/>
          <w:szCs w:val="22"/>
          <w:lang w:val="en-GB" w:eastAsia="ja-JP"/>
        </w:rPr>
        <w:t xml:space="preserve"> turtle-dove territories were associated with residential areas, scrub, and woodland, with hedges use much less often than expected, based on their occurrence (Mason and Macdonald 2000). The study also found that grass was a strongly-preferred land-use. On set-aside, pigeons (</w:t>
      </w:r>
      <w:r w:rsidRPr="00C96521">
        <w:rPr>
          <w:rFonts w:eastAsia="MS Mincho"/>
          <w:i/>
          <w:sz w:val="20"/>
          <w:szCs w:val="22"/>
          <w:lang w:val="en-GB" w:eastAsia="ja-JP"/>
        </w:rPr>
        <w:t>Streptopelia</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xml:space="preserve"> and </w:t>
      </w:r>
      <w:r w:rsidRPr="00C96521">
        <w:rPr>
          <w:rFonts w:eastAsia="MS Mincho"/>
          <w:i/>
          <w:sz w:val="20"/>
          <w:szCs w:val="22"/>
          <w:lang w:val="en-GB" w:eastAsia="ja-JP"/>
        </w:rPr>
        <w:t>Columba</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xml:space="preserve">), were positively associated with bare ground during the breeding season, but the association was not statistically significant (Henderson and Evans 2000). Younger set-asides tended to have a mosaic of bare ground, straw, litter and vegetation cover. Pigeon abundance in summer was also found to be significantly higher on set-aside than on winter cereals, with highest abundances on rotational set-aside (Henderson </w:t>
      </w:r>
      <w:r w:rsidRPr="00C96521">
        <w:rPr>
          <w:rFonts w:eastAsia="MS Mincho"/>
          <w:i/>
          <w:sz w:val="20"/>
          <w:szCs w:val="22"/>
          <w:lang w:val="en-GB" w:eastAsia="ja-JP"/>
        </w:rPr>
        <w:t>et al</w:t>
      </w:r>
      <w:r w:rsidRPr="00C96521">
        <w:rPr>
          <w:rFonts w:eastAsia="MS Mincho"/>
          <w:sz w:val="20"/>
          <w:szCs w:val="22"/>
          <w:lang w:val="en-GB" w:eastAsia="ja-JP"/>
        </w:rPr>
        <w:t xml:space="preserve"> 2000).</w:t>
      </w:r>
    </w:p>
    <w:p w14:paraId="2CBEE21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1F4BCA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 xml:space="preserve">Estonia/Finland/Latvia/Lithuania </w:t>
      </w:r>
    </w:p>
    <w:p w14:paraId="14F68899"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50E309F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Habitat information is limited. However, in Latvia the species is known to use a mixture of agricultural and woodland habitats.</w:t>
      </w:r>
    </w:p>
    <w:p w14:paraId="3101D49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E44B35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Latvia,</w:t>
      </w:r>
      <w:r w:rsidRPr="00C96521">
        <w:rPr>
          <w:rFonts w:eastAsia="MS Mincho"/>
          <w:b/>
          <w:sz w:val="20"/>
          <w:szCs w:val="22"/>
          <w:lang w:val="en-GB" w:eastAsia="ja-JP"/>
        </w:rPr>
        <w:t xml:space="preserve"> </w:t>
      </w:r>
      <w:r w:rsidRPr="00C96521">
        <w:rPr>
          <w:rFonts w:eastAsia="MS Mincho"/>
          <w:sz w:val="20"/>
          <w:szCs w:val="22"/>
          <w:lang w:val="en-GB" w:eastAsia="ja-JP"/>
        </w:rPr>
        <w:t xml:space="preserve">the species has been recorded nesting mainly near fields and meadows in small mixed and deciduous woods, at the edges and in shrubs and saplings (Priednieks </w:t>
      </w:r>
      <w:r w:rsidRPr="00C96521">
        <w:rPr>
          <w:rFonts w:eastAsia="MS Mincho"/>
          <w:i/>
          <w:sz w:val="20"/>
          <w:szCs w:val="22"/>
          <w:lang w:val="en-GB" w:eastAsia="ja-JP"/>
        </w:rPr>
        <w:t>et al</w:t>
      </w:r>
      <w:r w:rsidRPr="00C96521">
        <w:rPr>
          <w:rFonts w:eastAsia="MS Mincho"/>
          <w:sz w:val="20"/>
          <w:szCs w:val="22"/>
          <w:lang w:val="en-GB" w:eastAsia="ja-JP"/>
        </w:rPr>
        <w:t xml:space="preserve"> 1989). The species was recorded at slightly higher densities in deciduous forests compared to mixed forests dominated by pine trees (Rouxel 2000). Highest densities in Lithuania have been reported from mixed forests with fir trees, while the species was found at lower densities in small stands of urban and agricultural areas (Rouxel 2000).</w:t>
      </w:r>
    </w:p>
    <w:p w14:paraId="1CA0E35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33DD55F"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Austria/Czech Republic/Hungary/Italy/Liechtenstein/Poland/Slovakia/Switzerland</w:t>
      </w:r>
    </w:p>
    <w:p w14:paraId="562F7EC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771F1C90" w14:textId="77777777" w:rsidR="00C96521" w:rsidRPr="00C96521" w:rsidRDefault="00C96521" w:rsidP="00C96521">
      <w:pPr>
        <w:widowControl/>
        <w:autoSpaceDE/>
        <w:autoSpaceDN/>
        <w:adjustRightInd/>
        <w:spacing w:line="276" w:lineRule="auto"/>
        <w:rPr>
          <w:rFonts w:eastAsia="MS Mincho"/>
          <w:i/>
          <w:color w:val="000000"/>
          <w:sz w:val="20"/>
          <w:szCs w:val="22"/>
          <w:lang w:val="en-GB" w:eastAsia="ja-JP"/>
        </w:rPr>
      </w:pPr>
      <w:r w:rsidRPr="00C96521">
        <w:rPr>
          <w:rFonts w:eastAsia="MS Mincho"/>
          <w:i/>
          <w:color w:val="000000"/>
          <w:sz w:val="20"/>
          <w:szCs w:val="22"/>
          <w:lang w:val="en-GB" w:eastAsia="ja-JP"/>
        </w:rPr>
        <w:t>Wooded areas are of importance for the species in this group of countries. The density of turtle-doves in forest habitats was twice that of farmland in Hungary; however, habitat occupancy was higher on farmland than in forest. In Italy and Poland, woodland patches are important.</w:t>
      </w:r>
    </w:p>
    <w:p w14:paraId="7F97A7B6" w14:textId="77777777" w:rsidR="00C96521" w:rsidRPr="00C96521" w:rsidRDefault="00C96521" w:rsidP="00C96521">
      <w:pPr>
        <w:widowControl/>
        <w:autoSpaceDE/>
        <w:autoSpaceDN/>
        <w:adjustRightInd/>
        <w:spacing w:line="276" w:lineRule="auto"/>
        <w:rPr>
          <w:rFonts w:eastAsia="MS Mincho"/>
          <w:color w:val="000000"/>
          <w:sz w:val="20"/>
          <w:szCs w:val="22"/>
          <w:lang w:val="en-GB" w:eastAsia="ja-JP"/>
        </w:rPr>
      </w:pPr>
    </w:p>
    <w:p w14:paraId="7809E46E" w14:textId="160F7AF4" w:rsidR="00C96521" w:rsidRPr="00C96521" w:rsidRDefault="00C96521" w:rsidP="00C96521">
      <w:pPr>
        <w:widowControl/>
        <w:autoSpaceDE/>
        <w:autoSpaceDN/>
        <w:adjustRightInd/>
        <w:spacing w:line="276" w:lineRule="auto"/>
        <w:rPr>
          <w:rFonts w:eastAsia="MS Mincho"/>
          <w:color w:val="000000"/>
          <w:sz w:val="20"/>
          <w:szCs w:val="22"/>
          <w:lang w:val="en-GB" w:eastAsia="ja-JP"/>
        </w:rPr>
      </w:pPr>
      <w:r w:rsidRPr="00C96521">
        <w:rPr>
          <w:rFonts w:eastAsia="MS Mincho"/>
          <w:color w:val="000000"/>
          <w:sz w:val="20"/>
          <w:szCs w:val="22"/>
          <w:lang w:val="en-GB" w:eastAsia="ja-JP"/>
        </w:rPr>
        <w:t xml:space="preserve">In Austria and the Czech Republic, </w:t>
      </w:r>
      <w:r w:rsidR="00A12C76">
        <w:rPr>
          <w:rFonts w:eastAsia="MS Mincho"/>
          <w:color w:val="000000"/>
          <w:sz w:val="20"/>
          <w:szCs w:val="22"/>
          <w:lang w:val="en-GB" w:eastAsia="ja-JP"/>
        </w:rPr>
        <w:t xml:space="preserve">the </w:t>
      </w:r>
      <w:r w:rsidR="00A12C76">
        <w:rPr>
          <w:rFonts w:eastAsia="MS Mincho" w:cs="Arial"/>
          <w:sz w:val="20"/>
          <w:szCs w:val="22"/>
          <w:lang w:val="en-GB" w:eastAsia="ja-JP"/>
        </w:rPr>
        <w:t>T</w:t>
      </w:r>
      <w:r w:rsidR="00A12C76" w:rsidRPr="00C96521">
        <w:rPr>
          <w:rFonts w:eastAsia="MS Mincho" w:cs="Arial"/>
          <w:sz w:val="20"/>
          <w:szCs w:val="22"/>
          <w:lang w:val="en-GB" w:eastAsia="ja-JP"/>
        </w:rPr>
        <w:t>urtle</w:t>
      </w:r>
      <w:r w:rsidR="00A12C76">
        <w:rPr>
          <w:rFonts w:eastAsia="MS Mincho" w:cs="Arial"/>
          <w:sz w:val="20"/>
          <w:szCs w:val="22"/>
          <w:lang w:val="en-GB" w:eastAsia="ja-JP"/>
        </w:rPr>
        <w:t xml:space="preserve"> D</w:t>
      </w:r>
      <w:r w:rsidR="00A12C76" w:rsidRPr="00C96521">
        <w:rPr>
          <w:rFonts w:eastAsia="MS Mincho" w:cs="Arial"/>
          <w:sz w:val="20"/>
          <w:szCs w:val="22"/>
          <w:lang w:val="en-GB" w:eastAsia="ja-JP"/>
        </w:rPr>
        <w:t>ove</w:t>
      </w:r>
      <w:r w:rsidRPr="00C96521">
        <w:rPr>
          <w:rFonts w:eastAsia="MS Mincho"/>
          <w:color w:val="000000"/>
          <w:sz w:val="20"/>
          <w:szCs w:val="22"/>
          <w:lang w:val="en-GB" w:eastAsia="ja-JP"/>
        </w:rPr>
        <w:t xml:space="preserve"> is considered a species of farmland (Reif </w:t>
      </w:r>
      <w:r w:rsidRPr="00C96521">
        <w:rPr>
          <w:rFonts w:eastAsia="MS Mincho"/>
          <w:i/>
          <w:color w:val="000000"/>
          <w:sz w:val="20"/>
          <w:szCs w:val="22"/>
          <w:lang w:val="en-GB" w:eastAsia="ja-JP"/>
        </w:rPr>
        <w:t>et al</w:t>
      </w:r>
      <w:r w:rsidRPr="00C96521">
        <w:rPr>
          <w:rFonts w:eastAsia="MS Mincho"/>
          <w:color w:val="000000"/>
          <w:sz w:val="20"/>
          <w:szCs w:val="22"/>
          <w:lang w:val="en-GB" w:eastAsia="ja-JP"/>
        </w:rPr>
        <w:t xml:space="preserve"> 2006, Teufelbauer and Frühauf 2010).</w:t>
      </w:r>
    </w:p>
    <w:p w14:paraId="2E8D3EC8" w14:textId="77777777" w:rsidR="00C96521" w:rsidRPr="00C96521" w:rsidRDefault="00C96521" w:rsidP="00C96521">
      <w:pPr>
        <w:widowControl/>
        <w:autoSpaceDE/>
        <w:autoSpaceDN/>
        <w:adjustRightInd/>
        <w:spacing w:line="276" w:lineRule="auto"/>
        <w:rPr>
          <w:rFonts w:eastAsia="MS Mincho"/>
          <w:color w:val="000000"/>
          <w:sz w:val="20"/>
          <w:szCs w:val="22"/>
          <w:lang w:val="en-GB" w:eastAsia="ja-JP"/>
        </w:rPr>
      </w:pPr>
    </w:p>
    <w:p w14:paraId="7BAE4B01" w14:textId="0C58125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olor w:val="000000"/>
          <w:sz w:val="20"/>
          <w:szCs w:val="22"/>
          <w:lang w:val="en-GB" w:eastAsia="ja-JP"/>
        </w:rPr>
        <w:t>In Hungary, the relative density of birds was 2.3 individuals/km</w:t>
      </w:r>
      <w:r w:rsidRPr="00C96521">
        <w:rPr>
          <w:rFonts w:eastAsia="MS Mincho"/>
          <w:color w:val="000000"/>
          <w:sz w:val="20"/>
          <w:szCs w:val="22"/>
          <w:vertAlign w:val="superscript"/>
          <w:lang w:val="en-GB" w:eastAsia="ja-JP"/>
        </w:rPr>
        <w:t>2</w:t>
      </w:r>
      <w:r w:rsidRPr="00C96521">
        <w:rPr>
          <w:rFonts w:eastAsia="MS Mincho"/>
          <w:color w:val="000000"/>
          <w:sz w:val="20"/>
          <w:szCs w:val="22"/>
          <w:lang w:val="en-GB" w:eastAsia="ja-JP"/>
        </w:rPr>
        <w:t xml:space="preserve"> for wetlands (standard error 0.6), 8.7 individuals/km</w:t>
      </w:r>
      <w:r w:rsidRPr="00C96521">
        <w:rPr>
          <w:rFonts w:eastAsia="MS Mincho"/>
          <w:color w:val="000000"/>
          <w:sz w:val="20"/>
          <w:szCs w:val="22"/>
          <w:vertAlign w:val="superscript"/>
          <w:lang w:val="en-GB" w:eastAsia="ja-JP"/>
        </w:rPr>
        <w:t>2</w:t>
      </w:r>
      <w:r w:rsidRPr="00C96521">
        <w:rPr>
          <w:rFonts w:eastAsia="MS Mincho"/>
          <w:color w:val="000000"/>
          <w:sz w:val="20"/>
          <w:szCs w:val="22"/>
          <w:lang w:val="en-GB" w:eastAsia="ja-JP"/>
        </w:rPr>
        <w:t xml:space="preserve"> for forests (standard error 0.3), 4.1 individuals/km</w:t>
      </w:r>
      <w:r w:rsidRPr="00C96521">
        <w:rPr>
          <w:rFonts w:eastAsia="MS Mincho"/>
          <w:color w:val="000000"/>
          <w:sz w:val="20"/>
          <w:szCs w:val="22"/>
          <w:vertAlign w:val="superscript"/>
          <w:lang w:val="en-GB" w:eastAsia="ja-JP"/>
        </w:rPr>
        <w:t>2</w:t>
      </w:r>
      <w:r w:rsidRPr="00C96521">
        <w:rPr>
          <w:rFonts w:eastAsia="MS Mincho"/>
          <w:color w:val="000000"/>
          <w:sz w:val="20"/>
          <w:szCs w:val="22"/>
          <w:lang w:val="en-GB" w:eastAsia="ja-JP"/>
        </w:rPr>
        <w:t xml:space="preserve"> for farmland (standard error 0.2) and 3.4 individuals/km</w:t>
      </w:r>
      <w:r w:rsidRPr="00C96521">
        <w:rPr>
          <w:rFonts w:eastAsia="MS Mincho"/>
          <w:color w:val="000000"/>
          <w:sz w:val="20"/>
          <w:szCs w:val="22"/>
          <w:vertAlign w:val="superscript"/>
          <w:lang w:val="en-GB" w:eastAsia="ja-JP"/>
        </w:rPr>
        <w:t>2</w:t>
      </w:r>
      <w:r w:rsidRPr="00C96521">
        <w:rPr>
          <w:rFonts w:eastAsia="MS Mincho"/>
          <w:color w:val="000000"/>
          <w:sz w:val="20"/>
          <w:szCs w:val="22"/>
          <w:lang w:val="en-GB" w:eastAsia="ja-JP"/>
        </w:rPr>
        <w:t xml:space="preserve"> for urban areas (standard error 1.3). Habitat occupancy was 56.6% for farmland, 37.8</w:t>
      </w:r>
      <w:r w:rsidR="00A12C76">
        <w:rPr>
          <w:rFonts w:eastAsia="MS Mincho"/>
          <w:color w:val="000000"/>
          <w:sz w:val="20"/>
          <w:szCs w:val="22"/>
          <w:lang w:val="en-GB" w:eastAsia="ja-JP"/>
        </w:rPr>
        <w:t xml:space="preserve"> per cent</w:t>
      </w:r>
      <w:r w:rsidRPr="00C96521">
        <w:rPr>
          <w:rFonts w:eastAsia="MS Mincho"/>
          <w:color w:val="000000"/>
          <w:sz w:val="20"/>
          <w:szCs w:val="22"/>
          <w:lang w:val="en-GB" w:eastAsia="ja-JP"/>
        </w:rPr>
        <w:t xml:space="preserve"> for forest, 4.0</w:t>
      </w:r>
      <w:r w:rsidR="00A12C76">
        <w:rPr>
          <w:rFonts w:eastAsia="MS Mincho"/>
          <w:color w:val="000000"/>
          <w:sz w:val="20"/>
          <w:szCs w:val="22"/>
          <w:lang w:val="en-GB" w:eastAsia="ja-JP"/>
        </w:rPr>
        <w:t xml:space="preserve"> per cent</w:t>
      </w:r>
      <w:r w:rsidRPr="00C96521">
        <w:rPr>
          <w:rFonts w:eastAsia="MS Mincho"/>
          <w:color w:val="000000"/>
          <w:sz w:val="20"/>
          <w:szCs w:val="22"/>
          <w:lang w:val="en-GB" w:eastAsia="ja-JP"/>
        </w:rPr>
        <w:t xml:space="preserve"> for urban areas, and 1.6</w:t>
      </w:r>
      <w:r w:rsidR="00A12C76">
        <w:rPr>
          <w:rFonts w:eastAsia="MS Mincho"/>
          <w:color w:val="000000"/>
          <w:sz w:val="20"/>
          <w:szCs w:val="22"/>
          <w:lang w:val="en-GB" w:eastAsia="ja-JP"/>
        </w:rPr>
        <w:t xml:space="preserve"> per cent</w:t>
      </w:r>
      <w:r w:rsidRPr="00C96521">
        <w:rPr>
          <w:rFonts w:eastAsia="MS Mincho"/>
          <w:color w:val="000000"/>
          <w:sz w:val="20"/>
          <w:szCs w:val="22"/>
          <w:lang w:val="en-GB" w:eastAsia="ja-JP"/>
        </w:rPr>
        <w:t xml:space="preserve"> for wetlands. (Szep </w:t>
      </w:r>
      <w:r w:rsidRPr="00C96521">
        <w:rPr>
          <w:rFonts w:eastAsia="MS Mincho"/>
          <w:i/>
          <w:color w:val="000000"/>
          <w:sz w:val="20"/>
          <w:szCs w:val="22"/>
          <w:lang w:val="en-GB" w:eastAsia="ja-JP"/>
        </w:rPr>
        <w:t>et al</w:t>
      </w:r>
      <w:r w:rsidRPr="00C96521">
        <w:rPr>
          <w:rFonts w:eastAsia="MS Mincho"/>
          <w:color w:val="000000"/>
          <w:sz w:val="20"/>
          <w:szCs w:val="22"/>
          <w:lang w:val="en-GB" w:eastAsia="ja-JP"/>
        </w:rPr>
        <w:t xml:space="preserve"> 2012).</w:t>
      </w:r>
      <w:r w:rsidRPr="00C96521">
        <w:rPr>
          <w:rFonts w:eastAsia="MS Mincho"/>
          <w:sz w:val="20"/>
          <w:szCs w:val="22"/>
          <w:lang w:val="en-GB" w:eastAsia="ja-JP"/>
        </w:rPr>
        <w:t xml:space="preserve"> At least 60,000 individuals were found roosting in an oak plantation in eastern Hungary in 1987 (Attila Bankovics </w:t>
      </w:r>
      <w:r w:rsidRPr="00C96521">
        <w:rPr>
          <w:rFonts w:eastAsia="MS Mincho"/>
          <w:i/>
          <w:sz w:val="20"/>
          <w:szCs w:val="22"/>
          <w:lang w:val="en-GB" w:eastAsia="ja-JP"/>
        </w:rPr>
        <w:t>pers comm</w:t>
      </w:r>
      <w:r w:rsidRPr="00C96521">
        <w:rPr>
          <w:rFonts w:eastAsia="MS Mincho"/>
          <w:sz w:val="20"/>
          <w:szCs w:val="22"/>
          <w:lang w:val="en-GB" w:eastAsia="ja-JP"/>
        </w:rPr>
        <w:t>).</w:t>
      </w:r>
    </w:p>
    <w:p w14:paraId="6880691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14C576C"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Italy, the species is described as using various types of open wooded areas (IUCN Comitato Italiano 2012). Its breeding habitat is cultivated areas with hedges and trees in proximity to watercourses. The greatest densities were found in hilly areas where fields under cultivation (wheat and sunflowers) were </w:t>
      </w:r>
      <w:r w:rsidRPr="00C96521">
        <w:rPr>
          <w:rFonts w:eastAsia="MS Mincho"/>
          <w:sz w:val="20"/>
          <w:szCs w:val="22"/>
          <w:lang w:val="en-GB" w:eastAsia="ja-JP"/>
        </w:rPr>
        <w:lastRenderedPageBreak/>
        <w:t>interspersed with groves of locust (</w:t>
      </w:r>
      <w:r w:rsidRPr="00C96521">
        <w:rPr>
          <w:rFonts w:eastAsia="MS Mincho"/>
          <w:i/>
          <w:sz w:val="20"/>
          <w:szCs w:val="22"/>
          <w:lang w:val="en-GB" w:eastAsia="ja-JP"/>
        </w:rPr>
        <w:t>Parkia biglobosa</w:t>
      </w:r>
      <w:r w:rsidRPr="00C96521">
        <w:rPr>
          <w:rFonts w:eastAsia="MS Mincho"/>
          <w:sz w:val="20"/>
          <w:szCs w:val="22"/>
          <w:lang w:val="en-GB" w:eastAsia="ja-JP"/>
        </w:rPr>
        <w:t>), elm (</w:t>
      </w:r>
      <w:r w:rsidRPr="00C96521">
        <w:rPr>
          <w:rFonts w:eastAsia="MS Mincho"/>
          <w:i/>
          <w:sz w:val="20"/>
          <w:szCs w:val="22"/>
          <w:lang w:val="en-GB" w:eastAsia="ja-JP"/>
        </w:rPr>
        <w:t>Ulnus sp</w:t>
      </w:r>
      <w:r w:rsidRPr="00C96521">
        <w:rPr>
          <w:rFonts w:eastAsia="MS Mincho"/>
          <w:sz w:val="20"/>
          <w:szCs w:val="22"/>
          <w:lang w:val="en-GB" w:eastAsia="ja-JP"/>
        </w:rPr>
        <w:t>) and oak trees as well as bramble hedges or in riverside habitats with natural vegetation (Meschini and Frugis 1993). The species was considered to be a forest species in an analysis of bird communities in central Italy and was not found in habitat fragments smaller than 10ha (Frank and Battisti 2005).</w:t>
      </w:r>
    </w:p>
    <w:p w14:paraId="08C2895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A1B0CBF" w14:textId="145E8F5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w:t>
      </w:r>
      <w:r w:rsidR="00A12C76" w:rsidRPr="00C96521">
        <w:rPr>
          <w:rFonts w:eastAsia="MS Mincho"/>
          <w:sz w:val="20"/>
          <w:szCs w:val="22"/>
          <w:lang w:val="en-GB" w:eastAsia="ja-JP"/>
        </w:rPr>
        <w:t>Poland,</w:t>
      </w:r>
      <w:r w:rsidRPr="00C96521">
        <w:rPr>
          <w:rFonts w:eastAsia="MS Mincho"/>
          <w:sz w:val="20"/>
          <w:szCs w:val="22"/>
          <w:lang w:val="en-GB" w:eastAsia="ja-JP"/>
        </w:rPr>
        <w:t xml:space="preserve"> the species inhabits wooded areas: field copses, small woodland patches, plantations, parks, orchards, lines of trees, forest edges and suburban areas with trees (Sikora </w:t>
      </w:r>
      <w:r w:rsidRPr="00C96521">
        <w:rPr>
          <w:rFonts w:eastAsia="MS Mincho"/>
          <w:i/>
          <w:sz w:val="20"/>
          <w:szCs w:val="22"/>
          <w:lang w:val="en-GB" w:eastAsia="ja-JP"/>
        </w:rPr>
        <w:t>et al</w:t>
      </w:r>
      <w:r w:rsidRPr="00C96521">
        <w:rPr>
          <w:rFonts w:eastAsia="MS Mincho"/>
          <w:sz w:val="20"/>
          <w:szCs w:val="22"/>
          <w:lang w:val="en-GB" w:eastAsia="ja-JP"/>
        </w:rPr>
        <w:t xml:space="preserve"> 2007). It shows a preference for younger deciduous or mixed stands with rich, dense under-storey vegetation.</w:t>
      </w:r>
    </w:p>
    <w:p w14:paraId="6AC4BBD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8666F9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Albania, Bosnia and Herzegovina, Croatia, Greece, Kosovo, Macedonia FYR, Montenegro, Serbia, Slovenia</w:t>
      </w:r>
    </w:p>
    <w:p w14:paraId="2CD3908E"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4B5D60DE" w14:textId="6FDB3FB2"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In Croatia, the turtle-dove is most abundant in sub-</w:t>
      </w:r>
      <w:r w:rsidR="00A12C76" w:rsidRPr="00C96521">
        <w:rPr>
          <w:rFonts w:eastAsia="MS Mincho"/>
          <w:i/>
          <w:sz w:val="20"/>
          <w:szCs w:val="22"/>
          <w:lang w:val="en-GB" w:eastAsia="ja-JP"/>
        </w:rPr>
        <w:t>Mediterranean</w:t>
      </w:r>
      <w:r w:rsidRPr="00C96521">
        <w:rPr>
          <w:rFonts w:eastAsia="MS Mincho"/>
          <w:i/>
          <w:sz w:val="20"/>
          <w:szCs w:val="22"/>
          <w:lang w:val="en-GB" w:eastAsia="ja-JP"/>
        </w:rPr>
        <w:t xml:space="preserve"> degraded forests, in Greece the species breeds in a range of habitats, and in Slovenia it inhabits a mosaic of agricultural landscapes.</w:t>
      </w:r>
    </w:p>
    <w:p w14:paraId="5859F0D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D79AA9F" w14:textId="3AD9B7C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coastal Croatia, the species is most abundant in sub-</w:t>
      </w:r>
      <w:r w:rsidR="00A12C76" w:rsidRPr="00C96521">
        <w:rPr>
          <w:rFonts w:eastAsia="MS Mincho"/>
          <w:sz w:val="20"/>
          <w:szCs w:val="22"/>
          <w:lang w:val="en-GB" w:eastAsia="ja-JP"/>
        </w:rPr>
        <w:t>Mediterranean</w:t>
      </w:r>
      <w:r w:rsidRPr="00C96521">
        <w:rPr>
          <w:rFonts w:eastAsia="MS Mincho"/>
          <w:sz w:val="20"/>
          <w:szCs w:val="22"/>
          <w:lang w:val="en-GB" w:eastAsia="ja-JP"/>
        </w:rPr>
        <w:t xml:space="preserve"> degraded forests of oriental hornbeam (</w:t>
      </w:r>
      <w:r w:rsidRPr="00C96521">
        <w:rPr>
          <w:rFonts w:eastAsia="MS Mincho"/>
          <w:i/>
          <w:sz w:val="20"/>
          <w:szCs w:val="22"/>
          <w:lang w:val="en-GB" w:eastAsia="ja-JP"/>
        </w:rPr>
        <w:t>Carpinus orientalis</w:t>
      </w:r>
      <w:r w:rsidRPr="00C96521">
        <w:rPr>
          <w:rFonts w:eastAsia="MS Mincho"/>
          <w:sz w:val="20"/>
          <w:szCs w:val="22"/>
          <w:lang w:val="en-GB" w:eastAsia="ja-JP"/>
        </w:rPr>
        <w:t>) and downy oak (</w:t>
      </w:r>
      <w:r w:rsidRPr="00C96521">
        <w:rPr>
          <w:rFonts w:eastAsia="MS Mincho"/>
          <w:i/>
          <w:sz w:val="20"/>
          <w:szCs w:val="22"/>
          <w:lang w:val="en-GB" w:eastAsia="ja-JP"/>
        </w:rPr>
        <w:t>Quercus pubescens</w:t>
      </w:r>
      <w:r w:rsidRPr="00C96521">
        <w:rPr>
          <w:rFonts w:eastAsia="MS Mincho"/>
          <w:sz w:val="20"/>
          <w:szCs w:val="22"/>
          <w:lang w:val="en-GB" w:eastAsia="ja-JP"/>
        </w:rPr>
        <w:t>) (Rucner 1998). It is less numerous in eumediterranean degraded forests of holm oak and Aleppo pine. According to Rucner (1988) and unpublished data (</w:t>
      </w:r>
      <w:r w:rsidRPr="00C96521">
        <w:rPr>
          <w:rFonts w:cs="Arial"/>
          <w:sz w:val="20"/>
          <w:szCs w:val="20"/>
          <w:lang w:val="en-GB" w:eastAsia="en-GB"/>
        </w:rPr>
        <w:t>Institute of Ornithology CASA</w:t>
      </w:r>
      <w:r w:rsidRPr="00C96521">
        <w:rPr>
          <w:rFonts w:eastAsia="MS Mincho"/>
          <w:sz w:val="20"/>
          <w:szCs w:val="22"/>
          <w:lang w:val="en-GB" w:eastAsia="ja-JP"/>
        </w:rPr>
        <w:t xml:space="preserve">) it is also numerous in riverine forests throughout the country. Fifty years ago, it was the second most numerous species in riverine forests of Eastern Croatia (Rucner and Rucner 1972). Quantitative data (based on 39 1-km-long transects conducted by the </w:t>
      </w:r>
      <w:r w:rsidRPr="00C96521">
        <w:rPr>
          <w:rFonts w:cs="Arial"/>
          <w:sz w:val="20"/>
          <w:szCs w:val="20"/>
          <w:lang w:val="en-GB" w:eastAsia="en-GB"/>
        </w:rPr>
        <w:t>Institute of Ornithology CASA</w:t>
      </w:r>
      <w:r w:rsidRPr="00C96521">
        <w:rPr>
          <w:rFonts w:eastAsia="MS Mincho"/>
          <w:sz w:val="20"/>
          <w:szCs w:val="22"/>
          <w:lang w:val="en-GB" w:eastAsia="ja-JP"/>
        </w:rPr>
        <w:t>) for agricultural habitats in Northern Dalmatia show that turtle-dove densities are highest in traditional agricultural mosaics with low or moderate degrees of succession (13.8 individuals/km</w:t>
      </w:r>
      <w:r w:rsidRPr="00C96521">
        <w:rPr>
          <w:rFonts w:eastAsia="MS Mincho"/>
          <w:sz w:val="20"/>
          <w:szCs w:val="22"/>
          <w:vertAlign w:val="superscript"/>
          <w:lang w:val="en-GB" w:eastAsia="ja-JP"/>
        </w:rPr>
        <w:t>2</w:t>
      </w:r>
      <w:r w:rsidRPr="00C96521">
        <w:rPr>
          <w:rFonts w:eastAsia="MS Mincho"/>
          <w:sz w:val="20"/>
          <w:szCs w:val="22"/>
          <w:lang w:val="en-GB" w:eastAsia="ja-JP"/>
        </w:rPr>
        <w:t>), lowest in intensive agriculture with or without linear tree groves (2.8 individuals/km</w:t>
      </w:r>
      <w:r w:rsidRPr="00C96521">
        <w:rPr>
          <w:rFonts w:eastAsia="MS Mincho"/>
          <w:sz w:val="20"/>
          <w:szCs w:val="22"/>
          <w:vertAlign w:val="superscript"/>
          <w:lang w:val="en-GB" w:eastAsia="ja-JP"/>
        </w:rPr>
        <w:t>2</w:t>
      </w:r>
      <w:r w:rsidRPr="00C96521">
        <w:rPr>
          <w:rFonts w:eastAsia="MS Mincho"/>
          <w:sz w:val="20"/>
          <w:szCs w:val="22"/>
          <w:lang w:val="en-GB" w:eastAsia="ja-JP"/>
        </w:rPr>
        <w:t>) and medium in rocky pastures of moderate or pronounced succession (5 individuals/km</w:t>
      </w:r>
      <w:r w:rsidRPr="00C96521">
        <w:rPr>
          <w:rFonts w:eastAsia="MS Mincho"/>
          <w:sz w:val="20"/>
          <w:szCs w:val="22"/>
          <w:vertAlign w:val="superscript"/>
          <w:lang w:val="en-GB" w:eastAsia="ja-JP"/>
        </w:rPr>
        <w:t>2</w:t>
      </w:r>
      <w:r w:rsidRPr="00C96521">
        <w:rPr>
          <w:rFonts w:eastAsia="MS Mincho"/>
          <w:sz w:val="20"/>
          <w:szCs w:val="22"/>
          <w:lang w:val="en-GB" w:eastAsia="ja-JP"/>
        </w:rPr>
        <w:t>).</w:t>
      </w:r>
    </w:p>
    <w:p w14:paraId="0F935DE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386D724" w14:textId="7216756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north-eastern Greece, the species breeds in various habitat types, such as forests, agricultural land with hedgerows, and forest-grassland edges. Optimum breeding habitats are middle-aged conifer stands with low percentage cover in understory (Bakaloudis </w:t>
      </w:r>
      <w:r w:rsidRPr="00C96521">
        <w:rPr>
          <w:rFonts w:eastAsia="MS Mincho"/>
          <w:i/>
          <w:sz w:val="20"/>
          <w:szCs w:val="22"/>
          <w:lang w:val="en-GB" w:eastAsia="ja-JP"/>
        </w:rPr>
        <w:t>et al</w:t>
      </w:r>
      <w:r w:rsidRPr="00C96521">
        <w:rPr>
          <w:rFonts w:eastAsia="MS Mincho"/>
          <w:sz w:val="20"/>
          <w:szCs w:val="22"/>
          <w:lang w:val="en-GB" w:eastAsia="ja-JP"/>
        </w:rPr>
        <w:t xml:space="preserve"> 2009). In parts of central Greece, it breeds in high densities in hilly areas covered by shrubs and garigue (a low open scrubland with many evergreen shrubs, low trees, aromatic herbs, and bunchgrasses found in poor or dry soil in the Mediterranean region) (Dimitris Bakaloudis </w:t>
      </w:r>
      <w:r w:rsidRPr="00C96521">
        <w:rPr>
          <w:rFonts w:eastAsia="MS Mincho"/>
          <w:i/>
          <w:sz w:val="20"/>
          <w:szCs w:val="22"/>
          <w:lang w:val="en-GB" w:eastAsia="ja-JP"/>
        </w:rPr>
        <w:t>pers comm</w:t>
      </w:r>
      <w:r w:rsidRPr="00C96521">
        <w:rPr>
          <w:rFonts w:eastAsia="MS Mincho"/>
          <w:sz w:val="20"/>
          <w:szCs w:val="22"/>
          <w:lang w:val="en-GB" w:eastAsia="ja-JP"/>
        </w:rPr>
        <w:t>).</w:t>
      </w:r>
    </w:p>
    <w:p w14:paraId="06F8409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CD2C9C0" w14:textId="7AFD47C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Slovenia, the species inhabits a mosaic of agricultural landscapes and woodland across much of the country up to </w:t>
      </w:r>
      <w:r w:rsidR="006437E1">
        <w:rPr>
          <w:rFonts w:eastAsia="MS Mincho"/>
          <w:sz w:val="20"/>
          <w:szCs w:val="22"/>
          <w:lang w:val="en-GB" w:eastAsia="ja-JP"/>
        </w:rPr>
        <w:t xml:space="preserve">altitudes </w:t>
      </w:r>
      <w:r w:rsidRPr="00C96521">
        <w:rPr>
          <w:rFonts w:eastAsia="MS Mincho"/>
          <w:sz w:val="20"/>
          <w:szCs w:val="22"/>
          <w:lang w:val="en-GB" w:eastAsia="ja-JP"/>
        </w:rPr>
        <w:t xml:space="preserve">500m (Mihelič 2013, </w:t>
      </w:r>
      <w:r w:rsidRPr="00C96521">
        <w:rPr>
          <w:rFonts w:eastAsia="MS Mincho" w:cs="Arial"/>
          <w:sz w:val="20"/>
          <w:lang w:val="en-GB" w:eastAsia="ja-JP"/>
        </w:rPr>
        <w:t>Denac and Kmecl 2014</w:t>
      </w:r>
      <w:r w:rsidRPr="00C96521">
        <w:rPr>
          <w:rFonts w:eastAsia="MS Mincho"/>
          <w:sz w:val="20"/>
          <w:szCs w:val="22"/>
          <w:lang w:val="en-GB" w:eastAsia="ja-JP"/>
        </w:rPr>
        <w:t>).</w:t>
      </w:r>
    </w:p>
    <w:p w14:paraId="3D92D65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535B0BB" w14:textId="76DD2AA6"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Armenia, Azerbaijan, Belarus, Bulgaria, Cyprus, Georgia, Moldova, Romania, Russia</w:t>
      </w:r>
      <w:r w:rsidR="00A12C76">
        <w:rPr>
          <w:rFonts w:eastAsia="MS Mincho"/>
          <w:b/>
          <w:sz w:val="20"/>
          <w:szCs w:val="22"/>
          <w:lang w:val="en-GB" w:eastAsia="ja-JP"/>
        </w:rPr>
        <w:t>n Federation</w:t>
      </w:r>
      <w:r w:rsidRPr="00C96521">
        <w:rPr>
          <w:rFonts w:eastAsia="MS Mincho"/>
          <w:b/>
          <w:sz w:val="20"/>
          <w:szCs w:val="22"/>
          <w:lang w:val="en-GB" w:eastAsia="ja-JP"/>
        </w:rPr>
        <w:t xml:space="preserve">, Turkey, Ukraine </w:t>
      </w:r>
    </w:p>
    <w:p w14:paraId="37C9C9B4"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534BDB13"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Woodland habitats appear to be of high importance for the species.</w:t>
      </w:r>
    </w:p>
    <w:p w14:paraId="20205C31"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147D9A0C" w14:textId="15D9F74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Armenia, the species uses open woodland, orchards and weedy fields (Adamian and Klem 1997). In Bulgaria, the species is found at highest densities in forested areas or areas with a mosaic of trees and bushes near to open areas (Iankov 2007). In </w:t>
      </w:r>
      <w:r w:rsidR="00A12C76" w:rsidRPr="00C96521">
        <w:rPr>
          <w:rFonts w:eastAsia="MS Mincho"/>
          <w:sz w:val="20"/>
          <w:szCs w:val="22"/>
          <w:lang w:val="en-GB" w:eastAsia="ja-JP"/>
        </w:rPr>
        <w:t>Cyprus,</w:t>
      </w:r>
      <w:r w:rsidRPr="00C96521">
        <w:rPr>
          <w:rFonts w:eastAsia="MS Mincho"/>
          <w:sz w:val="20"/>
          <w:szCs w:val="22"/>
          <w:lang w:val="en-GB" w:eastAsia="ja-JP"/>
        </w:rPr>
        <w:t xml:space="preserve"> the species nests in pine forest and lightly wooded areas at all altitudes (Flint and Stewart 1992). In Moldova, the species nests in forests, forest belts, and parks (Munteanu and Zubcov 2010). In Romania, the species nests in both the lowlands and uplands where it uses deciduous and coniferous forests respectively (Petrovici 2015). However, it shows a preference for lowland forests near farmland.</w:t>
      </w:r>
    </w:p>
    <w:p w14:paraId="318B747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DFF8BE3" w14:textId="68CC130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the countries of the former USSR, the species was reported to use deciduous and mixed forests (less common in coniferous forest), forest steppe, steppe, desert zones, urban areas, and river valleys (Flint </w:t>
      </w:r>
      <w:r w:rsidRPr="00C96521">
        <w:rPr>
          <w:rFonts w:eastAsia="MS Mincho"/>
          <w:i/>
          <w:sz w:val="20"/>
          <w:szCs w:val="22"/>
          <w:lang w:val="en-GB" w:eastAsia="ja-JP"/>
        </w:rPr>
        <w:t>et al</w:t>
      </w:r>
      <w:r w:rsidRPr="00C96521">
        <w:rPr>
          <w:rFonts w:eastAsia="MS Mincho"/>
          <w:sz w:val="20"/>
          <w:szCs w:val="22"/>
          <w:lang w:val="en-GB" w:eastAsia="ja-JP"/>
        </w:rPr>
        <w:t xml:space="preserve"> 1984). In Kaliningrad, the optimal habitat for the species is deciduous forest and mixed stands with fir trees (Rouxel 2000). In highly urbanized parts of </w:t>
      </w:r>
      <w:r w:rsidR="00A12C76">
        <w:rPr>
          <w:rFonts w:eastAsia="MS Mincho"/>
          <w:sz w:val="20"/>
          <w:szCs w:val="22"/>
          <w:lang w:val="en-GB" w:eastAsia="ja-JP"/>
        </w:rPr>
        <w:t xml:space="preserve">the </w:t>
      </w:r>
      <w:r w:rsidRPr="00C96521">
        <w:rPr>
          <w:rFonts w:eastAsia="MS Mincho"/>
          <w:sz w:val="20"/>
          <w:szCs w:val="22"/>
          <w:lang w:val="en-GB" w:eastAsia="ja-JP"/>
        </w:rPr>
        <w:t xml:space="preserve">Russia </w:t>
      </w:r>
      <w:r w:rsidR="00A12C76">
        <w:rPr>
          <w:rFonts w:eastAsia="MS Mincho"/>
          <w:sz w:val="20"/>
          <w:szCs w:val="22"/>
          <w:lang w:val="en-GB" w:eastAsia="ja-JP"/>
        </w:rPr>
        <w:t>Federation,</w:t>
      </w:r>
      <w:r w:rsidR="006437E1">
        <w:rPr>
          <w:rFonts w:eastAsia="MS Mincho"/>
          <w:sz w:val="20"/>
          <w:szCs w:val="22"/>
          <w:lang w:val="en-GB" w:eastAsia="ja-JP"/>
        </w:rPr>
        <w:t xml:space="preserve"> </w:t>
      </w:r>
      <w:r w:rsidRPr="00C96521">
        <w:rPr>
          <w:rFonts w:eastAsia="MS Mincho"/>
          <w:sz w:val="20"/>
          <w:szCs w:val="22"/>
          <w:lang w:val="en-GB" w:eastAsia="ja-JP"/>
        </w:rPr>
        <w:t xml:space="preserve">the species is found at much lower densities than in natural habitats (Rouxel 2000). In central Russia, the species uses oak woodland </w:t>
      </w:r>
      <w:r w:rsidRPr="00C96521">
        <w:rPr>
          <w:rFonts w:eastAsia="MS Mincho"/>
          <w:sz w:val="20"/>
          <w:szCs w:val="22"/>
          <w:lang w:val="en-GB" w:eastAsia="ja-JP"/>
        </w:rPr>
        <w:lastRenderedPageBreak/>
        <w:t>adjacent to regularly-flooded areas, always preferring deciduous or mixed woodland over pure coniferous stands, although it will use pine forest (Rouxel 2000). In the Ural mountains it nests in deciduous forest and shrubs. In the south of European Russia (the steppe zone), the turtle-dove inhabits shelter belts, woodland sites and gardens among the cereal crops. It does not show a preference for any type of woodland and tree species for nesting, but prefers mosaic landscapes and avoids continuous forests (Belik 2005, 2014).</w:t>
      </w:r>
    </w:p>
    <w:p w14:paraId="5FA6661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DA69BE1"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Turkey, the species is described as a generally widespread and common summer visitor to wooded and agricultural areas (Kirwan </w:t>
      </w:r>
      <w:r w:rsidRPr="00C96521">
        <w:rPr>
          <w:rFonts w:eastAsia="MS Mincho"/>
          <w:i/>
          <w:sz w:val="20"/>
          <w:szCs w:val="22"/>
          <w:lang w:val="en-GB" w:eastAsia="ja-JP"/>
        </w:rPr>
        <w:t>et al</w:t>
      </w:r>
      <w:r w:rsidRPr="00C96521">
        <w:rPr>
          <w:rFonts w:eastAsia="MS Mincho"/>
          <w:sz w:val="20"/>
          <w:szCs w:val="22"/>
          <w:lang w:val="en-GB" w:eastAsia="ja-JP"/>
        </w:rPr>
        <w:t xml:space="preserve"> 2008). It breeds in areas with trees, hedges and taller bushes, both in agricultural areas (including orchards and olive groves) and natural areas (including woodland and woodland edges). </w:t>
      </w:r>
    </w:p>
    <w:p w14:paraId="4BB6CA5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E7CA5D9"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0" w:name="_Toc478646905"/>
      <w:r w:rsidRPr="00C96521">
        <w:rPr>
          <w:rFonts w:ascii="Cambria" w:eastAsia="MS Gothic" w:hAnsi="Cambria"/>
          <w:b/>
          <w:bCs/>
          <w:color w:val="4F81BD"/>
          <w:sz w:val="26"/>
          <w:szCs w:val="26"/>
          <w:lang w:val="en-GB" w:eastAsia="ja-JP"/>
        </w:rPr>
        <w:t>Survival and productivity</w:t>
      </w:r>
      <w:bookmarkEnd w:id="20"/>
    </w:p>
    <w:p w14:paraId="4EF34B8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6A63244"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As a general rule, two to three clutches of two eggs each are laid between May and July in the north (Browne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2005). In Spain, the breeding season begins mid-April and lasts until the end of August (Rocha and Hidalgo 2002a). In Portugal, data from 1993-2004 also show that in some regions breeding lasts until the last week of August (Dias 2016). In Cyprus, active nests are found from the beginning of May until August (Nicos Kassinis </w:t>
      </w:r>
      <w:r w:rsidRPr="00C96521">
        <w:rPr>
          <w:rFonts w:eastAsia="MS Mincho" w:cs="Arial"/>
          <w:i/>
          <w:sz w:val="20"/>
          <w:szCs w:val="22"/>
          <w:lang w:val="en-GB" w:eastAsia="ja-JP"/>
        </w:rPr>
        <w:t>unpublished</w:t>
      </w:r>
      <w:r w:rsidRPr="00C96521">
        <w:rPr>
          <w:rFonts w:eastAsia="MS Mincho" w:cs="Arial"/>
          <w:sz w:val="20"/>
          <w:szCs w:val="22"/>
          <w:lang w:val="en-GB" w:eastAsia="ja-JP"/>
        </w:rPr>
        <w:t>). In the south of Russia, the species typically lays one clutch per year while in northern Russia, Ukraine and Belarus it lays two (Rouxel 2000). In Kazakhstan it can have up to three clutches. In Morocco, the first birds arrive in the Tadla area (central Morocco) in the third week of March and egg laying begins in the first two weeks of April (Hanane 2011).</w:t>
      </w:r>
    </w:p>
    <w:p w14:paraId="10E356F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C8AEECE" w14:textId="7572C81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The </w:t>
      </w:r>
      <w:r w:rsidR="00A12C76">
        <w:rPr>
          <w:rFonts w:eastAsia="MS Mincho" w:cs="Arial"/>
          <w:sz w:val="20"/>
          <w:szCs w:val="22"/>
          <w:lang w:val="en-GB" w:eastAsia="ja-JP"/>
        </w:rPr>
        <w:t>T</w:t>
      </w:r>
      <w:r w:rsidR="00A12C76" w:rsidRPr="00C96521">
        <w:rPr>
          <w:rFonts w:eastAsia="MS Mincho" w:cs="Arial"/>
          <w:sz w:val="20"/>
          <w:szCs w:val="22"/>
          <w:lang w:val="en-GB" w:eastAsia="ja-JP"/>
        </w:rPr>
        <w:t>urtle</w:t>
      </w:r>
      <w:r w:rsidR="00A12C76">
        <w:rPr>
          <w:rFonts w:eastAsia="MS Mincho" w:cs="Arial"/>
          <w:sz w:val="20"/>
          <w:szCs w:val="22"/>
          <w:lang w:val="en-GB" w:eastAsia="ja-JP"/>
        </w:rPr>
        <w:t xml:space="preserve"> D</w:t>
      </w:r>
      <w:r w:rsidR="00A12C76" w:rsidRPr="00C96521">
        <w:rPr>
          <w:rFonts w:eastAsia="MS Mincho" w:cs="Arial"/>
          <w:sz w:val="20"/>
          <w:szCs w:val="22"/>
          <w:lang w:val="en-GB" w:eastAsia="ja-JP"/>
        </w:rPr>
        <w:t xml:space="preserve">ove </w:t>
      </w:r>
      <w:r w:rsidRPr="00C96521">
        <w:rPr>
          <w:rFonts w:eastAsia="MS Mincho" w:cs="Arial"/>
          <w:sz w:val="20"/>
          <w:szCs w:val="22"/>
          <w:lang w:val="en-GB" w:eastAsia="ja-JP"/>
        </w:rPr>
        <w:t>is able to reproduce in its second year, and the maximum lifespan for a bird in the wild is estimated as 20 years (Glutz von Blotzheim 1980). The average lifespan is two years and annual survival 50</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(Robinson 2016). The maximum age recorded from ringing is 13 years and two months for a Dutch turtle-dove that was reported shot, followed by a bird from Great Britain and Ireland, shot at age &gt;12 years and 11 months (Fransson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2010). Survival rates may show important variations from year to year (average survival probability for birds in a French population 0.51 ± 0.15 with values ranging from 0.29 ± 0.18 to 0.99 ± 0.002)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In the UK, the annual survival rate of adult turtle-doves was 0.62 during periods of stable population trends and 0.53 when trends were declining (Siriwardena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2000). For first-year birds, annual survival was 0.222 when trends were stable and 0.19 when trends were decreasing. </w:t>
      </w:r>
    </w:p>
    <w:p w14:paraId="78F848D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80EA762" w14:textId="71F43220"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Spain, the percentage of nests successfully producing young reaches 53</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in Extremadura and 36-58</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in the area of Madrid (Rocha and Hidalgo 2002a). Breeding success in France is roughly estimated at an average of 53</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with a range of 37-66</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(ONCFS </w:t>
      </w:r>
      <w:r w:rsidRPr="00C96521">
        <w:rPr>
          <w:rFonts w:eastAsia="MS Mincho" w:cs="Arial"/>
          <w:i/>
          <w:sz w:val="20"/>
          <w:szCs w:val="22"/>
          <w:lang w:val="en-GB" w:eastAsia="ja-JP"/>
        </w:rPr>
        <w:t>pers comm</w:t>
      </w:r>
      <w:r w:rsidRPr="00C96521">
        <w:rPr>
          <w:rFonts w:eastAsia="MS Mincho" w:cs="Arial"/>
          <w:sz w:val="20"/>
          <w:szCs w:val="22"/>
          <w:lang w:val="en-GB" w:eastAsia="ja-JP"/>
        </w:rPr>
        <w:t>).</w:t>
      </w:r>
      <w:r w:rsidRPr="00C96521" w:rsidDel="0050394C">
        <w:rPr>
          <w:rFonts w:eastAsia="MS Mincho" w:cs="Arial"/>
          <w:sz w:val="20"/>
          <w:szCs w:val="22"/>
          <w:lang w:val="en-GB" w:eastAsia="ja-JP"/>
        </w:rPr>
        <w:t xml:space="preserve"> </w:t>
      </w:r>
      <w:r w:rsidRPr="00C96521">
        <w:rPr>
          <w:rFonts w:eastAsia="MS Mincho" w:cs="Arial"/>
          <w:sz w:val="20"/>
          <w:szCs w:val="22"/>
          <w:lang w:val="en-GB" w:eastAsia="ja-JP"/>
        </w:rPr>
        <w:t>In southern Portugal, nest success varied between 56</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and 75</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on game estates with predator control and residual human disturbance over the period 1993 to 1996 (Dias 2016). In the UK, nest success rate averages 53</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during incubation and 65</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during the nestling stage, so that only 35</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of nests successfully produce young (Browne and Aebischer 2004).</w:t>
      </w:r>
    </w:p>
    <w:p w14:paraId="153847A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B20839E" w14:textId="6FDC66E8"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Rocha and Hidalgo (2002a) showed that annual productivity in Extremadura, Spain, can vary from two to three chicks per pair. Fontoura and Dias (1995) observed a rate of 2.71 young per pair in north-west Portugal. Data from Algarve, southern Portugal varied between 1.68 and 2.14 young per pair (Dias 2016). Two to three nesting attempts per pair per year were recorded for Portugal during the 1990s and early 2000s (Dias 2016). Browne and Aebischer (2004) reported that the number of nesting attempts undertaken by each pair per breeding season in the UK was significantly lower in the late 1990s compared with the early 1960s, this reduction in nesting attempts being sufficient to explain the decline in population sizes. The annual production rate per pair was between 2.0 and 2.8 (mean 2.1) fledglings in the 1960s (Murton 1968). The reduction of food availability and reduced nesting habitat availability may be the underlying causes of the decrease in productivity (Browne and Aebischer 2005). In the UK, the breeding season has shortened by 12 days (Browne and Aebischer 2003b), the production per pair being 40-45</w:t>
      </w:r>
      <w:r w:rsidR="00A12C76">
        <w:rPr>
          <w:rFonts w:eastAsia="MS Mincho" w:cs="Arial"/>
          <w:sz w:val="20"/>
          <w:szCs w:val="22"/>
          <w:lang w:val="en-GB" w:eastAsia="ja-JP"/>
        </w:rPr>
        <w:t xml:space="preserve"> per cent</w:t>
      </w:r>
      <w:r w:rsidR="00A12C76"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of the number of clutches and young compared to productivity in the 1960s (Browne and </w:t>
      </w:r>
      <w:r w:rsidRPr="00C96521">
        <w:rPr>
          <w:rFonts w:eastAsia="MS Mincho" w:cs="Arial"/>
          <w:sz w:val="20"/>
          <w:szCs w:val="22"/>
          <w:lang w:val="en-GB" w:eastAsia="ja-JP"/>
        </w:rPr>
        <w:lastRenderedPageBreak/>
        <w:t xml:space="preserve">Aebischer 2004). However, a recent study suggests improvement in reproductive output, but not to the levels seen in the 1960s (RSPB </w:t>
      </w:r>
      <w:r w:rsidRPr="00C96521">
        <w:rPr>
          <w:rFonts w:eastAsia="MS Mincho" w:cs="Arial"/>
          <w:i/>
          <w:sz w:val="20"/>
          <w:szCs w:val="22"/>
          <w:lang w:val="en-GB" w:eastAsia="ja-JP"/>
        </w:rPr>
        <w:t>unpublished data</w:t>
      </w:r>
      <w:r w:rsidRPr="00C96521">
        <w:rPr>
          <w:rFonts w:eastAsia="MS Mincho" w:cs="Arial"/>
          <w:sz w:val="20"/>
          <w:szCs w:val="22"/>
          <w:lang w:val="en-GB" w:eastAsia="ja-JP"/>
        </w:rPr>
        <w:t xml:space="preserve">). </w:t>
      </w:r>
    </w:p>
    <w:p w14:paraId="19660A9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AB1BDB6" w14:textId="283E5A9E"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Morocco, </w:t>
      </w:r>
      <w:r w:rsidR="00A12C76">
        <w:rPr>
          <w:rFonts w:eastAsia="MS Mincho" w:cs="Arial"/>
          <w:sz w:val="20"/>
          <w:szCs w:val="22"/>
          <w:lang w:val="en-GB" w:eastAsia="ja-JP"/>
        </w:rPr>
        <w:t>T</w:t>
      </w:r>
      <w:r w:rsidR="00A12C76" w:rsidRPr="00C96521">
        <w:rPr>
          <w:rFonts w:eastAsia="MS Mincho" w:cs="Arial"/>
          <w:sz w:val="20"/>
          <w:szCs w:val="22"/>
          <w:lang w:val="en-GB" w:eastAsia="ja-JP"/>
        </w:rPr>
        <w:t>urtle</w:t>
      </w:r>
      <w:r w:rsidR="00A12C76">
        <w:rPr>
          <w:rFonts w:eastAsia="MS Mincho" w:cs="Arial"/>
          <w:sz w:val="20"/>
          <w:szCs w:val="22"/>
          <w:lang w:val="en-GB" w:eastAsia="ja-JP"/>
        </w:rPr>
        <w:t xml:space="preserve"> D</w:t>
      </w:r>
      <w:r w:rsidR="00A12C76" w:rsidRPr="00C96521">
        <w:rPr>
          <w:rFonts w:eastAsia="MS Mincho" w:cs="Arial"/>
          <w:sz w:val="20"/>
          <w:szCs w:val="22"/>
          <w:lang w:val="en-GB" w:eastAsia="ja-JP"/>
        </w:rPr>
        <w:t xml:space="preserve">ove </w:t>
      </w:r>
      <w:r w:rsidRPr="00C96521">
        <w:rPr>
          <w:rFonts w:eastAsia="MS Mincho" w:cs="Arial"/>
          <w:sz w:val="20"/>
          <w:szCs w:val="22"/>
          <w:lang w:val="en-GB" w:eastAsia="ja-JP"/>
        </w:rPr>
        <w:t>clutch size is not affected by location, orchard type (orange or olive), laying period or nest position (Hanane 2016b). The number of chicks hatched and fledged per nest was greater in olive orchards compared to orange orchards, although a more recent study in the Tadla region of Morocco found no difference in nest survival rates between the two orchard types despite orange orchards being harvested in March-September, coinciding with the turtle-dove’s breeding season (Hanane and Baamal 2011). Laying period in Morocco was also identified as a significant predictor of the number of chicks fledged per nest. More chicks fledged in the early period than in the late period. Possible reasons for this difference may lie in hunting activity, which takes place from early July to late August, disturbance by children during the summer holidays from June to September, and orange harvesting and tree pruning from the end of May to September (Hanane 2016b). In the Moroccan Haouz and Tadla irrigated zones, 41</w:t>
      </w:r>
      <w:r w:rsidR="00A12C76">
        <w:rPr>
          <w:rFonts w:eastAsia="MS Mincho" w:cs="Arial"/>
          <w:sz w:val="20"/>
          <w:szCs w:val="22"/>
          <w:lang w:val="en-GB" w:eastAsia="ja-JP"/>
        </w:rPr>
        <w:t xml:space="preserve"> per cent</w:t>
      </w:r>
      <w:r w:rsidR="00A12C76" w:rsidRPr="00C96521">
        <w:rPr>
          <w:rFonts w:eastAsia="MS Mincho" w:cs="Arial"/>
          <w:sz w:val="20"/>
          <w:szCs w:val="22"/>
          <w:lang w:val="en-GB" w:eastAsia="ja-JP"/>
        </w:rPr>
        <w:t xml:space="preserve"> </w:t>
      </w:r>
      <w:r w:rsidRPr="00C96521">
        <w:rPr>
          <w:rFonts w:eastAsia="MS Mincho" w:cs="Arial"/>
          <w:sz w:val="20"/>
          <w:szCs w:val="22"/>
          <w:lang w:val="en-GB" w:eastAsia="ja-JP"/>
        </w:rPr>
        <w:t>nests successfully fledged young (Hanane 2017). Over half of nest failures recorded in Morocco and Algeria have been attributed to desertion, possibly as a result of agricultural practices or human disturbance (Hanane 2017).</w:t>
      </w:r>
    </w:p>
    <w:p w14:paraId="0FC7F46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4F865B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Dunn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(2016a) used leg-ring radio-tag attachments to study post-fledging survival in the UK and its role in the dynamics of bird populations. Fledglings remained in close proximity to the nest for the first three weeks post-tagging, with over half of the time within 20m from the nest. Movements were selectively within seed-rich habitats (semi-natural grassland, low-intensity grazing, fallow and quarries). Nestlings that were heavier and in better body condition at 7 days old were more likely to survive for 30 days post-fledging, and nestling condition was strongly predicted by the proportion of available seed-rich habitat, highlighting the critical role that food availability plays in juvenile survival, both while being fed by adults and when recently fledged (Dunn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2016a). </w:t>
      </w:r>
    </w:p>
    <w:p w14:paraId="4863FEB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F2EAFE1" w14:textId="451417E0"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The turtle-dove's spring/summer diet is mainly seeds, but tiny animals are also occasionally eaten (worms, molluscs, insects) (Cramp 1985). In rare cases</w:t>
      </w:r>
      <w:r w:rsidR="00A12C76">
        <w:rPr>
          <w:rFonts w:eastAsia="MS Mincho" w:cs="Arial"/>
          <w:sz w:val="20"/>
          <w:szCs w:val="22"/>
          <w:lang w:val="en-GB" w:eastAsia="ja-JP"/>
        </w:rPr>
        <w:t>,</w:t>
      </w:r>
      <w:r w:rsidRPr="00C96521">
        <w:rPr>
          <w:rFonts w:eastAsia="MS Mincho" w:cs="Arial"/>
          <w:sz w:val="20"/>
          <w:szCs w:val="22"/>
          <w:lang w:val="en-GB" w:eastAsia="ja-JP"/>
        </w:rPr>
        <w:t xml:space="preserve"> it may also feed on berries (Rouxel 2000). Birds mainly feed on the ground and need to drink daily. In less-intensively farmed landscapes the turtle-dove's breeding season diet is primarily weed seeds (Murton 1968, Calladine </w:t>
      </w:r>
      <w:r w:rsidRPr="00C96521">
        <w:rPr>
          <w:rFonts w:eastAsia="MS Mincho" w:cs="Arial"/>
          <w:i/>
          <w:sz w:val="20"/>
          <w:szCs w:val="22"/>
          <w:lang w:val="en-GB" w:eastAsia="ja-JP"/>
        </w:rPr>
        <w:t xml:space="preserve">et al </w:t>
      </w:r>
      <w:r w:rsidRPr="00C96521">
        <w:rPr>
          <w:rFonts w:eastAsia="MS Mincho" w:cs="Arial"/>
          <w:sz w:val="20"/>
          <w:szCs w:val="22"/>
          <w:lang w:val="en-GB" w:eastAsia="ja-JP"/>
        </w:rPr>
        <w:t>1997). In Mediterranean forest areas in southern Spain, wild plant seeds were found in 65.8</w:t>
      </w:r>
      <w:r w:rsidR="00A12C76">
        <w:rPr>
          <w:rFonts w:eastAsia="MS Mincho" w:cs="Arial"/>
          <w:sz w:val="20"/>
          <w:szCs w:val="22"/>
          <w:lang w:val="en-GB" w:eastAsia="ja-JP"/>
        </w:rPr>
        <w:t xml:space="preserve"> per cent</w:t>
      </w:r>
      <w:r w:rsidR="00A12C76"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of </w:t>
      </w:r>
      <w:r w:rsidR="00A12C76">
        <w:rPr>
          <w:rFonts w:eastAsia="MS Mincho" w:cs="Arial"/>
          <w:sz w:val="20"/>
          <w:szCs w:val="22"/>
          <w:lang w:val="en-GB" w:eastAsia="ja-JP"/>
        </w:rPr>
        <w:t>T</w:t>
      </w:r>
      <w:r w:rsidR="00A12C76" w:rsidRPr="00C96521">
        <w:rPr>
          <w:rFonts w:eastAsia="MS Mincho" w:cs="Arial"/>
          <w:sz w:val="20"/>
          <w:szCs w:val="22"/>
          <w:lang w:val="en-GB" w:eastAsia="ja-JP"/>
        </w:rPr>
        <w:t>urtle</w:t>
      </w:r>
      <w:r w:rsidR="00A12C76">
        <w:rPr>
          <w:rFonts w:eastAsia="MS Mincho" w:cs="Arial"/>
          <w:sz w:val="20"/>
          <w:szCs w:val="22"/>
          <w:lang w:val="en-GB" w:eastAsia="ja-JP"/>
        </w:rPr>
        <w:t xml:space="preserve"> D</w:t>
      </w:r>
      <w:r w:rsidR="00A12C76" w:rsidRPr="00C96521">
        <w:rPr>
          <w:rFonts w:eastAsia="MS Mincho" w:cs="Arial"/>
          <w:sz w:val="20"/>
          <w:szCs w:val="22"/>
          <w:lang w:val="en-GB" w:eastAsia="ja-JP"/>
        </w:rPr>
        <w:t xml:space="preserve">ove </w:t>
      </w:r>
      <w:r w:rsidRPr="00C96521">
        <w:rPr>
          <w:rFonts w:eastAsia="MS Mincho" w:cs="Arial"/>
          <w:sz w:val="20"/>
          <w:szCs w:val="22"/>
          <w:lang w:val="en-GB" w:eastAsia="ja-JP"/>
        </w:rPr>
        <w:t>digestive tracts analysed and the main wild seed species consumed each year varied annually (</w:t>
      </w:r>
      <w:r w:rsidRPr="00C96521">
        <w:rPr>
          <w:rFonts w:eastAsia="MS Mincho"/>
          <w:sz w:val="20"/>
          <w:szCs w:val="22"/>
          <w:lang w:val="en-GB" w:eastAsia="ja-JP"/>
        </w:rPr>
        <w:t>Guttiérez-Galàn and Alonso 2016</w:t>
      </w:r>
      <w:r w:rsidRPr="00C96521">
        <w:rPr>
          <w:rFonts w:eastAsia="MS Mincho" w:cs="Arial"/>
          <w:sz w:val="20"/>
          <w:szCs w:val="22"/>
          <w:lang w:val="en-GB" w:eastAsia="ja-JP"/>
        </w:rPr>
        <w:t xml:space="preserve">). Rocha and Hidalgo (2002a) demonstrated the importance of weed-seeds for birds arriving at nesting sites, as well as an increased nesting success in herbicide-free areas. </w:t>
      </w:r>
    </w:p>
    <w:p w14:paraId="7D1E33E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ABB58EE" w14:textId="43C36471"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eastern Europe, wild plant seeds form the basis of the species’ diet in spring while cereal crops become more important later in the season (Rouxel 2000). In more intensively farmed areas, modern agricultural methods have resulted in a decrease in the availability of arable plant seeds. These have largely been replaced in the diet by seeds of crops such as cereals, oilseed rape and sunflower. A study on turtle-dove summer diet in southern Portugal showed that young turtle-doves had a narrower dietary breadth than adults (Dias and Fontoura 1996). Young were strongly dependent on cultivated cereals and oilseeds that were provided as game crops. In the UK, a recent study showed that nesting turtle-doves that were in better condition had a higher proportion in their diet of plant species that occur in human-provided food sources, such as game or garden bird seed mixes, suggesting that adults feeding nestlings may be reliant on these additional food resources in order to raise young successfully (Dunn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2016c). Other studies from the UK, Portugal and Spain also showed the species feeding mainly at man-made sites, such as spilt grain, game and animal feed and grain stores (Jimenez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1992, Dias and Fontoura 1996, Browne and Aebischer 2003a, Rocha and Quillfeldt 2015), with juveniles particularly attracted to sunflower seeds (Rocha and Hidalgo 2001a). Rocha and Quillfeldt (2015) showed that </w:t>
      </w:r>
      <w:r w:rsidR="00A12C76">
        <w:rPr>
          <w:rFonts w:eastAsia="MS Mincho" w:cs="Arial"/>
          <w:sz w:val="20"/>
          <w:szCs w:val="22"/>
          <w:lang w:val="en-GB" w:eastAsia="ja-JP"/>
        </w:rPr>
        <w:t>T</w:t>
      </w:r>
      <w:r w:rsidR="00A12C76" w:rsidRPr="00C96521">
        <w:rPr>
          <w:rFonts w:eastAsia="MS Mincho" w:cs="Arial"/>
          <w:sz w:val="20"/>
          <w:szCs w:val="22"/>
          <w:lang w:val="en-GB" w:eastAsia="ja-JP"/>
        </w:rPr>
        <w:t>urtle</w:t>
      </w:r>
      <w:r w:rsidR="00A12C76">
        <w:rPr>
          <w:rFonts w:eastAsia="MS Mincho" w:cs="Arial"/>
          <w:sz w:val="20"/>
          <w:szCs w:val="22"/>
          <w:lang w:val="en-GB" w:eastAsia="ja-JP"/>
        </w:rPr>
        <w:t xml:space="preserve"> D</w:t>
      </w:r>
      <w:r w:rsidR="00A12C76" w:rsidRPr="00C96521">
        <w:rPr>
          <w:rFonts w:eastAsia="MS Mincho" w:cs="Arial"/>
          <w:sz w:val="20"/>
          <w:szCs w:val="22"/>
          <w:lang w:val="en-GB" w:eastAsia="ja-JP"/>
        </w:rPr>
        <w:t xml:space="preserve">oves </w:t>
      </w:r>
      <w:r w:rsidRPr="00C96521">
        <w:rPr>
          <w:rFonts w:eastAsia="MS Mincho" w:cs="Arial"/>
          <w:sz w:val="20"/>
          <w:szCs w:val="22"/>
          <w:lang w:val="en-GB" w:eastAsia="ja-JP"/>
        </w:rPr>
        <w:t xml:space="preserve">are readily attracted to supplemental grain provided at feeding stations in Spain, and suggest that breeding success can be increased when the amount of food provided is sufficiently large and provided early in the breeding season. However, hunting pressure was also higher at supplemental feeding sites. These recent changes in diet probably reflect opportunistic foraging behaviour in highly anthropogenically modified landscapes. Set-aside and agri-environmental schemes provide a framework for the </w:t>
      </w:r>
      <w:r w:rsidRPr="00C96521">
        <w:rPr>
          <w:rFonts w:eastAsia="MS Mincho" w:cs="Arial"/>
          <w:sz w:val="20"/>
          <w:szCs w:val="22"/>
          <w:lang w:val="en-GB" w:eastAsia="ja-JP"/>
        </w:rPr>
        <w:lastRenderedPageBreak/>
        <w:t>maintenance of seed-rich areas. In the UK, higher-tier agri-environmental scheme agreements occupied by turtle-dove had a tendency to contain greater areas of seed-rich options, but in most cases the vegetation became too overgrown to provide optimal foraging conditions (Walker and Morris 2016). Cluster pine (</w:t>
      </w:r>
      <w:r w:rsidRPr="00C96521">
        <w:rPr>
          <w:rFonts w:eastAsia="MS Mincho" w:cs="Arial"/>
          <w:i/>
          <w:sz w:val="20"/>
          <w:szCs w:val="22"/>
          <w:lang w:val="en-GB" w:eastAsia="ja-JP"/>
        </w:rPr>
        <w:t>Pinus pinaster</w:t>
      </w:r>
      <w:r w:rsidRPr="00C96521">
        <w:rPr>
          <w:rFonts w:eastAsia="MS Mincho" w:cs="Arial"/>
          <w:sz w:val="20"/>
          <w:szCs w:val="22"/>
          <w:lang w:val="en-GB" w:eastAsia="ja-JP"/>
        </w:rPr>
        <w:t xml:space="preserve">) seeds are also eaten during migration (Devort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1988).</w:t>
      </w:r>
    </w:p>
    <w:p w14:paraId="504F54B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E72ABE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03A980F"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1" w:name="_Toc478646906"/>
      <w:r w:rsidRPr="00C96521">
        <w:rPr>
          <w:rFonts w:ascii="Cambria" w:eastAsia="MS Gothic" w:hAnsi="Cambria"/>
          <w:b/>
          <w:bCs/>
          <w:color w:val="4F81BD"/>
          <w:sz w:val="26"/>
          <w:szCs w:val="26"/>
          <w:lang w:val="en-GB" w:eastAsia="ja-JP"/>
        </w:rPr>
        <w:t>Population size and trend</w:t>
      </w:r>
      <w:bookmarkEnd w:id="21"/>
    </w:p>
    <w:p w14:paraId="42E8660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89F91B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sz w:val="20"/>
          <w:szCs w:val="22"/>
          <w:lang w:val="en-GB" w:eastAsia="ja-JP"/>
        </w:rPr>
        <w:t>Estimates of population size are available for most countries in Europe and for some in Central Asia and Africa, with varying degrees of confidence, depending on the availability of censuses from sampling</w:t>
      </w:r>
      <w:r w:rsidRPr="00C96521">
        <w:rPr>
          <w:rFonts w:eastAsia="MS Mincho" w:cs="Arial"/>
          <w:sz w:val="20"/>
          <w:szCs w:val="22"/>
          <w:lang w:val="en-GB" w:eastAsia="ja-JP"/>
        </w:rPr>
        <w:t>. See Table 2 for breeding population data by country and Table 3 for passage/wintering data.</w:t>
      </w:r>
    </w:p>
    <w:p w14:paraId="4CA695B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DC96A37" w14:textId="42AE140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BirdLife International (2015) quote 2.3 to 4.1 million pairs within the EU, comprising roughly 70</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of the overall European population of 3.2 to 5.9 million pairs. Figures collected in Table 2 estimate 2.4 to 4.2 million birds within the EU, around 75</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of Europe's 2.9 to 5.6 million pairs. Globally, according to the data compiled by BirdLife International (2016) the population can be estimated at 13 to 48 million pairs, the large spread in figures being due to a significant lack of reliable data in Central Asia, Russia and countries in the east of the range.</w:t>
      </w:r>
    </w:p>
    <w:p w14:paraId="22FC7B53"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B13F399" w14:textId="38A35F5E"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Europe, the population is estimated to be decreasing by 30-49</w:t>
      </w:r>
      <w:r w:rsidR="00A12C76">
        <w:rPr>
          <w:rFonts w:eastAsia="MS Mincho" w:cs="Arial"/>
          <w:sz w:val="20"/>
          <w:szCs w:val="22"/>
          <w:lang w:val="en-GB" w:eastAsia="ja-JP"/>
        </w:rPr>
        <w:t xml:space="preserve"> per cent</w:t>
      </w:r>
      <w:r w:rsidR="00A12C76" w:rsidRPr="00C96521">
        <w:rPr>
          <w:rFonts w:eastAsia="MS Mincho" w:cs="Arial"/>
          <w:sz w:val="20"/>
          <w:szCs w:val="22"/>
          <w:lang w:val="en-GB" w:eastAsia="ja-JP"/>
        </w:rPr>
        <w:t xml:space="preserve"> </w:t>
      </w:r>
      <w:r w:rsidRPr="00C96521">
        <w:rPr>
          <w:rFonts w:eastAsia="MS Mincho" w:cs="Arial"/>
          <w:sz w:val="20"/>
          <w:szCs w:val="22"/>
          <w:lang w:val="en-GB" w:eastAsia="ja-JP"/>
        </w:rPr>
        <w:t>in 15.9 years (three generations) (BirdLife International 2015). Based on data from the Pan-European Common Bird Monitoring Scheme, the population has undergone a decline of 79</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between 1980 and 2014, and the trend is classified as moderate (significant decline, but not more than 5</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decline per year) (</w:t>
      </w:r>
      <w:r w:rsidRPr="00C96521">
        <w:rPr>
          <w:rFonts w:eastAsia="MS Mincho"/>
          <w:sz w:val="20"/>
          <w:szCs w:val="22"/>
          <w:lang w:val="en-GB" w:eastAsia="ja-JP"/>
        </w:rPr>
        <w:t>EBCC/RSPB/BirdLife/Statistics Netherlands</w:t>
      </w:r>
      <w:r w:rsidRPr="00C96521">
        <w:rPr>
          <w:rFonts w:eastAsia="MS Mincho" w:cs="Arial"/>
          <w:sz w:val="20"/>
          <w:szCs w:val="22"/>
          <w:lang w:val="en-GB" w:eastAsia="ja-JP"/>
        </w:rPr>
        <w:t xml:space="preserve"> 2016). Large populations in Azerbaijan, France, Spain and Ukraine have undergone long-term population declines, as have smaller populations in Albania, Belgium, Cyprus, </w:t>
      </w:r>
      <w:r w:rsidR="00A12C76">
        <w:rPr>
          <w:rFonts w:eastAsia="MS Mincho" w:cs="Arial"/>
          <w:sz w:val="20"/>
          <w:szCs w:val="22"/>
          <w:lang w:val="en-GB" w:eastAsia="ja-JP"/>
        </w:rPr>
        <w:t xml:space="preserve">the </w:t>
      </w:r>
      <w:r w:rsidRPr="00C96521">
        <w:rPr>
          <w:rFonts w:eastAsia="MS Mincho" w:cs="Arial"/>
          <w:sz w:val="20"/>
          <w:szCs w:val="22"/>
          <w:lang w:val="en-GB" w:eastAsia="ja-JP"/>
        </w:rPr>
        <w:t xml:space="preserve">Czech Republic, Estonia, Finland, Germany, Greece, Lithuania, Luxembourg, </w:t>
      </w:r>
      <w:r w:rsidR="00A12C76">
        <w:rPr>
          <w:rFonts w:eastAsia="MS Mincho" w:cs="Arial"/>
          <w:sz w:val="20"/>
          <w:szCs w:val="22"/>
          <w:lang w:val="en-GB" w:eastAsia="ja-JP"/>
        </w:rPr>
        <w:t xml:space="preserve">the </w:t>
      </w:r>
      <w:r w:rsidRPr="00C96521">
        <w:rPr>
          <w:rFonts w:eastAsia="MS Mincho" w:cs="Arial"/>
          <w:sz w:val="20"/>
          <w:szCs w:val="22"/>
          <w:lang w:val="en-GB" w:eastAsia="ja-JP"/>
        </w:rPr>
        <w:t>Netherlands, Portugal,</w:t>
      </w:r>
      <w:r w:rsidR="00A12C76">
        <w:rPr>
          <w:rFonts w:eastAsia="MS Mincho" w:cs="Arial"/>
          <w:sz w:val="20"/>
          <w:szCs w:val="22"/>
          <w:lang w:val="en-GB" w:eastAsia="ja-JP"/>
        </w:rPr>
        <w:t xml:space="preserve"> the</w:t>
      </w:r>
      <w:r w:rsidRPr="00C96521">
        <w:rPr>
          <w:rFonts w:eastAsia="MS Mincho" w:cs="Arial"/>
          <w:sz w:val="20"/>
          <w:szCs w:val="22"/>
          <w:lang w:val="en-GB" w:eastAsia="ja-JP"/>
        </w:rPr>
        <w:t xml:space="preserve"> Russia</w:t>
      </w:r>
      <w:r w:rsidR="00A12C76">
        <w:rPr>
          <w:rFonts w:eastAsia="MS Mincho" w:cs="Arial"/>
          <w:sz w:val="20"/>
          <w:szCs w:val="22"/>
          <w:lang w:val="en-GB" w:eastAsia="ja-JP"/>
        </w:rPr>
        <w:t>n federation</w:t>
      </w:r>
      <w:r w:rsidRPr="00C96521">
        <w:rPr>
          <w:rFonts w:eastAsia="MS Mincho" w:cs="Arial"/>
          <w:sz w:val="20"/>
          <w:szCs w:val="22"/>
          <w:lang w:val="en-GB" w:eastAsia="ja-JP"/>
        </w:rPr>
        <w:t>, Serbia, Slovenia, Switzerland and the United Kingdom (BirdLife International 2015). Denmark assessed its trend as increasing in the short</w:t>
      </w:r>
      <w:r w:rsidR="00A12C76">
        <w:rPr>
          <w:rFonts w:eastAsia="MS Mincho" w:cs="Arial"/>
          <w:sz w:val="20"/>
          <w:szCs w:val="22"/>
          <w:lang w:val="en-GB" w:eastAsia="ja-JP"/>
        </w:rPr>
        <w:t xml:space="preserve"> </w:t>
      </w:r>
      <w:r w:rsidRPr="00C96521">
        <w:rPr>
          <w:rFonts w:eastAsia="MS Mincho" w:cs="Arial"/>
          <w:sz w:val="20"/>
          <w:szCs w:val="22"/>
          <w:lang w:val="en-GB" w:eastAsia="ja-JP"/>
        </w:rPr>
        <w:t>term but stable in the long</w:t>
      </w:r>
      <w:r w:rsidR="00A12C76">
        <w:rPr>
          <w:rFonts w:eastAsia="MS Mincho" w:cs="Arial"/>
          <w:sz w:val="20"/>
          <w:szCs w:val="22"/>
          <w:lang w:val="en-GB" w:eastAsia="ja-JP"/>
        </w:rPr>
        <w:t xml:space="preserve"> </w:t>
      </w:r>
      <w:r w:rsidRPr="00C96521">
        <w:rPr>
          <w:rFonts w:eastAsia="MS Mincho" w:cs="Arial"/>
          <w:sz w:val="20"/>
          <w:szCs w:val="22"/>
          <w:lang w:val="en-GB" w:eastAsia="ja-JP"/>
        </w:rPr>
        <w:t xml:space="preserve">term. Belarus, Latvia, </w:t>
      </w:r>
      <w:r w:rsidR="00A12C76">
        <w:rPr>
          <w:rFonts w:eastAsia="MS Mincho" w:cs="Arial"/>
          <w:sz w:val="20"/>
          <w:szCs w:val="22"/>
          <w:lang w:val="en-GB" w:eastAsia="ja-JP"/>
        </w:rPr>
        <w:t xml:space="preserve">the Republic of </w:t>
      </w:r>
      <w:r w:rsidRPr="00C96521">
        <w:rPr>
          <w:rFonts w:eastAsia="MS Mincho" w:cs="Arial"/>
          <w:sz w:val="20"/>
          <w:szCs w:val="22"/>
          <w:lang w:val="en-GB" w:eastAsia="ja-JP"/>
        </w:rPr>
        <w:t>Moldova, Slovakia, and Turkey all assessed their populations as stable in the long</w:t>
      </w:r>
      <w:r w:rsidR="00A12C76">
        <w:rPr>
          <w:rFonts w:eastAsia="MS Mincho" w:cs="Arial"/>
          <w:sz w:val="20"/>
          <w:szCs w:val="22"/>
          <w:lang w:val="en-GB" w:eastAsia="ja-JP"/>
        </w:rPr>
        <w:t xml:space="preserve"> </w:t>
      </w:r>
      <w:r w:rsidRPr="00C96521">
        <w:rPr>
          <w:rFonts w:eastAsia="MS Mincho" w:cs="Arial"/>
          <w:sz w:val="20"/>
          <w:szCs w:val="22"/>
          <w:lang w:val="en-GB" w:eastAsia="ja-JP"/>
        </w:rPr>
        <w:t xml:space="preserve">term (BirdLife International 2015). </w:t>
      </w:r>
    </w:p>
    <w:p w14:paraId="5775034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F0ACA2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sectPr w:rsidR="00C96521" w:rsidRPr="00C96521" w:rsidSect="00C96521">
          <w:pgSz w:w="11920" w:h="16840"/>
          <w:pgMar w:top="1276" w:right="1300" w:bottom="920" w:left="1300" w:header="730" w:footer="738" w:gutter="0"/>
          <w:cols w:space="720"/>
          <w:docGrid w:linePitch="299"/>
        </w:sectPr>
      </w:pPr>
    </w:p>
    <w:p w14:paraId="1BFAF9F7"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lastRenderedPageBreak/>
        <w:t>Table 2. Breeding population size and trend by country/territory</w:t>
      </w:r>
    </w:p>
    <w:p w14:paraId="0654358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35"/>
        <w:gridCol w:w="1551"/>
        <w:gridCol w:w="1899"/>
        <w:gridCol w:w="1171"/>
        <w:gridCol w:w="1610"/>
        <w:gridCol w:w="1460"/>
        <w:gridCol w:w="1899"/>
        <w:gridCol w:w="3509"/>
      </w:tblGrid>
      <w:tr w:rsidR="00C96521" w:rsidRPr="00C96521" w14:paraId="7F93CDA6" w14:textId="77777777" w:rsidTr="00235FA0">
        <w:trPr>
          <w:trHeight w:val="240"/>
          <w:tblHeader/>
        </w:trPr>
        <w:tc>
          <w:tcPr>
            <w:tcW w:w="524" w:type="pct"/>
            <w:shd w:val="clear" w:color="auto" w:fill="B6DDE8"/>
            <w:hideMark/>
          </w:tcPr>
          <w:p w14:paraId="67952EE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Country/territory</w:t>
            </w:r>
          </w:p>
        </w:tc>
        <w:tc>
          <w:tcPr>
            <w:tcW w:w="530" w:type="pct"/>
            <w:shd w:val="clear" w:color="auto" w:fill="B6DDE8"/>
            <w:hideMark/>
          </w:tcPr>
          <w:p w14:paraId="6134ADE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Population (pairs)</w:t>
            </w:r>
          </w:p>
        </w:tc>
        <w:tc>
          <w:tcPr>
            <w:tcW w:w="649" w:type="pct"/>
            <w:shd w:val="clear" w:color="auto" w:fill="B6DDE8"/>
            <w:hideMark/>
          </w:tcPr>
          <w:p w14:paraId="3D0159C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Quality</w:t>
            </w:r>
          </w:p>
        </w:tc>
        <w:tc>
          <w:tcPr>
            <w:tcW w:w="400" w:type="pct"/>
            <w:shd w:val="clear" w:color="auto" w:fill="B6DDE8"/>
            <w:hideMark/>
          </w:tcPr>
          <w:p w14:paraId="77DE0AB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Year(s) of population estimate</w:t>
            </w:r>
          </w:p>
        </w:tc>
        <w:tc>
          <w:tcPr>
            <w:tcW w:w="550" w:type="pct"/>
            <w:shd w:val="clear" w:color="auto" w:fill="B6DDE8"/>
            <w:hideMark/>
          </w:tcPr>
          <w:p w14:paraId="1C4E367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Short-term trend (%)</w:t>
            </w:r>
          </w:p>
        </w:tc>
        <w:tc>
          <w:tcPr>
            <w:tcW w:w="499" w:type="pct"/>
            <w:shd w:val="clear" w:color="auto" w:fill="B6DDE8"/>
            <w:hideMark/>
          </w:tcPr>
          <w:p w14:paraId="7F8C7CB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Direction</w:t>
            </w:r>
          </w:p>
        </w:tc>
        <w:tc>
          <w:tcPr>
            <w:tcW w:w="649" w:type="pct"/>
            <w:shd w:val="clear" w:color="auto" w:fill="B6DDE8"/>
            <w:hideMark/>
          </w:tcPr>
          <w:p w14:paraId="4B99AAF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Quality</w:t>
            </w:r>
          </w:p>
        </w:tc>
        <w:tc>
          <w:tcPr>
            <w:tcW w:w="1199" w:type="pct"/>
            <w:shd w:val="clear" w:color="auto" w:fill="B6DDE8"/>
          </w:tcPr>
          <w:p w14:paraId="61406C9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Reference</w:t>
            </w:r>
          </w:p>
        </w:tc>
      </w:tr>
      <w:tr w:rsidR="00C96521" w:rsidRPr="00C96521" w14:paraId="2399B185" w14:textId="77777777" w:rsidTr="00235FA0">
        <w:trPr>
          <w:trHeight w:val="48"/>
        </w:trPr>
        <w:tc>
          <w:tcPr>
            <w:tcW w:w="524" w:type="pct"/>
            <w:shd w:val="clear" w:color="auto" w:fill="auto"/>
            <w:hideMark/>
          </w:tcPr>
          <w:p w14:paraId="64455AD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Albania</w:t>
            </w:r>
          </w:p>
        </w:tc>
        <w:tc>
          <w:tcPr>
            <w:tcW w:w="530" w:type="pct"/>
            <w:shd w:val="clear" w:color="auto" w:fill="auto"/>
            <w:hideMark/>
          </w:tcPr>
          <w:p w14:paraId="53BB5FA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800-6,000</w:t>
            </w:r>
          </w:p>
        </w:tc>
        <w:tc>
          <w:tcPr>
            <w:tcW w:w="649" w:type="pct"/>
            <w:shd w:val="clear" w:color="auto" w:fill="auto"/>
            <w:hideMark/>
          </w:tcPr>
          <w:p w14:paraId="56511FD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013F98A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2002-2012</w:t>
            </w:r>
          </w:p>
        </w:tc>
        <w:tc>
          <w:tcPr>
            <w:tcW w:w="550" w:type="pct"/>
            <w:shd w:val="clear" w:color="auto" w:fill="auto"/>
            <w:hideMark/>
          </w:tcPr>
          <w:p w14:paraId="7FD124A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10-30</w:t>
            </w:r>
          </w:p>
        </w:tc>
        <w:tc>
          <w:tcPr>
            <w:tcW w:w="499" w:type="pct"/>
            <w:shd w:val="clear" w:color="auto" w:fill="auto"/>
            <w:hideMark/>
          </w:tcPr>
          <w:p w14:paraId="1578D60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57B8373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199" w:type="pct"/>
          </w:tcPr>
          <w:p w14:paraId="512C17C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2C77515D" w14:textId="77777777" w:rsidTr="00235FA0">
        <w:trPr>
          <w:trHeight w:val="335"/>
        </w:trPr>
        <w:tc>
          <w:tcPr>
            <w:tcW w:w="524" w:type="pct"/>
            <w:shd w:val="clear" w:color="auto" w:fill="auto"/>
            <w:hideMark/>
          </w:tcPr>
          <w:p w14:paraId="5A3C0EE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Algeria</w:t>
            </w:r>
          </w:p>
        </w:tc>
        <w:tc>
          <w:tcPr>
            <w:tcW w:w="530" w:type="pct"/>
            <w:shd w:val="clear" w:color="auto" w:fill="auto"/>
            <w:hideMark/>
          </w:tcPr>
          <w:p w14:paraId="4D15DBF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10,000-30,000</w:t>
            </w:r>
          </w:p>
        </w:tc>
        <w:tc>
          <w:tcPr>
            <w:tcW w:w="649" w:type="pct"/>
            <w:shd w:val="clear" w:color="auto" w:fill="auto"/>
            <w:hideMark/>
          </w:tcPr>
          <w:p w14:paraId="5AA35C5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481AE48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2013</w:t>
            </w:r>
          </w:p>
        </w:tc>
        <w:tc>
          <w:tcPr>
            <w:tcW w:w="550" w:type="pct"/>
            <w:shd w:val="clear" w:color="auto" w:fill="auto"/>
            <w:hideMark/>
          </w:tcPr>
          <w:p w14:paraId="4ABED8B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40-55</w:t>
            </w:r>
          </w:p>
        </w:tc>
        <w:tc>
          <w:tcPr>
            <w:tcW w:w="499" w:type="pct"/>
            <w:shd w:val="clear" w:color="auto" w:fill="auto"/>
            <w:hideMark/>
          </w:tcPr>
          <w:p w14:paraId="168D39C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42EF4C5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7150311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Fadhila Kafi (PhD Thesis), Ettayib Bensaci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33AC9A7B" w14:textId="77777777" w:rsidTr="00235FA0">
        <w:trPr>
          <w:trHeight w:val="156"/>
        </w:trPr>
        <w:tc>
          <w:tcPr>
            <w:tcW w:w="524" w:type="pct"/>
            <w:shd w:val="clear" w:color="auto" w:fill="auto"/>
            <w:hideMark/>
          </w:tcPr>
          <w:p w14:paraId="78791DB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Andorra</w:t>
            </w:r>
          </w:p>
        </w:tc>
        <w:tc>
          <w:tcPr>
            <w:tcW w:w="530" w:type="pct"/>
            <w:shd w:val="clear" w:color="auto" w:fill="auto"/>
            <w:hideMark/>
          </w:tcPr>
          <w:p w14:paraId="597714B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48633CF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2226092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2839CC9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4C6AE29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3B83D95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4C354BD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r>
      <w:tr w:rsidR="00C96521" w:rsidRPr="00C96521" w14:paraId="004860C3" w14:textId="77777777" w:rsidTr="00235FA0">
        <w:trPr>
          <w:trHeight w:val="146"/>
        </w:trPr>
        <w:tc>
          <w:tcPr>
            <w:tcW w:w="524" w:type="pct"/>
            <w:shd w:val="clear" w:color="auto" w:fill="auto"/>
            <w:hideMark/>
          </w:tcPr>
          <w:p w14:paraId="7FAF2CC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Armenia</w:t>
            </w:r>
          </w:p>
        </w:tc>
        <w:tc>
          <w:tcPr>
            <w:tcW w:w="530" w:type="pct"/>
            <w:shd w:val="clear" w:color="auto" w:fill="auto"/>
            <w:hideMark/>
          </w:tcPr>
          <w:p w14:paraId="7E56F00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600-1,200</w:t>
            </w:r>
          </w:p>
        </w:tc>
        <w:tc>
          <w:tcPr>
            <w:tcW w:w="649" w:type="pct"/>
            <w:shd w:val="clear" w:color="auto" w:fill="auto"/>
            <w:hideMark/>
          </w:tcPr>
          <w:p w14:paraId="6842BC2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3399B0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2002-2012</w:t>
            </w:r>
          </w:p>
        </w:tc>
        <w:tc>
          <w:tcPr>
            <w:tcW w:w="550" w:type="pct"/>
            <w:shd w:val="clear" w:color="auto" w:fill="auto"/>
            <w:hideMark/>
          </w:tcPr>
          <w:p w14:paraId="33FE555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3F1C714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41326AA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4631D1B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305EE86D" w14:textId="77777777" w:rsidTr="00235FA0">
        <w:trPr>
          <w:trHeight w:val="48"/>
        </w:trPr>
        <w:tc>
          <w:tcPr>
            <w:tcW w:w="524" w:type="pct"/>
            <w:shd w:val="clear" w:color="auto" w:fill="auto"/>
            <w:hideMark/>
          </w:tcPr>
          <w:p w14:paraId="73B4BA2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Austria</w:t>
            </w:r>
          </w:p>
        </w:tc>
        <w:tc>
          <w:tcPr>
            <w:tcW w:w="530" w:type="pct"/>
            <w:shd w:val="clear" w:color="auto" w:fill="auto"/>
            <w:hideMark/>
          </w:tcPr>
          <w:p w14:paraId="7757706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7,500-11,000</w:t>
            </w:r>
          </w:p>
        </w:tc>
        <w:tc>
          <w:tcPr>
            <w:tcW w:w="649" w:type="pct"/>
            <w:shd w:val="clear" w:color="auto" w:fill="auto"/>
            <w:hideMark/>
          </w:tcPr>
          <w:p w14:paraId="707FBA5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6F1B975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2015</w:t>
            </w:r>
          </w:p>
        </w:tc>
        <w:tc>
          <w:tcPr>
            <w:tcW w:w="550" w:type="pct"/>
            <w:shd w:val="clear" w:color="auto" w:fill="auto"/>
            <w:hideMark/>
          </w:tcPr>
          <w:p w14:paraId="108A677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45-55</w:t>
            </w:r>
          </w:p>
        </w:tc>
        <w:tc>
          <w:tcPr>
            <w:tcW w:w="499" w:type="pct"/>
            <w:shd w:val="clear" w:color="auto" w:fill="auto"/>
            <w:hideMark/>
          </w:tcPr>
          <w:p w14:paraId="28B0C96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212B479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1466372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Dvorak (2017 </w:t>
            </w:r>
            <w:r w:rsidRPr="00C96521">
              <w:rPr>
                <w:rFonts w:cs="Arial"/>
                <w:i/>
                <w:sz w:val="16"/>
                <w:szCs w:val="16"/>
                <w:lang w:val="en-GB" w:eastAsia="ja-JP"/>
              </w:rPr>
              <w:t>in prep</w:t>
            </w:r>
            <w:r w:rsidRPr="00C96521">
              <w:rPr>
                <w:rFonts w:cs="Arial"/>
                <w:sz w:val="16"/>
                <w:szCs w:val="16"/>
                <w:lang w:val="en-GB" w:eastAsia="ja-JP"/>
              </w:rPr>
              <w:t>)</w:t>
            </w:r>
          </w:p>
        </w:tc>
      </w:tr>
      <w:tr w:rsidR="00C96521" w:rsidRPr="00C96521" w14:paraId="01F0664E" w14:textId="77777777" w:rsidTr="00235FA0">
        <w:trPr>
          <w:trHeight w:val="136"/>
        </w:trPr>
        <w:tc>
          <w:tcPr>
            <w:tcW w:w="524" w:type="pct"/>
            <w:shd w:val="clear" w:color="auto" w:fill="auto"/>
            <w:hideMark/>
          </w:tcPr>
          <w:p w14:paraId="440770D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Azerbaijan</w:t>
            </w:r>
          </w:p>
        </w:tc>
        <w:tc>
          <w:tcPr>
            <w:tcW w:w="530" w:type="pct"/>
            <w:shd w:val="clear" w:color="auto" w:fill="auto"/>
            <w:hideMark/>
          </w:tcPr>
          <w:p w14:paraId="6C80E0B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100,000-200,000</w:t>
            </w:r>
          </w:p>
        </w:tc>
        <w:tc>
          <w:tcPr>
            <w:tcW w:w="649" w:type="pct"/>
            <w:shd w:val="clear" w:color="auto" w:fill="auto"/>
            <w:hideMark/>
          </w:tcPr>
          <w:p w14:paraId="273A9D6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00" w:type="pct"/>
            <w:shd w:val="clear" w:color="auto" w:fill="auto"/>
            <w:hideMark/>
          </w:tcPr>
          <w:p w14:paraId="0EB67F0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2000-2015</w:t>
            </w:r>
          </w:p>
        </w:tc>
        <w:tc>
          <w:tcPr>
            <w:tcW w:w="550" w:type="pct"/>
            <w:shd w:val="clear" w:color="auto" w:fill="auto"/>
            <w:hideMark/>
          </w:tcPr>
          <w:p w14:paraId="0A33B88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40-80</w:t>
            </w:r>
          </w:p>
        </w:tc>
        <w:tc>
          <w:tcPr>
            <w:tcW w:w="499" w:type="pct"/>
            <w:shd w:val="clear" w:color="auto" w:fill="auto"/>
            <w:hideMark/>
          </w:tcPr>
          <w:p w14:paraId="7D3B31D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2F2F4C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1DA5EFE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Elchin Sultanov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5F49DF72" w14:textId="77777777" w:rsidTr="00235FA0">
        <w:trPr>
          <w:trHeight w:val="127"/>
        </w:trPr>
        <w:tc>
          <w:tcPr>
            <w:tcW w:w="524" w:type="pct"/>
            <w:shd w:val="clear" w:color="auto" w:fill="auto"/>
            <w:hideMark/>
          </w:tcPr>
          <w:p w14:paraId="7E91707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Belarus</w:t>
            </w:r>
          </w:p>
        </w:tc>
        <w:tc>
          <w:tcPr>
            <w:tcW w:w="530" w:type="pct"/>
            <w:shd w:val="clear" w:color="auto" w:fill="auto"/>
            <w:hideMark/>
          </w:tcPr>
          <w:p w14:paraId="2C944C9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10,000-15,000</w:t>
            </w:r>
          </w:p>
        </w:tc>
        <w:tc>
          <w:tcPr>
            <w:tcW w:w="649" w:type="pct"/>
            <w:shd w:val="clear" w:color="auto" w:fill="auto"/>
            <w:hideMark/>
          </w:tcPr>
          <w:p w14:paraId="504A1E3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4676A92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2013-2016</w:t>
            </w:r>
          </w:p>
        </w:tc>
        <w:tc>
          <w:tcPr>
            <w:tcW w:w="550" w:type="pct"/>
            <w:shd w:val="clear" w:color="auto" w:fill="auto"/>
            <w:hideMark/>
          </w:tcPr>
          <w:p w14:paraId="51452B3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66-75</w:t>
            </w:r>
          </w:p>
        </w:tc>
        <w:tc>
          <w:tcPr>
            <w:tcW w:w="499" w:type="pct"/>
            <w:shd w:val="clear" w:color="auto" w:fill="auto"/>
            <w:hideMark/>
          </w:tcPr>
          <w:p w14:paraId="6596DCB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79DC06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29EC0A0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Levy S, Gritchik V, Vorobei N, Kozulin A, Dombrovski V, Vintchevski A, Sakhvon V, Kuzmitski A and Yakubovich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19643D08" w14:textId="77777777" w:rsidTr="00235FA0">
        <w:trPr>
          <w:trHeight w:val="48"/>
        </w:trPr>
        <w:tc>
          <w:tcPr>
            <w:tcW w:w="524" w:type="pct"/>
            <w:shd w:val="clear" w:color="auto" w:fill="auto"/>
            <w:hideMark/>
          </w:tcPr>
          <w:p w14:paraId="300E12F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Belgium</w:t>
            </w:r>
          </w:p>
        </w:tc>
        <w:tc>
          <w:tcPr>
            <w:tcW w:w="530" w:type="pct"/>
            <w:shd w:val="clear" w:color="auto" w:fill="auto"/>
            <w:hideMark/>
          </w:tcPr>
          <w:p w14:paraId="26FBA0C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3,000-4,500</w:t>
            </w:r>
          </w:p>
        </w:tc>
        <w:tc>
          <w:tcPr>
            <w:tcW w:w="649" w:type="pct"/>
            <w:shd w:val="clear" w:color="auto" w:fill="auto"/>
            <w:hideMark/>
          </w:tcPr>
          <w:p w14:paraId="1E53812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048DA77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2000-2002</w:t>
            </w:r>
          </w:p>
        </w:tc>
        <w:tc>
          <w:tcPr>
            <w:tcW w:w="550" w:type="pct"/>
            <w:shd w:val="clear" w:color="auto" w:fill="auto"/>
            <w:hideMark/>
          </w:tcPr>
          <w:p w14:paraId="495EE10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53</w:t>
            </w:r>
          </w:p>
        </w:tc>
        <w:tc>
          <w:tcPr>
            <w:tcW w:w="499" w:type="pct"/>
            <w:shd w:val="clear" w:color="auto" w:fill="auto"/>
            <w:hideMark/>
          </w:tcPr>
          <w:p w14:paraId="57EB2D4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7435841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44194B2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Vermeersch </w:t>
            </w:r>
            <w:r w:rsidRPr="00C96521">
              <w:rPr>
                <w:rFonts w:cs="Arial"/>
                <w:i/>
                <w:iCs/>
                <w:sz w:val="16"/>
                <w:szCs w:val="16"/>
                <w:lang w:val="en-GB" w:eastAsia="ja-JP"/>
              </w:rPr>
              <w:t>et al</w:t>
            </w:r>
            <w:r w:rsidRPr="00C96521">
              <w:rPr>
                <w:rFonts w:cs="Arial"/>
                <w:sz w:val="16"/>
                <w:szCs w:val="16"/>
                <w:lang w:val="en-GB" w:eastAsia="ja-JP"/>
              </w:rPr>
              <w:t xml:space="preserve"> (2004)</w:t>
            </w:r>
          </w:p>
        </w:tc>
      </w:tr>
      <w:tr w:rsidR="00C96521" w:rsidRPr="00C96521" w14:paraId="38A27A32" w14:textId="77777777" w:rsidTr="00235FA0">
        <w:trPr>
          <w:trHeight w:val="240"/>
        </w:trPr>
        <w:tc>
          <w:tcPr>
            <w:tcW w:w="524" w:type="pct"/>
            <w:shd w:val="clear" w:color="auto" w:fill="auto"/>
            <w:hideMark/>
          </w:tcPr>
          <w:p w14:paraId="3586220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Bosnia and Herzegovina</w:t>
            </w:r>
          </w:p>
        </w:tc>
        <w:tc>
          <w:tcPr>
            <w:tcW w:w="530" w:type="pct"/>
            <w:shd w:val="clear" w:color="auto" w:fill="auto"/>
            <w:hideMark/>
          </w:tcPr>
          <w:p w14:paraId="75D4B41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5,000-15,000</w:t>
            </w:r>
          </w:p>
        </w:tc>
        <w:tc>
          <w:tcPr>
            <w:tcW w:w="649" w:type="pct"/>
            <w:shd w:val="clear" w:color="auto" w:fill="auto"/>
            <w:hideMark/>
          </w:tcPr>
          <w:p w14:paraId="7C0CF99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18D01B2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2010-2014</w:t>
            </w:r>
          </w:p>
        </w:tc>
        <w:tc>
          <w:tcPr>
            <w:tcW w:w="550" w:type="pct"/>
            <w:shd w:val="clear" w:color="auto" w:fill="auto"/>
            <w:hideMark/>
          </w:tcPr>
          <w:p w14:paraId="02AE866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7C66F21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1462199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127BF63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23082445" w14:textId="77777777" w:rsidTr="00235FA0">
        <w:trPr>
          <w:trHeight w:val="184"/>
        </w:trPr>
        <w:tc>
          <w:tcPr>
            <w:tcW w:w="524" w:type="pct"/>
            <w:shd w:val="clear" w:color="auto" w:fill="auto"/>
            <w:hideMark/>
          </w:tcPr>
          <w:p w14:paraId="4C36A98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Bulgaria</w:t>
            </w:r>
          </w:p>
        </w:tc>
        <w:tc>
          <w:tcPr>
            <w:tcW w:w="530" w:type="pct"/>
            <w:shd w:val="clear" w:color="auto" w:fill="auto"/>
            <w:hideMark/>
          </w:tcPr>
          <w:p w14:paraId="68137AC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35,000-100,000</w:t>
            </w:r>
          </w:p>
        </w:tc>
        <w:tc>
          <w:tcPr>
            <w:tcW w:w="649" w:type="pct"/>
            <w:shd w:val="clear" w:color="auto" w:fill="auto"/>
            <w:hideMark/>
          </w:tcPr>
          <w:p w14:paraId="4E5B495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1F18746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2010-2015</w:t>
            </w:r>
          </w:p>
        </w:tc>
        <w:tc>
          <w:tcPr>
            <w:tcW w:w="550" w:type="pct"/>
            <w:shd w:val="clear" w:color="auto" w:fill="auto"/>
            <w:hideMark/>
          </w:tcPr>
          <w:p w14:paraId="0836744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uncertain</w:t>
            </w:r>
          </w:p>
        </w:tc>
        <w:tc>
          <w:tcPr>
            <w:tcW w:w="499" w:type="pct"/>
            <w:shd w:val="clear" w:color="auto" w:fill="auto"/>
            <w:hideMark/>
          </w:tcPr>
          <w:p w14:paraId="2C18827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uncertain</w:t>
            </w:r>
          </w:p>
        </w:tc>
        <w:tc>
          <w:tcPr>
            <w:tcW w:w="649" w:type="pct"/>
            <w:shd w:val="clear" w:color="auto" w:fill="auto"/>
            <w:hideMark/>
          </w:tcPr>
          <w:p w14:paraId="4352F16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600460F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Hristov 2015</w:t>
            </w:r>
          </w:p>
        </w:tc>
      </w:tr>
      <w:tr w:rsidR="00C96521" w:rsidRPr="00C96521" w14:paraId="39C32C7D" w14:textId="77777777" w:rsidTr="00235FA0">
        <w:trPr>
          <w:trHeight w:val="124"/>
        </w:trPr>
        <w:tc>
          <w:tcPr>
            <w:tcW w:w="524" w:type="pct"/>
            <w:shd w:val="clear" w:color="auto" w:fill="auto"/>
            <w:hideMark/>
          </w:tcPr>
          <w:p w14:paraId="0A64245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Croatia</w:t>
            </w:r>
          </w:p>
        </w:tc>
        <w:tc>
          <w:tcPr>
            <w:tcW w:w="530" w:type="pct"/>
            <w:shd w:val="clear" w:color="auto" w:fill="auto"/>
            <w:hideMark/>
          </w:tcPr>
          <w:p w14:paraId="3ED1E23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50,000-100,000</w:t>
            </w:r>
          </w:p>
        </w:tc>
        <w:tc>
          <w:tcPr>
            <w:tcW w:w="649" w:type="pct"/>
            <w:shd w:val="clear" w:color="auto" w:fill="auto"/>
            <w:hideMark/>
          </w:tcPr>
          <w:p w14:paraId="14E0009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70838BE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w:t>
            </w:r>
          </w:p>
        </w:tc>
        <w:tc>
          <w:tcPr>
            <w:tcW w:w="550" w:type="pct"/>
            <w:shd w:val="clear" w:color="auto" w:fill="auto"/>
            <w:hideMark/>
          </w:tcPr>
          <w:p w14:paraId="019BF29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56B66F7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2FDFBFB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35CAA25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4550C3B6" w14:textId="77777777" w:rsidTr="00235FA0">
        <w:trPr>
          <w:trHeight w:val="202"/>
        </w:trPr>
        <w:tc>
          <w:tcPr>
            <w:tcW w:w="524" w:type="pct"/>
            <w:shd w:val="clear" w:color="auto" w:fill="auto"/>
            <w:hideMark/>
          </w:tcPr>
          <w:p w14:paraId="0F8E906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Cyprus</w:t>
            </w:r>
          </w:p>
        </w:tc>
        <w:tc>
          <w:tcPr>
            <w:tcW w:w="530" w:type="pct"/>
            <w:shd w:val="clear" w:color="auto" w:fill="auto"/>
            <w:hideMark/>
          </w:tcPr>
          <w:p w14:paraId="6B47775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3,000-10,000</w:t>
            </w:r>
          </w:p>
        </w:tc>
        <w:tc>
          <w:tcPr>
            <w:tcW w:w="649" w:type="pct"/>
            <w:shd w:val="clear" w:color="auto" w:fill="auto"/>
            <w:hideMark/>
          </w:tcPr>
          <w:p w14:paraId="2FBA4B5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18E89FC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2006-2012</w:t>
            </w:r>
          </w:p>
        </w:tc>
        <w:tc>
          <w:tcPr>
            <w:tcW w:w="550" w:type="pct"/>
            <w:shd w:val="clear" w:color="auto" w:fill="auto"/>
            <w:hideMark/>
          </w:tcPr>
          <w:p w14:paraId="2F4622A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w:t>
            </w:r>
          </w:p>
        </w:tc>
        <w:tc>
          <w:tcPr>
            <w:tcW w:w="499" w:type="pct"/>
            <w:shd w:val="clear" w:color="auto" w:fill="auto"/>
            <w:hideMark/>
          </w:tcPr>
          <w:p w14:paraId="30AB611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39B7963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530A183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2F1CA095" w14:textId="77777777" w:rsidTr="00235FA0">
        <w:trPr>
          <w:trHeight w:val="121"/>
        </w:trPr>
        <w:tc>
          <w:tcPr>
            <w:tcW w:w="524" w:type="pct"/>
            <w:shd w:val="clear" w:color="auto" w:fill="auto"/>
            <w:hideMark/>
          </w:tcPr>
          <w:p w14:paraId="4670F80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Czech Republic</w:t>
            </w:r>
          </w:p>
        </w:tc>
        <w:tc>
          <w:tcPr>
            <w:tcW w:w="530" w:type="pct"/>
            <w:shd w:val="clear" w:color="auto" w:fill="auto"/>
            <w:hideMark/>
          </w:tcPr>
          <w:p w14:paraId="76E724D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50,000-100,000</w:t>
            </w:r>
          </w:p>
        </w:tc>
        <w:tc>
          <w:tcPr>
            <w:tcW w:w="649" w:type="pct"/>
            <w:shd w:val="clear" w:color="auto" w:fill="auto"/>
            <w:hideMark/>
          </w:tcPr>
          <w:p w14:paraId="1C7E1EB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2D6CD94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1982-2014 (short-term trend not available)</w:t>
            </w:r>
          </w:p>
        </w:tc>
        <w:tc>
          <w:tcPr>
            <w:tcW w:w="550" w:type="pct"/>
            <w:shd w:val="clear" w:color="auto" w:fill="auto"/>
            <w:hideMark/>
          </w:tcPr>
          <w:p w14:paraId="43D926C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7CB0946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moderate decrease</w:t>
            </w:r>
          </w:p>
        </w:tc>
        <w:tc>
          <w:tcPr>
            <w:tcW w:w="649" w:type="pct"/>
            <w:shd w:val="clear" w:color="auto" w:fill="auto"/>
            <w:hideMark/>
          </w:tcPr>
          <w:p w14:paraId="1D3A088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566656C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CSO/JPSP 2015</w:t>
            </w:r>
          </w:p>
        </w:tc>
      </w:tr>
      <w:tr w:rsidR="00C96521" w:rsidRPr="00C96521" w14:paraId="08FFAFEE" w14:textId="77777777" w:rsidTr="00235FA0">
        <w:trPr>
          <w:trHeight w:val="130"/>
        </w:trPr>
        <w:tc>
          <w:tcPr>
            <w:tcW w:w="524" w:type="pct"/>
            <w:shd w:val="clear" w:color="auto" w:fill="auto"/>
            <w:hideMark/>
          </w:tcPr>
          <w:p w14:paraId="7849511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Denmark</w:t>
            </w:r>
          </w:p>
        </w:tc>
        <w:tc>
          <w:tcPr>
            <w:tcW w:w="530" w:type="pct"/>
            <w:shd w:val="clear" w:color="auto" w:fill="auto"/>
            <w:hideMark/>
          </w:tcPr>
          <w:p w14:paraId="2FB9AF5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100-150</w:t>
            </w:r>
          </w:p>
        </w:tc>
        <w:tc>
          <w:tcPr>
            <w:tcW w:w="649" w:type="pct"/>
            <w:shd w:val="clear" w:color="auto" w:fill="auto"/>
            <w:hideMark/>
          </w:tcPr>
          <w:p w14:paraId="01883C0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272A9F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2010-2011</w:t>
            </w:r>
          </w:p>
        </w:tc>
        <w:tc>
          <w:tcPr>
            <w:tcW w:w="550" w:type="pct"/>
            <w:shd w:val="clear" w:color="auto" w:fill="auto"/>
            <w:hideMark/>
          </w:tcPr>
          <w:p w14:paraId="63EF13A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w:t>
            </w:r>
          </w:p>
        </w:tc>
        <w:tc>
          <w:tcPr>
            <w:tcW w:w="499" w:type="pct"/>
            <w:shd w:val="clear" w:color="auto" w:fill="auto"/>
            <w:hideMark/>
          </w:tcPr>
          <w:p w14:paraId="65D2492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4F4C78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43AAC2C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Nyegaard </w:t>
            </w:r>
            <w:r w:rsidRPr="00C96521">
              <w:rPr>
                <w:rFonts w:cs="Arial"/>
                <w:i/>
                <w:iCs/>
                <w:sz w:val="16"/>
                <w:szCs w:val="16"/>
                <w:lang w:val="en-GB" w:eastAsia="ja-JP"/>
              </w:rPr>
              <w:t>et al</w:t>
            </w:r>
            <w:r w:rsidRPr="00C96521">
              <w:rPr>
                <w:rFonts w:cs="Arial"/>
                <w:sz w:val="16"/>
                <w:szCs w:val="16"/>
                <w:lang w:val="en-GB" w:eastAsia="ja-JP"/>
              </w:rPr>
              <w:t xml:space="preserve"> (2014)</w:t>
            </w:r>
          </w:p>
        </w:tc>
      </w:tr>
      <w:tr w:rsidR="00C96521" w:rsidRPr="00C96521" w14:paraId="7842E16D" w14:textId="77777777" w:rsidTr="00235FA0">
        <w:trPr>
          <w:trHeight w:val="48"/>
        </w:trPr>
        <w:tc>
          <w:tcPr>
            <w:tcW w:w="524" w:type="pct"/>
            <w:shd w:val="clear" w:color="auto" w:fill="auto"/>
            <w:hideMark/>
          </w:tcPr>
          <w:p w14:paraId="540CEA3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Egypt</w:t>
            </w:r>
          </w:p>
        </w:tc>
        <w:tc>
          <w:tcPr>
            <w:tcW w:w="530" w:type="pct"/>
            <w:shd w:val="clear" w:color="auto" w:fill="auto"/>
            <w:hideMark/>
          </w:tcPr>
          <w:p w14:paraId="0E81448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102DAF2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43A53E0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3549DB6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6D73BD9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0C3E01C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41D7361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r>
      <w:tr w:rsidR="00C96521" w:rsidRPr="00C96521" w14:paraId="61199877" w14:textId="77777777" w:rsidTr="00235FA0">
        <w:trPr>
          <w:trHeight w:val="124"/>
        </w:trPr>
        <w:tc>
          <w:tcPr>
            <w:tcW w:w="524" w:type="pct"/>
            <w:shd w:val="clear" w:color="auto" w:fill="auto"/>
            <w:hideMark/>
          </w:tcPr>
          <w:p w14:paraId="38CF00F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Estonia</w:t>
            </w:r>
          </w:p>
        </w:tc>
        <w:tc>
          <w:tcPr>
            <w:tcW w:w="530" w:type="pct"/>
            <w:shd w:val="clear" w:color="auto" w:fill="auto"/>
            <w:hideMark/>
          </w:tcPr>
          <w:p w14:paraId="7864F2F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1,000-3,000</w:t>
            </w:r>
          </w:p>
        </w:tc>
        <w:tc>
          <w:tcPr>
            <w:tcW w:w="649" w:type="pct"/>
            <w:shd w:val="clear" w:color="auto" w:fill="auto"/>
            <w:hideMark/>
          </w:tcPr>
          <w:p w14:paraId="53CB16B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31339B3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2012</w:t>
            </w:r>
          </w:p>
        </w:tc>
        <w:tc>
          <w:tcPr>
            <w:tcW w:w="550" w:type="pct"/>
            <w:shd w:val="clear" w:color="auto" w:fill="auto"/>
            <w:hideMark/>
          </w:tcPr>
          <w:p w14:paraId="23D7397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30-40</w:t>
            </w:r>
          </w:p>
        </w:tc>
        <w:tc>
          <w:tcPr>
            <w:tcW w:w="499" w:type="pct"/>
            <w:shd w:val="clear" w:color="auto" w:fill="auto"/>
            <w:hideMark/>
          </w:tcPr>
          <w:p w14:paraId="12C38C6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72EF0C6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57BBF7A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Elts </w:t>
            </w:r>
            <w:r w:rsidRPr="00C96521">
              <w:rPr>
                <w:rFonts w:cs="Arial"/>
                <w:i/>
                <w:iCs/>
                <w:sz w:val="16"/>
                <w:szCs w:val="16"/>
                <w:lang w:val="en-GB" w:eastAsia="ja-JP"/>
              </w:rPr>
              <w:t>et al</w:t>
            </w:r>
            <w:r w:rsidRPr="00C96521">
              <w:rPr>
                <w:rFonts w:cs="Arial"/>
                <w:sz w:val="16"/>
                <w:szCs w:val="16"/>
                <w:lang w:val="en-GB" w:eastAsia="ja-JP"/>
              </w:rPr>
              <w:t xml:space="preserve"> (2013)</w:t>
            </w:r>
          </w:p>
        </w:tc>
      </w:tr>
      <w:tr w:rsidR="00C96521" w:rsidRPr="00C96521" w14:paraId="5825F823" w14:textId="77777777" w:rsidTr="00235FA0">
        <w:trPr>
          <w:trHeight w:val="83"/>
        </w:trPr>
        <w:tc>
          <w:tcPr>
            <w:tcW w:w="524" w:type="pct"/>
            <w:shd w:val="clear" w:color="auto" w:fill="auto"/>
            <w:hideMark/>
          </w:tcPr>
          <w:p w14:paraId="2DFAE74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Finland</w:t>
            </w:r>
          </w:p>
        </w:tc>
        <w:tc>
          <w:tcPr>
            <w:tcW w:w="530" w:type="pct"/>
            <w:shd w:val="clear" w:color="auto" w:fill="auto"/>
            <w:hideMark/>
          </w:tcPr>
          <w:p w14:paraId="0D880ED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0-10</w:t>
            </w:r>
          </w:p>
        </w:tc>
        <w:tc>
          <w:tcPr>
            <w:tcW w:w="649" w:type="pct"/>
            <w:shd w:val="clear" w:color="auto" w:fill="auto"/>
            <w:hideMark/>
          </w:tcPr>
          <w:p w14:paraId="37AD81A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1654BF9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2014-2015</w:t>
            </w:r>
          </w:p>
        </w:tc>
        <w:tc>
          <w:tcPr>
            <w:tcW w:w="550" w:type="pct"/>
            <w:shd w:val="clear" w:color="auto" w:fill="auto"/>
            <w:hideMark/>
          </w:tcPr>
          <w:p w14:paraId="4C45B88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27-61</w:t>
            </w:r>
          </w:p>
        </w:tc>
        <w:tc>
          <w:tcPr>
            <w:tcW w:w="499" w:type="pct"/>
            <w:shd w:val="clear" w:color="auto" w:fill="auto"/>
            <w:hideMark/>
          </w:tcPr>
          <w:p w14:paraId="29C3E16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5AAA797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5902B6A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Finland (</w:t>
            </w:r>
            <w:r w:rsidRPr="00C96521">
              <w:rPr>
                <w:rFonts w:cs="Arial"/>
                <w:i/>
                <w:sz w:val="16"/>
                <w:szCs w:val="16"/>
                <w:lang w:val="en-GB" w:eastAsia="ja-JP"/>
              </w:rPr>
              <w:t>unpublished data</w:t>
            </w:r>
            <w:r w:rsidRPr="00C96521">
              <w:rPr>
                <w:rFonts w:cs="Arial"/>
                <w:sz w:val="16"/>
                <w:szCs w:val="16"/>
                <w:lang w:val="en-GB" w:eastAsia="ja-JP"/>
              </w:rPr>
              <w:t>)</w:t>
            </w:r>
          </w:p>
        </w:tc>
      </w:tr>
      <w:tr w:rsidR="00C96521" w:rsidRPr="00C96521" w14:paraId="0ED6ACCA" w14:textId="77777777" w:rsidTr="00235FA0">
        <w:trPr>
          <w:trHeight w:val="171"/>
        </w:trPr>
        <w:tc>
          <w:tcPr>
            <w:tcW w:w="524" w:type="pct"/>
            <w:shd w:val="clear" w:color="auto" w:fill="auto"/>
            <w:hideMark/>
          </w:tcPr>
          <w:p w14:paraId="43AD3DE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France</w:t>
            </w:r>
          </w:p>
        </w:tc>
        <w:tc>
          <w:tcPr>
            <w:tcW w:w="530" w:type="pct"/>
            <w:shd w:val="clear" w:color="auto" w:fill="auto"/>
            <w:hideMark/>
          </w:tcPr>
          <w:p w14:paraId="682C323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300,000-500,000</w:t>
            </w:r>
          </w:p>
        </w:tc>
        <w:tc>
          <w:tcPr>
            <w:tcW w:w="649" w:type="pct"/>
            <w:shd w:val="clear" w:color="auto" w:fill="auto"/>
            <w:hideMark/>
          </w:tcPr>
          <w:p w14:paraId="029022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E97E27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2015</w:t>
            </w:r>
          </w:p>
        </w:tc>
        <w:tc>
          <w:tcPr>
            <w:tcW w:w="550" w:type="pct"/>
            <w:shd w:val="clear" w:color="auto" w:fill="auto"/>
            <w:hideMark/>
          </w:tcPr>
          <w:p w14:paraId="53D7D44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44%</w:t>
            </w:r>
          </w:p>
        </w:tc>
        <w:tc>
          <w:tcPr>
            <w:tcW w:w="499" w:type="pct"/>
            <w:shd w:val="clear" w:color="auto" w:fill="auto"/>
            <w:hideMark/>
          </w:tcPr>
          <w:p w14:paraId="19F8CCD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78D639E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4D7833C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Issa and Muller (2015), Jiguet (2016) </w:t>
            </w:r>
          </w:p>
          <w:p w14:paraId="17681412" w14:textId="77777777" w:rsidR="00C96521" w:rsidRPr="00C96521" w:rsidRDefault="00C96521" w:rsidP="00C96521">
            <w:pPr>
              <w:widowControl/>
              <w:autoSpaceDE/>
              <w:autoSpaceDN/>
              <w:adjustRightInd/>
              <w:rPr>
                <w:rFonts w:cs="Arial"/>
                <w:sz w:val="16"/>
                <w:szCs w:val="16"/>
                <w:lang w:val="en-GB" w:eastAsia="ja-JP"/>
              </w:rPr>
            </w:pPr>
          </w:p>
        </w:tc>
      </w:tr>
      <w:tr w:rsidR="00C96521" w:rsidRPr="00C96521" w14:paraId="45D24638" w14:textId="77777777" w:rsidTr="00235FA0">
        <w:trPr>
          <w:trHeight w:val="104"/>
        </w:trPr>
        <w:tc>
          <w:tcPr>
            <w:tcW w:w="524" w:type="pct"/>
            <w:shd w:val="clear" w:color="auto" w:fill="auto"/>
            <w:hideMark/>
          </w:tcPr>
          <w:p w14:paraId="5CAF885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Georgia</w:t>
            </w:r>
          </w:p>
        </w:tc>
        <w:tc>
          <w:tcPr>
            <w:tcW w:w="530" w:type="pct"/>
            <w:shd w:val="clear" w:color="auto" w:fill="auto"/>
            <w:hideMark/>
          </w:tcPr>
          <w:p w14:paraId="550E4BF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present</w:t>
            </w:r>
          </w:p>
        </w:tc>
        <w:tc>
          <w:tcPr>
            <w:tcW w:w="649" w:type="pct"/>
            <w:shd w:val="clear" w:color="auto" w:fill="auto"/>
            <w:hideMark/>
          </w:tcPr>
          <w:p w14:paraId="2085452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33BBD89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550" w:type="pct"/>
            <w:shd w:val="clear" w:color="auto" w:fill="auto"/>
            <w:hideMark/>
          </w:tcPr>
          <w:p w14:paraId="4871F63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5700A85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4F4759E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7F50477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1369A010" w14:textId="77777777" w:rsidTr="00235FA0">
        <w:trPr>
          <w:trHeight w:val="48"/>
        </w:trPr>
        <w:tc>
          <w:tcPr>
            <w:tcW w:w="524" w:type="pct"/>
            <w:shd w:val="clear" w:color="auto" w:fill="auto"/>
            <w:hideMark/>
          </w:tcPr>
          <w:p w14:paraId="2EDCAFC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Germany</w:t>
            </w:r>
          </w:p>
        </w:tc>
        <w:tc>
          <w:tcPr>
            <w:tcW w:w="530" w:type="pct"/>
            <w:shd w:val="clear" w:color="auto" w:fill="auto"/>
            <w:hideMark/>
          </w:tcPr>
          <w:p w14:paraId="6350528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25,000-45,000</w:t>
            </w:r>
          </w:p>
        </w:tc>
        <w:tc>
          <w:tcPr>
            <w:tcW w:w="649" w:type="pct"/>
            <w:shd w:val="clear" w:color="auto" w:fill="auto"/>
            <w:hideMark/>
          </w:tcPr>
          <w:p w14:paraId="1B7B4B8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400" w:type="pct"/>
            <w:shd w:val="clear" w:color="auto" w:fill="auto"/>
            <w:hideMark/>
          </w:tcPr>
          <w:p w14:paraId="640D5A4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2005-2009</w:t>
            </w:r>
          </w:p>
        </w:tc>
        <w:tc>
          <w:tcPr>
            <w:tcW w:w="550" w:type="pct"/>
            <w:shd w:val="clear" w:color="auto" w:fill="auto"/>
            <w:hideMark/>
          </w:tcPr>
          <w:p w14:paraId="6F4C2BC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38-58</w:t>
            </w:r>
          </w:p>
        </w:tc>
        <w:tc>
          <w:tcPr>
            <w:tcW w:w="499" w:type="pct"/>
            <w:shd w:val="clear" w:color="auto" w:fill="auto"/>
            <w:hideMark/>
          </w:tcPr>
          <w:p w14:paraId="58386C0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0795106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7CA2FA4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EU (2013); Gedeon </w:t>
            </w:r>
            <w:r w:rsidRPr="00C96521">
              <w:rPr>
                <w:rFonts w:cs="Arial"/>
                <w:i/>
                <w:sz w:val="16"/>
                <w:szCs w:val="16"/>
                <w:lang w:val="en-GB" w:eastAsia="ja-JP"/>
              </w:rPr>
              <w:t xml:space="preserve">et al </w:t>
            </w:r>
            <w:r w:rsidRPr="00C96521">
              <w:rPr>
                <w:rFonts w:cs="Arial"/>
                <w:sz w:val="16"/>
                <w:szCs w:val="16"/>
                <w:lang w:val="en-GB" w:eastAsia="ja-JP"/>
              </w:rPr>
              <w:t>(2014)</w:t>
            </w:r>
          </w:p>
        </w:tc>
      </w:tr>
      <w:tr w:rsidR="00C96521" w:rsidRPr="00C96521" w14:paraId="54389B2B" w14:textId="77777777" w:rsidTr="00235FA0">
        <w:trPr>
          <w:trHeight w:val="151"/>
        </w:trPr>
        <w:tc>
          <w:tcPr>
            <w:tcW w:w="524" w:type="pct"/>
            <w:shd w:val="clear" w:color="auto" w:fill="auto"/>
            <w:hideMark/>
          </w:tcPr>
          <w:p w14:paraId="562E46E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Greece</w:t>
            </w:r>
          </w:p>
        </w:tc>
        <w:tc>
          <w:tcPr>
            <w:tcW w:w="530" w:type="pct"/>
            <w:shd w:val="clear" w:color="auto" w:fill="auto"/>
            <w:hideMark/>
          </w:tcPr>
          <w:p w14:paraId="4863C60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30,000-80,000</w:t>
            </w:r>
          </w:p>
        </w:tc>
        <w:tc>
          <w:tcPr>
            <w:tcW w:w="649" w:type="pct"/>
            <w:shd w:val="clear" w:color="auto" w:fill="auto"/>
            <w:hideMark/>
          </w:tcPr>
          <w:p w14:paraId="36B0721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00" w:type="pct"/>
            <w:shd w:val="clear" w:color="auto" w:fill="auto"/>
            <w:hideMark/>
          </w:tcPr>
          <w:p w14:paraId="2A152EF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2007-2013</w:t>
            </w:r>
          </w:p>
        </w:tc>
        <w:tc>
          <w:tcPr>
            <w:tcW w:w="550" w:type="pct"/>
            <w:shd w:val="clear" w:color="auto" w:fill="auto"/>
            <w:hideMark/>
          </w:tcPr>
          <w:p w14:paraId="09B6F74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 / +5</w:t>
            </w:r>
          </w:p>
        </w:tc>
        <w:tc>
          <w:tcPr>
            <w:tcW w:w="499" w:type="pct"/>
            <w:shd w:val="clear" w:color="auto" w:fill="auto"/>
            <w:hideMark/>
          </w:tcPr>
          <w:p w14:paraId="4B38E77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61155C9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0B8DA67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489CE995" w14:textId="77777777" w:rsidTr="00235FA0">
        <w:trPr>
          <w:trHeight w:val="207"/>
        </w:trPr>
        <w:tc>
          <w:tcPr>
            <w:tcW w:w="524" w:type="pct"/>
            <w:shd w:val="clear" w:color="auto" w:fill="auto"/>
            <w:hideMark/>
          </w:tcPr>
          <w:p w14:paraId="1AA59C5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Hungary</w:t>
            </w:r>
          </w:p>
        </w:tc>
        <w:tc>
          <w:tcPr>
            <w:tcW w:w="530" w:type="pct"/>
            <w:shd w:val="clear" w:color="auto" w:fill="auto"/>
            <w:hideMark/>
          </w:tcPr>
          <w:p w14:paraId="5E6B4F4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64,000-150,000</w:t>
            </w:r>
          </w:p>
        </w:tc>
        <w:tc>
          <w:tcPr>
            <w:tcW w:w="649" w:type="pct"/>
            <w:shd w:val="clear" w:color="auto" w:fill="auto"/>
            <w:hideMark/>
          </w:tcPr>
          <w:p w14:paraId="55CE48C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5CB44F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2000-2012</w:t>
            </w:r>
          </w:p>
        </w:tc>
        <w:tc>
          <w:tcPr>
            <w:tcW w:w="550" w:type="pct"/>
            <w:shd w:val="clear" w:color="auto" w:fill="auto"/>
            <w:hideMark/>
          </w:tcPr>
          <w:p w14:paraId="4221EB4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-18 / +13</w:t>
            </w:r>
          </w:p>
        </w:tc>
        <w:tc>
          <w:tcPr>
            <w:tcW w:w="499" w:type="pct"/>
            <w:shd w:val="clear" w:color="auto" w:fill="auto"/>
            <w:hideMark/>
          </w:tcPr>
          <w:p w14:paraId="2A4B24E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1FD3C1A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19B826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Szép </w:t>
            </w:r>
            <w:r w:rsidRPr="00C96521">
              <w:rPr>
                <w:rFonts w:cs="Arial"/>
                <w:i/>
                <w:iCs/>
                <w:sz w:val="16"/>
                <w:szCs w:val="16"/>
                <w:lang w:val="en-GB" w:eastAsia="ja-JP"/>
              </w:rPr>
              <w:t>et al</w:t>
            </w:r>
            <w:r w:rsidRPr="00C96521">
              <w:rPr>
                <w:rFonts w:cs="Arial"/>
                <w:sz w:val="16"/>
                <w:szCs w:val="16"/>
                <w:lang w:val="en-GB" w:eastAsia="ja-JP"/>
              </w:rPr>
              <w:t xml:space="preserve"> (2012)</w:t>
            </w:r>
          </w:p>
        </w:tc>
      </w:tr>
      <w:tr w:rsidR="00C96521" w:rsidRPr="00C96521" w14:paraId="6252E7CD" w14:textId="77777777" w:rsidTr="00235FA0">
        <w:trPr>
          <w:trHeight w:val="157"/>
        </w:trPr>
        <w:tc>
          <w:tcPr>
            <w:tcW w:w="524" w:type="pct"/>
            <w:shd w:val="clear" w:color="auto" w:fill="auto"/>
            <w:hideMark/>
          </w:tcPr>
          <w:p w14:paraId="46B9C82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Israel</w:t>
            </w:r>
          </w:p>
        </w:tc>
        <w:tc>
          <w:tcPr>
            <w:tcW w:w="530" w:type="pct"/>
            <w:shd w:val="clear" w:color="auto" w:fill="auto"/>
            <w:hideMark/>
          </w:tcPr>
          <w:p w14:paraId="6041586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100,000s</w:t>
            </w:r>
          </w:p>
        </w:tc>
        <w:tc>
          <w:tcPr>
            <w:tcW w:w="649" w:type="pct"/>
            <w:shd w:val="clear" w:color="auto" w:fill="auto"/>
            <w:hideMark/>
          </w:tcPr>
          <w:p w14:paraId="45E8B95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00" w:type="pct"/>
            <w:shd w:val="clear" w:color="auto" w:fill="auto"/>
            <w:hideMark/>
          </w:tcPr>
          <w:p w14:paraId="0C1AFD4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1980-2015</w:t>
            </w:r>
          </w:p>
        </w:tc>
        <w:tc>
          <w:tcPr>
            <w:tcW w:w="550" w:type="pct"/>
            <w:shd w:val="clear" w:color="auto" w:fill="auto"/>
            <w:hideMark/>
          </w:tcPr>
          <w:p w14:paraId="02722E0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0-22</w:t>
            </w:r>
          </w:p>
        </w:tc>
        <w:tc>
          <w:tcPr>
            <w:tcW w:w="499" w:type="pct"/>
            <w:shd w:val="clear" w:color="auto" w:fill="auto"/>
            <w:hideMark/>
          </w:tcPr>
          <w:p w14:paraId="715CC21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0E8E0C3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7A77D5D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Shirihai (1996), Perlman </w:t>
            </w:r>
            <w:r w:rsidRPr="00C96521">
              <w:rPr>
                <w:rFonts w:cs="Arial"/>
                <w:i/>
                <w:sz w:val="16"/>
                <w:szCs w:val="16"/>
                <w:lang w:val="en-GB" w:eastAsia="ja-JP"/>
              </w:rPr>
              <w:t>et al</w:t>
            </w:r>
            <w:r w:rsidRPr="00C96521">
              <w:rPr>
                <w:rFonts w:cs="Arial"/>
                <w:sz w:val="16"/>
                <w:szCs w:val="16"/>
                <w:lang w:val="en-GB" w:eastAsia="ja-JP"/>
              </w:rPr>
              <w:t xml:space="preserve"> (2016)</w:t>
            </w:r>
          </w:p>
        </w:tc>
      </w:tr>
      <w:tr w:rsidR="00C96521" w:rsidRPr="008C00B8" w14:paraId="5BA301CD" w14:textId="77777777" w:rsidTr="00235FA0">
        <w:trPr>
          <w:trHeight w:val="117"/>
        </w:trPr>
        <w:tc>
          <w:tcPr>
            <w:tcW w:w="524" w:type="pct"/>
            <w:shd w:val="clear" w:color="auto" w:fill="auto"/>
            <w:hideMark/>
          </w:tcPr>
          <w:p w14:paraId="21938FE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Italy</w:t>
            </w:r>
          </w:p>
        </w:tc>
        <w:tc>
          <w:tcPr>
            <w:tcW w:w="530" w:type="pct"/>
            <w:shd w:val="clear" w:color="auto" w:fill="auto"/>
            <w:hideMark/>
          </w:tcPr>
          <w:p w14:paraId="350417A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150,000-300,000</w:t>
            </w:r>
          </w:p>
        </w:tc>
        <w:tc>
          <w:tcPr>
            <w:tcW w:w="649" w:type="pct"/>
            <w:shd w:val="clear" w:color="auto" w:fill="auto"/>
            <w:hideMark/>
          </w:tcPr>
          <w:p w14:paraId="790C959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72D2E07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2015</w:t>
            </w:r>
          </w:p>
        </w:tc>
        <w:tc>
          <w:tcPr>
            <w:tcW w:w="550" w:type="pct"/>
            <w:shd w:val="clear" w:color="auto" w:fill="auto"/>
            <w:hideMark/>
          </w:tcPr>
          <w:p w14:paraId="1EF9708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625E88F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5FB84B3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199" w:type="pct"/>
          </w:tcPr>
          <w:p w14:paraId="3C2B13CA" w14:textId="77777777" w:rsidR="00C96521" w:rsidRPr="00890F11" w:rsidRDefault="00C96521" w:rsidP="00C96521">
            <w:pPr>
              <w:widowControl/>
              <w:autoSpaceDE/>
              <w:autoSpaceDN/>
              <w:adjustRightInd/>
              <w:rPr>
                <w:rFonts w:cs="Arial"/>
                <w:sz w:val="16"/>
                <w:szCs w:val="16"/>
                <w:lang w:val="fr-FR" w:eastAsia="ja-JP"/>
              </w:rPr>
            </w:pPr>
            <w:r w:rsidRPr="00890F11">
              <w:rPr>
                <w:rFonts w:cs="Arial"/>
                <w:sz w:val="16"/>
                <w:szCs w:val="16"/>
                <w:lang w:val="fr-FR" w:eastAsia="ja-JP"/>
              </w:rPr>
              <w:t xml:space="preserve">Nardelli </w:t>
            </w:r>
            <w:r w:rsidRPr="00890F11">
              <w:rPr>
                <w:rFonts w:cs="Arial"/>
                <w:i/>
                <w:iCs/>
                <w:sz w:val="16"/>
                <w:szCs w:val="16"/>
                <w:lang w:val="fr-FR" w:eastAsia="ja-JP"/>
              </w:rPr>
              <w:t>et al</w:t>
            </w:r>
            <w:r w:rsidRPr="00890F11">
              <w:rPr>
                <w:rFonts w:cs="Arial"/>
                <w:sz w:val="16"/>
                <w:szCs w:val="16"/>
                <w:lang w:val="fr-FR" w:eastAsia="ja-JP"/>
              </w:rPr>
              <w:t xml:space="preserve"> (2015), RETE and LIPU (2015), MITO2000 (2016)</w:t>
            </w:r>
          </w:p>
        </w:tc>
      </w:tr>
      <w:tr w:rsidR="00C96521" w:rsidRPr="00C96521" w14:paraId="4BA1C341" w14:textId="77777777" w:rsidTr="00235FA0">
        <w:trPr>
          <w:trHeight w:val="64"/>
        </w:trPr>
        <w:tc>
          <w:tcPr>
            <w:tcW w:w="524" w:type="pct"/>
            <w:shd w:val="clear" w:color="auto" w:fill="auto"/>
            <w:hideMark/>
          </w:tcPr>
          <w:p w14:paraId="1788F20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Jordan</w:t>
            </w:r>
          </w:p>
        </w:tc>
        <w:tc>
          <w:tcPr>
            <w:tcW w:w="530" w:type="pct"/>
            <w:shd w:val="clear" w:color="auto" w:fill="auto"/>
            <w:hideMark/>
          </w:tcPr>
          <w:p w14:paraId="7BB91D1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079D66C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3C7BAF8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700A08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4BE8149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216ABCE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16DD877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r>
      <w:tr w:rsidR="00C96521" w:rsidRPr="00C96521" w14:paraId="6322D976" w14:textId="77777777" w:rsidTr="00235FA0">
        <w:trPr>
          <w:trHeight w:val="167"/>
        </w:trPr>
        <w:tc>
          <w:tcPr>
            <w:tcW w:w="524" w:type="pct"/>
            <w:shd w:val="clear" w:color="auto" w:fill="auto"/>
            <w:hideMark/>
          </w:tcPr>
          <w:p w14:paraId="17CC8037" w14:textId="63D6E6D7" w:rsidR="00C96521" w:rsidRPr="00EF7FD7" w:rsidRDefault="00C96521" w:rsidP="00C96521">
            <w:pPr>
              <w:widowControl/>
              <w:autoSpaceDE/>
              <w:autoSpaceDN/>
              <w:adjustRightInd/>
              <w:rPr>
                <w:rFonts w:cs="Arial"/>
                <w:sz w:val="16"/>
                <w:szCs w:val="16"/>
                <w:lang w:val="en-GB" w:eastAsia="ja-JP"/>
              </w:rPr>
            </w:pPr>
            <w:r w:rsidRPr="006437E1">
              <w:rPr>
                <w:rFonts w:cs="Arial"/>
                <w:sz w:val="16"/>
                <w:szCs w:val="16"/>
                <w:lang w:val="en-GB" w:eastAsia="ja-JP"/>
              </w:rPr>
              <w:t>Kosovo</w:t>
            </w:r>
            <w:r w:rsidR="006437E1" w:rsidRPr="006437E1">
              <w:rPr>
                <w:rFonts w:cs="Arial"/>
                <w:sz w:val="16"/>
                <w:szCs w:val="16"/>
                <w:lang w:val="en-GB" w:eastAsia="ja-JP"/>
              </w:rPr>
              <w:t xml:space="preserve"> (UN Res 1244)</w:t>
            </w:r>
          </w:p>
        </w:tc>
        <w:tc>
          <w:tcPr>
            <w:tcW w:w="530" w:type="pct"/>
            <w:shd w:val="clear" w:color="auto" w:fill="auto"/>
            <w:hideMark/>
          </w:tcPr>
          <w:p w14:paraId="1B5F6B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7,000-11,000</w:t>
            </w:r>
          </w:p>
        </w:tc>
        <w:tc>
          <w:tcPr>
            <w:tcW w:w="649" w:type="pct"/>
            <w:shd w:val="clear" w:color="auto" w:fill="auto"/>
            <w:hideMark/>
          </w:tcPr>
          <w:p w14:paraId="369EF20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0AB843E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2009-2014</w:t>
            </w:r>
          </w:p>
        </w:tc>
        <w:tc>
          <w:tcPr>
            <w:tcW w:w="550" w:type="pct"/>
            <w:shd w:val="clear" w:color="auto" w:fill="auto"/>
            <w:hideMark/>
          </w:tcPr>
          <w:p w14:paraId="5A1289D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143F573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5D01F62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2F4E1FB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5E577493" w14:textId="77777777" w:rsidTr="00235FA0">
        <w:trPr>
          <w:trHeight w:val="98"/>
        </w:trPr>
        <w:tc>
          <w:tcPr>
            <w:tcW w:w="524" w:type="pct"/>
            <w:shd w:val="clear" w:color="auto" w:fill="auto"/>
            <w:hideMark/>
          </w:tcPr>
          <w:p w14:paraId="4AFD6FF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Latvia</w:t>
            </w:r>
          </w:p>
        </w:tc>
        <w:tc>
          <w:tcPr>
            <w:tcW w:w="530" w:type="pct"/>
            <w:shd w:val="clear" w:color="auto" w:fill="auto"/>
            <w:hideMark/>
          </w:tcPr>
          <w:p w14:paraId="77BE1AD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10,341-30,431</w:t>
            </w:r>
          </w:p>
        </w:tc>
        <w:tc>
          <w:tcPr>
            <w:tcW w:w="649" w:type="pct"/>
            <w:shd w:val="clear" w:color="auto" w:fill="auto"/>
            <w:hideMark/>
          </w:tcPr>
          <w:p w14:paraId="5319AE4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1B40E9B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2008</w:t>
            </w:r>
          </w:p>
        </w:tc>
        <w:tc>
          <w:tcPr>
            <w:tcW w:w="550" w:type="pct"/>
            <w:shd w:val="clear" w:color="auto" w:fill="auto"/>
            <w:hideMark/>
          </w:tcPr>
          <w:p w14:paraId="2451C86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-87.93 (period 2005-2014)</w:t>
            </w:r>
          </w:p>
        </w:tc>
        <w:tc>
          <w:tcPr>
            <w:tcW w:w="499" w:type="pct"/>
            <w:shd w:val="clear" w:color="auto" w:fill="auto"/>
            <w:hideMark/>
          </w:tcPr>
          <w:p w14:paraId="7080D0A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8D0B4D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19B5610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Auniņš (2015)</w:t>
            </w:r>
          </w:p>
        </w:tc>
      </w:tr>
      <w:tr w:rsidR="00C96521" w:rsidRPr="008C00B8" w14:paraId="693A56D3" w14:textId="77777777" w:rsidTr="00235FA0">
        <w:trPr>
          <w:trHeight w:val="186"/>
        </w:trPr>
        <w:tc>
          <w:tcPr>
            <w:tcW w:w="524" w:type="pct"/>
            <w:shd w:val="clear" w:color="auto" w:fill="auto"/>
            <w:hideMark/>
          </w:tcPr>
          <w:p w14:paraId="5C2005F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Lebanon</w:t>
            </w:r>
          </w:p>
        </w:tc>
        <w:tc>
          <w:tcPr>
            <w:tcW w:w="530" w:type="pct"/>
            <w:shd w:val="clear" w:color="auto" w:fill="auto"/>
            <w:hideMark/>
          </w:tcPr>
          <w:p w14:paraId="5392ABE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650-900</w:t>
            </w:r>
          </w:p>
        </w:tc>
        <w:tc>
          <w:tcPr>
            <w:tcW w:w="649" w:type="pct"/>
            <w:shd w:val="clear" w:color="auto" w:fill="auto"/>
            <w:hideMark/>
          </w:tcPr>
          <w:p w14:paraId="3CD9937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01FAE7D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2000-2015</w:t>
            </w:r>
          </w:p>
        </w:tc>
        <w:tc>
          <w:tcPr>
            <w:tcW w:w="550" w:type="pct"/>
            <w:shd w:val="clear" w:color="auto" w:fill="auto"/>
            <w:hideMark/>
          </w:tcPr>
          <w:p w14:paraId="119CF20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3.6-5</w:t>
            </w:r>
          </w:p>
        </w:tc>
        <w:tc>
          <w:tcPr>
            <w:tcW w:w="499" w:type="pct"/>
            <w:shd w:val="clear" w:color="auto" w:fill="auto"/>
            <w:hideMark/>
          </w:tcPr>
          <w:p w14:paraId="4CFCF47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F3B83D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493DF705" w14:textId="77777777" w:rsidR="00C96521" w:rsidRPr="006437E1" w:rsidRDefault="00C96521" w:rsidP="00C96521">
            <w:pPr>
              <w:widowControl/>
              <w:autoSpaceDE/>
              <w:autoSpaceDN/>
              <w:adjustRightInd/>
              <w:rPr>
                <w:rFonts w:cs="Arial"/>
                <w:sz w:val="16"/>
                <w:szCs w:val="16"/>
                <w:lang w:val="fr-FR" w:eastAsia="ja-JP"/>
              </w:rPr>
            </w:pPr>
            <w:r w:rsidRPr="006437E1">
              <w:rPr>
                <w:rFonts w:cs="Arial"/>
                <w:sz w:val="16"/>
                <w:szCs w:val="16"/>
                <w:lang w:val="fr-FR" w:eastAsia="ja-JP"/>
              </w:rPr>
              <w:t>Ghassan Ramadan Jaradi (</w:t>
            </w:r>
            <w:r w:rsidRPr="006437E1">
              <w:rPr>
                <w:rFonts w:cs="Arial"/>
                <w:i/>
                <w:sz w:val="16"/>
                <w:szCs w:val="16"/>
                <w:lang w:val="fr-FR" w:eastAsia="ja-JP"/>
              </w:rPr>
              <w:t>pers comm</w:t>
            </w:r>
            <w:r w:rsidRPr="006437E1">
              <w:rPr>
                <w:rFonts w:cs="Arial"/>
                <w:sz w:val="16"/>
                <w:szCs w:val="16"/>
                <w:lang w:val="fr-FR" w:eastAsia="ja-JP"/>
              </w:rPr>
              <w:t>)</w:t>
            </w:r>
          </w:p>
        </w:tc>
      </w:tr>
      <w:tr w:rsidR="00C96521" w:rsidRPr="00C96521" w14:paraId="102C2F15" w14:textId="77777777" w:rsidTr="00235FA0">
        <w:trPr>
          <w:trHeight w:val="131"/>
        </w:trPr>
        <w:tc>
          <w:tcPr>
            <w:tcW w:w="524" w:type="pct"/>
            <w:shd w:val="clear" w:color="auto" w:fill="auto"/>
            <w:hideMark/>
          </w:tcPr>
          <w:p w14:paraId="7E21DEF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Libya</w:t>
            </w:r>
          </w:p>
        </w:tc>
        <w:tc>
          <w:tcPr>
            <w:tcW w:w="530" w:type="pct"/>
            <w:shd w:val="clear" w:color="auto" w:fill="auto"/>
            <w:hideMark/>
          </w:tcPr>
          <w:p w14:paraId="74730B9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7C9138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6A41295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60DCFC8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18D17B4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3773F6C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76CF779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r>
      <w:tr w:rsidR="00C96521" w:rsidRPr="00C96521" w14:paraId="40C4948E" w14:textId="77777777" w:rsidTr="00235FA0">
        <w:trPr>
          <w:trHeight w:val="78"/>
        </w:trPr>
        <w:tc>
          <w:tcPr>
            <w:tcW w:w="524" w:type="pct"/>
            <w:shd w:val="clear" w:color="auto" w:fill="auto"/>
            <w:hideMark/>
          </w:tcPr>
          <w:p w14:paraId="0A16ED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Liechtenstein</w:t>
            </w:r>
          </w:p>
        </w:tc>
        <w:tc>
          <w:tcPr>
            <w:tcW w:w="530" w:type="pct"/>
            <w:shd w:val="clear" w:color="auto" w:fill="auto"/>
            <w:hideMark/>
          </w:tcPr>
          <w:p w14:paraId="2CB1966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0-2</w:t>
            </w:r>
          </w:p>
        </w:tc>
        <w:tc>
          <w:tcPr>
            <w:tcW w:w="649" w:type="pct"/>
            <w:shd w:val="clear" w:color="auto" w:fill="auto"/>
            <w:hideMark/>
          </w:tcPr>
          <w:p w14:paraId="33E2CA7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1E7D74F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2009-2014</w:t>
            </w:r>
          </w:p>
        </w:tc>
        <w:tc>
          <w:tcPr>
            <w:tcW w:w="550" w:type="pct"/>
            <w:shd w:val="clear" w:color="auto" w:fill="auto"/>
            <w:hideMark/>
          </w:tcPr>
          <w:p w14:paraId="4DFE1E9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28E8A3C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7FDF0A9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2AA616C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36D98E6F" w14:textId="77777777" w:rsidTr="00235FA0">
        <w:trPr>
          <w:trHeight w:val="68"/>
        </w:trPr>
        <w:tc>
          <w:tcPr>
            <w:tcW w:w="524" w:type="pct"/>
            <w:shd w:val="clear" w:color="auto" w:fill="auto"/>
            <w:hideMark/>
          </w:tcPr>
          <w:p w14:paraId="5083D14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Lithuania</w:t>
            </w:r>
          </w:p>
        </w:tc>
        <w:tc>
          <w:tcPr>
            <w:tcW w:w="530" w:type="pct"/>
            <w:shd w:val="clear" w:color="auto" w:fill="auto"/>
            <w:hideMark/>
          </w:tcPr>
          <w:p w14:paraId="6C001B0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4,000-7,000</w:t>
            </w:r>
          </w:p>
        </w:tc>
        <w:tc>
          <w:tcPr>
            <w:tcW w:w="649" w:type="pct"/>
            <w:shd w:val="clear" w:color="auto" w:fill="auto"/>
            <w:hideMark/>
          </w:tcPr>
          <w:p w14:paraId="5B1AE3D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31A4983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2012</w:t>
            </w:r>
          </w:p>
        </w:tc>
        <w:tc>
          <w:tcPr>
            <w:tcW w:w="550" w:type="pct"/>
            <w:shd w:val="clear" w:color="auto" w:fill="auto"/>
            <w:hideMark/>
          </w:tcPr>
          <w:p w14:paraId="126F296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5-10</w:t>
            </w:r>
          </w:p>
        </w:tc>
        <w:tc>
          <w:tcPr>
            <w:tcW w:w="499" w:type="pct"/>
            <w:shd w:val="clear" w:color="auto" w:fill="auto"/>
            <w:hideMark/>
          </w:tcPr>
          <w:p w14:paraId="4D95191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BF0165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7495EE0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EU (2013)</w:t>
            </w:r>
          </w:p>
        </w:tc>
      </w:tr>
      <w:tr w:rsidR="00C96521" w:rsidRPr="00C96521" w14:paraId="11BE2E2E" w14:textId="77777777" w:rsidTr="00235FA0">
        <w:trPr>
          <w:trHeight w:val="111"/>
        </w:trPr>
        <w:tc>
          <w:tcPr>
            <w:tcW w:w="524" w:type="pct"/>
            <w:shd w:val="clear" w:color="auto" w:fill="auto"/>
            <w:hideMark/>
          </w:tcPr>
          <w:p w14:paraId="533A16F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lastRenderedPageBreak/>
              <w:t>Luxembourg</w:t>
            </w:r>
          </w:p>
        </w:tc>
        <w:tc>
          <w:tcPr>
            <w:tcW w:w="530" w:type="pct"/>
            <w:shd w:val="clear" w:color="auto" w:fill="auto"/>
            <w:hideMark/>
          </w:tcPr>
          <w:p w14:paraId="768F9EA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150-200</w:t>
            </w:r>
          </w:p>
        </w:tc>
        <w:tc>
          <w:tcPr>
            <w:tcW w:w="649" w:type="pct"/>
            <w:shd w:val="clear" w:color="auto" w:fill="auto"/>
            <w:hideMark/>
          </w:tcPr>
          <w:p w14:paraId="7EC64AD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00" w:type="pct"/>
            <w:shd w:val="clear" w:color="auto" w:fill="auto"/>
            <w:hideMark/>
          </w:tcPr>
          <w:p w14:paraId="1832737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2000-2012</w:t>
            </w:r>
          </w:p>
        </w:tc>
        <w:tc>
          <w:tcPr>
            <w:tcW w:w="550" w:type="pct"/>
            <w:shd w:val="clear" w:color="auto" w:fill="auto"/>
            <w:hideMark/>
          </w:tcPr>
          <w:p w14:paraId="6284C08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0-20</w:t>
            </w:r>
          </w:p>
        </w:tc>
        <w:tc>
          <w:tcPr>
            <w:tcW w:w="499" w:type="pct"/>
            <w:shd w:val="clear" w:color="auto" w:fill="auto"/>
            <w:hideMark/>
          </w:tcPr>
          <w:p w14:paraId="19DBA1A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9D5B25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3627038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1F91D3F4" w14:textId="77777777" w:rsidTr="00235FA0">
        <w:trPr>
          <w:trHeight w:val="274"/>
        </w:trPr>
        <w:tc>
          <w:tcPr>
            <w:tcW w:w="524" w:type="pct"/>
            <w:shd w:val="clear" w:color="auto" w:fill="auto"/>
            <w:hideMark/>
          </w:tcPr>
          <w:p w14:paraId="265E1B9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Malta</w:t>
            </w:r>
          </w:p>
        </w:tc>
        <w:tc>
          <w:tcPr>
            <w:tcW w:w="530" w:type="pct"/>
            <w:shd w:val="clear" w:color="auto" w:fill="auto"/>
            <w:hideMark/>
          </w:tcPr>
          <w:p w14:paraId="03541DE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0-14 (not confirmed [Raine </w:t>
            </w:r>
            <w:r w:rsidRPr="00C96521">
              <w:rPr>
                <w:rFonts w:cs="Arial"/>
                <w:i/>
                <w:sz w:val="16"/>
                <w:szCs w:val="16"/>
                <w:lang w:val="en-GB" w:eastAsia="ja-JP"/>
              </w:rPr>
              <w:t xml:space="preserve">et al </w:t>
            </w:r>
            <w:r w:rsidRPr="00C96521">
              <w:rPr>
                <w:rFonts w:cs="Arial"/>
                <w:sz w:val="16"/>
                <w:szCs w:val="16"/>
                <w:lang w:val="en-GB" w:eastAsia="ja-JP"/>
              </w:rPr>
              <w:t>2009])</w:t>
            </w:r>
          </w:p>
        </w:tc>
        <w:tc>
          <w:tcPr>
            <w:tcW w:w="649" w:type="pct"/>
            <w:shd w:val="clear" w:color="auto" w:fill="auto"/>
            <w:hideMark/>
          </w:tcPr>
          <w:p w14:paraId="4D0C28C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684DF1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2008</w:t>
            </w:r>
          </w:p>
        </w:tc>
        <w:tc>
          <w:tcPr>
            <w:tcW w:w="550" w:type="pct"/>
            <w:shd w:val="clear" w:color="auto" w:fill="auto"/>
            <w:hideMark/>
          </w:tcPr>
          <w:p w14:paraId="126F57D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548893F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6A1369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41B6DEE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Raine </w:t>
            </w:r>
            <w:r w:rsidRPr="00C96521">
              <w:rPr>
                <w:rFonts w:cs="Arial"/>
                <w:i/>
                <w:iCs/>
                <w:sz w:val="16"/>
                <w:szCs w:val="16"/>
                <w:lang w:val="en-GB" w:eastAsia="ja-JP"/>
              </w:rPr>
              <w:t>et al</w:t>
            </w:r>
            <w:r w:rsidRPr="00C96521">
              <w:rPr>
                <w:rFonts w:cs="Arial"/>
                <w:sz w:val="16"/>
                <w:szCs w:val="16"/>
                <w:lang w:val="en-GB" w:eastAsia="ja-JP"/>
              </w:rPr>
              <w:t xml:space="preserve"> (2009), Sultana </w:t>
            </w:r>
            <w:r w:rsidRPr="00C96521">
              <w:rPr>
                <w:rFonts w:cs="Arial"/>
                <w:i/>
                <w:sz w:val="16"/>
                <w:szCs w:val="16"/>
                <w:lang w:val="en-GB" w:eastAsia="ja-JP"/>
              </w:rPr>
              <w:t>et al</w:t>
            </w:r>
            <w:r w:rsidRPr="00C96521">
              <w:rPr>
                <w:rFonts w:cs="Arial"/>
                <w:sz w:val="16"/>
                <w:szCs w:val="16"/>
                <w:lang w:val="en-GB" w:eastAsia="ja-JP"/>
              </w:rPr>
              <w:t xml:space="preserve"> (2011), Wild Birds Regulation Unit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63719AE9" w14:textId="77777777" w:rsidTr="00235FA0">
        <w:trPr>
          <w:trHeight w:val="126"/>
        </w:trPr>
        <w:tc>
          <w:tcPr>
            <w:tcW w:w="524" w:type="pct"/>
            <w:shd w:val="clear" w:color="auto" w:fill="auto"/>
            <w:hideMark/>
          </w:tcPr>
          <w:p w14:paraId="0D1005B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Montenegro</w:t>
            </w:r>
          </w:p>
        </w:tc>
        <w:tc>
          <w:tcPr>
            <w:tcW w:w="530" w:type="pct"/>
            <w:shd w:val="clear" w:color="auto" w:fill="auto"/>
            <w:hideMark/>
          </w:tcPr>
          <w:p w14:paraId="3AB887C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10,000-15,000</w:t>
            </w:r>
          </w:p>
        </w:tc>
        <w:tc>
          <w:tcPr>
            <w:tcW w:w="649" w:type="pct"/>
            <w:shd w:val="clear" w:color="auto" w:fill="auto"/>
            <w:hideMark/>
          </w:tcPr>
          <w:p w14:paraId="543E145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6C9F442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2010-2015</w:t>
            </w:r>
          </w:p>
        </w:tc>
        <w:tc>
          <w:tcPr>
            <w:tcW w:w="550" w:type="pct"/>
            <w:shd w:val="clear" w:color="auto" w:fill="auto"/>
            <w:hideMark/>
          </w:tcPr>
          <w:p w14:paraId="3506008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42501B9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63EEE5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199" w:type="pct"/>
          </w:tcPr>
          <w:p w14:paraId="074B00F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Montenegro EPA (2009)</w:t>
            </w:r>
          </w:p>
        </w:tc>
      </w:tr>
      <w:tr w:rsidR="00C96521" w:rsidRPr="00C96521" w14:paraId="3A409479" w14:textId="77777777" w:rsidTr="00235FA0">
        <w:trPr>
          <w:trHeight w:val="73"/>
        </w:trPr>
        <w:tc>
          <w:tcPr>
            <w:tcW w:w="524" w:type="pct"/>
            <w:shd w:val="clear" w:color="auto" w:fill="auto"/>
            <w:hideMark/>
          </w:tcPr>
          <w:p w14:paraId="1850D4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Morocco</w:t>
            </w:r>
          </w:p>
        </w:tc>
        <w:tc>
          <w:tcPr>
            <w:tcW w:w="530" w:type="pct"/>
            <w:shd w:val="clear" w:color="auto" w:fill="auto"/>
            <w:hideMark/>
          </w:tcPr>
          <w:p w14:paraId="7004903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 (60,000 pairs for Tadla Region alone)</w:t>
            </w:r>
          </w:p>
        </w:tc>
        <w:tc>
          <w:tcPr>
            <w:tcW w:w="649" w:type="pct"/>
            <w:shd w:val="clear" w:color="auto" w:fill="auto"/>
            <w:hideMark/>
          </w:tcPr>
          <w:p w14:paraId="7A1D4FD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518CDE6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2014</w:t>
            </w:r>
          </w:p>
        </w:tc>
        <w:tc>
          <w:tcPr>
            <w:tcW w:w="550" w:type="pct"/>
            <w:shd w:val="clear" w:color="auto" w:fill="auto"/>
            <w:hideMark/>
          </w:tcPr>
          <w:p w14:paraId="243D9DB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6AD75B9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62E1132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6FA8D00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Hanane and Besnard (2014)</w:t>
            </w:r>
          </w:p>
        </w:tc>
      </w:tr>
      <w:tr w:rsidR="00C96521" w:rsidRPr="00C96521" w14:paraId="5E70252A" w14:textId="77777777" w:rsidTr="00235FA0">
        <w:trPr>
          <w:trHeight w:val="175"/>
        </w:trPr>
        <w:tc>
          <w:tcPr>
            <w:tcW w:w="524" w:type="pct"/>
            <w:shd w:val="clear" w:color="auto" w:fill="auto"/>
            <w:hideMark/>
          </w:tcPr>
          <w:p w14:paraId="5A8CC53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Netherlands</w:t>
            </w:r>
          </w:p>
        </w:tc>
        <w:tc>
          <w:tcPr>
            <w:tcW w:w="530" w:type="pct"/>
            <w:shd w:val="clear" w:color="auto" w:fill="auto"/>
            <w:hideMark/>
          </w:tcPr>
          <w:p w14:paraId="6575BD7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4,763-5,715</w:t>
            </w:r>
          </w:p>
        </w:tc>
        <w:tc>
          <w:tcPr>
            <w:tcW w:w="649" w:type="pct"/>
            <w:shd w:val="clear" w:color="auto" w:fill="auto"/>
            <w:hideMark/>
          </w:tcPr>
          <w:p w14:paraId="70F2882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235EE93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2008-2011</w:t>
            </w:r>
          </w:p>
        </w:tc>
        <w:tc>
          <w:tcPr>
            <w:tcW w:w="550" w:type="pct"/>
            <w:shd w:val="clear" w:color="auto" w:fill="auto"/>
            <w:hideMark/>
          </w:tcPr>
          <w:p w14:paraId="0B248AD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27-55</w:t>
            </w:r>
          </w:p>
        </w:tc>
        <w:tc>
          <w:tcPr>
            <w:tcW w:w="499" w:type="pct"/>
            <w:shd w:val="clear" w:color="auto" w:fill="auto"/>
            <w:hideMark/>
          </w:tcPr>
          <w:p w14:paraId="13EE262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32398E4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65147F9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61E7CB6E" w14:textId="77777777" w:rsidTr="00235FA0">
        <w:trPr>
          <w:trHeight w:val="240"/>
        </w:trPr>
        <w:tc>
          <w:tcPr>
            <w:tcW w:w="524" w:type="pct"/>
            <w:shd w:val="clear" w:color="auto" w:fill="auto"/>
            <w:hideMark/>
          </w:tcPr>
          <w:p w14:paraId="0F4E9D8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Palestinian Territory</w:t>
            </w:r>
          </w:p>
        </w:tc>
        <w:tc>
          <w:tcPr>
            <w:tcW w:w="530" w:type="pct"/>
            <w:shd w:val="clear" w:color="auto" w:fill="auto"/>
            <w:hideMark/>
          </w:tcPr>
          <w:p w14:paraId="55FDA1F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7E3ACEA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3117B6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75B431B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1CE405C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72BDBA0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739623C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r>
      <w:tr w:rsidR="00C96521" w:rsidRPr="00C96521" w14:paraId="2070A7D9" w14:textId="77777777" w:rsidTr="00235FA0">
        <w:trPr>
          <w:trHeight w:val="154"/>
        </w:trPr>
        <w:tc>
          <w:tcPr>
            <w:tcW w:w="524" w:type="pct"/>
            <w:shd w:val="clear" w:color="auto" w:fill="auto"/>
            <w:hideMark/>
          </w:tcPr>
          <w:p w14:paraId="14742D1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Poland</w:t>
            </w:r>
          </w:p>
        </w:tc>
        <w:tc>
          <w:tcPr>
            <w:tcW w:w="530" w:type="pct"/>
            <w:shd w:val="clear" w:color="auto" w:fill="auto"/>
            <w:hideMark/>
          </w:tcPr>
          <w:p w14:paraId="47F2243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25,000-49,000</w:t>
            </w:r>
          </w:p>
        </w:tc>
        <w:tc>
          <w:tcPr>
            <w:tcW w:w="649" w:type="pct"/>
            <w:shd w:val="clear" w:color="auto" w:fill="auto"/>
            <w:hideMark/>
          </w:tcPr>
          <w:p w14:paraId="2F653F6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5A3E4D4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2008-2012</w:t>
            </w:r>
          </w:p>
        </w:tc>
        <w:tc>
          <w:tcPr>
            <w:tcW w:w="550" w:type="pct"/>
            <w:shd w:val="clear" w:color="auto" w:fill="auto"/>
            <w:hideMark/>
          </w:tcPr>
          <w:p w14:paraId="2328589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25-55</w:t>
            </w:r>
          </w:p>
        </w:tc>
        <w:tc>
          <w:tcPr>
            <w:tcW w:w="499" w:type="pct"/>
            <w:shd w:val="clear" w:color="auto" w:fill="auto"/>
            <w:hideMark/>
          </w:tcPr>
          <w:p w14:paraId="5DDC707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CD3D24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1538005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6C6CA847" w14:textId="77777777" w:rsidTr="00235FA0">
        <w:trPr>
          <w:trHeight w:val="113"/>
        </w:trPr>
        <w:tc>
          <w:tcPr>
            <w:tcW w:w="524" w:type="pct"/>
            <w:shd w:val="clear" w:color="auto" w:fill="auto"/>
            <w:hideMark/>
          </w:tcPr>
          <w:p w14:paraId="1CE3FEC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Portugal</w:t>
            </w:r>
          </w:p>
        </w:tc>
        <w:tc>
          <w:tcPr>
            <w:tcW w:w="530" w:type="pct"/>
            <w:shd w:val="clear" w:color="auto" w:fill="auto"/>
            <w:hideMark/>
          </w:tcPr>
          <w:p w14:paraId="71B30F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10,000-50,000</w:t>
            </w:r>
          </w:p>
        </w:tc>
        <w:tc>
          <w:tcPr>
            <w:tcW w:w="649" w:type="pct"/>
            <w:shd w:val="clear" w:color="auto" w:fill="auto"/>
            <w:hideMark/>
          </w:tcPr>
          <w:p w14:paraId="7D7626C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38BA5E8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2008-2012</w:t>
            </w:r>
          </w:p>
        </w:tc>
        <w:tc>
          <w:tcPr>
            <w:tcW w:w="550" w:type="pct"/>
            <w:shd w:val="clear" w:color="auto" w:fill="auto"/>
            <w:hideMark/>
          </w:tcPr>
          <w:p w14:paraId="60CA6BB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39-59</w:t>
            </w:r>
          </w:p>
        </w:tc>
        <w:tc>
          <w:tcPr>
            <w:tcW w:w="499" w:type="pct"/>
            <w:shd w:val="clear" w:color="auto" w:fill="auto"/>
            <w:hideMark/>
          </w:tcPr>
          <w:p w14:paraId="509233A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3D54D8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790C6AD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 Susana Dias (</w:t>
            </w:r>
            <w:r w:rsidRPr="00C96521">
              <w:rPr>
                <w:rFonts w:cs="Arial"/>
                <w:i/>
                <w:sz w:val="16"/>
                <w:szCs w:val="16"/>
                <w:lang w:val="en-GB" w:eastAsia="ja-JP"/>
              </w:rPr>
              <w:t>pers comm</w:t>
            </w:r>
            <w:r w:rsidRPr="00C96521">
              <w:rPr>
                <w:rFonts w:cs="Arial"/>
                <w:sz w:val="16"/>
                <w:szCs w:val="16"/>
                <w:lang w:val="en-GB" w:eastAsia="ja-JP"/>
              </w:rPr>
              <w:t>)</w:t>
            </w:r>
          </w:p>
        </w:tc>
      </w:tr>
      <w:tr w:rsidR="00EF7FD7" w:rsidRPr="00C96521" w14:paraId="68104480" w14:textId="77777777" w:rsidTr="00235FA0">
        <w:trPr>
          <w:trHeight w:val="136"/>
        </w:trPr>
        <w:tc>
          <w:tcPr>
            <w:tcW w:w="524" w:type="pct"/>
            <w:shd w:val="clear" w:color="auto" w:fill="auto"/>
          </w:tcPr>
          <w:p w14:paraId="14B6FD02" w14:textId="6A25B247" w:rsidR="00EF7FD7" w:rsidRPr="00C96521" w:rsidRDefault="00EF7FD7" w:rsidP="00EF7FD7">
            <w:pPr>
              <w:widowControl/>
              <w:autoSpaceDE/>
              <w:autoSpaceDN/>
              <w:adjustRightInd/>
              <w:rPr>
                <w:rFonts w:cs="Arial"/>
                <w:sz w:val="16"/>
                <w:szCs w:val="16"/>
                <w:lang w:val="en-GB" w:eastAsia="ja-JP"/>
              </w:rPr>
            </w:pPr>
            <w:r>
              <w:rPr>
                <w:rFonts w:cs="Arial"/>
                <w:sz w:val="16"/>
                <w:szCs w:val="16"/>
                <w:lang w:val="en-GB" w:eastAsia="ja-JP"/>
              </w:rPr>
              <w:t>Republic of Moldova</w:t>
            </w:r>
          </w:p>
        </w:tc>
        <w:tc>
          <w:tcPr>
            <w:tcW w:w="530" w:type="pct"/>
            <w:shd w:val="clear" w:color="auto" w:fill="auto"/>
          </w:tcPr>
          <w:p w14:paraId="4B14ECA6" w14:textId="441A0D1A"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3,000-3,500</w:t>
            </w:r>
          </w:p>
        </w:tc>
        <w:tc>
          <w:tcPr>
            <w:tcW w:w="649" w:type="pct"/>
            <w:shd w:val="clear" w:color="auto" w:fill="auto"/>
          </w:tcPr>
          <w:p w14:paraId="7CC77B9C" w14:textId="36756E3F"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tcPr>
          <w:p w14:paraId="0BDE11AD" w14:textId="52132B85"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2000-2010</w:t>
            </w:r>
          </w:p>
        </w:tc>
        <w:tc>
          <w:tcPr>
            <w:tcW w:w="550" w:type="pct"/>
            <w:shd w:val="clear" w:color="auto" w:fill="auto"/>
          </w:tcPr>
          <w:p w14:paraId="6158D304" w14:textId="447975D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0</w:t>
            </w:r>
          </w:p>
        </w:tc>
        <w:tc>
          <w:tcPr>
            <w:tcW w:w="499" w:type="pct"/>
            <w:shd w:val="clear" w:color="auto" w:fill="auto"/>
          </w:tcPr>
          <w:p w14:paraId="27A430FF" w14:textId="02AAA1DC"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tcPr>
          <w:p w14:paraId="60F879BB" w14:textId="671025D9"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3762E5A2" w14:textId="7188E720"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EF7FD7" w:rsidRPr="00C96521" w14:paraId="69BA8A4E" w14:textId="77777777" w:rsidTr="00235FA0">
        <w:trPr>
          <w:trHeight w:val="136"/>
        </w:trPr>
        <w:tc>
          <w:tcPr>
            <w:tcW w:w="524" w:type="pct"/>
            <w:shd w:val="clear" w:color="auto" w:fill="auto"/>
            <w:hideMark/>
          </w:tcPr>
          <w:p w14:paraId="1F809FB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Romania</w:t>
            </w:r>
          </w:p>
        </w:tc>
        <w:tc>
          <w:tcPr>
            <w:tcW w:w="530" w:type="pct"/>
            <w:shd w:val="clear" w:color="auto" w:fill="auto"/>
            <w:hideMark/>
          </w:tcPr>
          <w:p w14:paraId="247BBC98"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120,000-300,000</w:t>
            </w:r>
          </w:p>
        </w:tc>
        <w:tc>
          <w:tcPr>
            <w:tcW w:w="649" w:type="pct"/>
            <w:shd w:val="clear" w:color="auto" w:fill="auto"/>
            <w:hideMark/>
          </w:tcPr>
          <w:p w14:paraId="39FEE4E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029FD83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2010-2013</w:t>
            </w:r>
          </w:p>
        </w:tc>
        <w:tc>
          <w:tcPr>
            <w:tcW w:w="550" w:type="pct"/>
            <w:shd w:val="clear" w:color="auto" w:fill="auto"/>
            <w:hideMark/>
          </w:tcPr>
          <w:p w14:paraId="4936AA92"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0-20</w:t>
            </w:r>
          </w:p>
        </w:tc>
        <w:tc>
          <w:tcPr>
            <w:tcW w:w="499" w:type="pct"/>
            <w:shd w:val="clear" w:color="auto" w:fill="auto"/>
            <w:hideMark/>
          </w:tcPr>
          <w:p w14:paraId="513A6ECB"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fluctuating</w:t>
            </w:r>
          </w:p>
        </w:tc>
        <w:tc>
          <w:tcPr>
            <w:tcW w:w="649" w:type="pct"/>
            <w:shd w:val="clear" w:color="auto" w:fill="auto"/>
            <w:hideMark/>
          </w:tcPr>
          <w:p w14:paraId="49B944B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638E6B62"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EU (2013)</w:t>
            </w:r>
          </w:p>
        </w:tc>
      </w:tr>
      <w:tr w:rsidR="00EF7FD7" w:rsidRPr="00C96521" w14:paraId="46D672BD" w14:textId="77777777" w:rsidTr="00235FA0">
        <w:trPr>
          <w:trHeight w:val="133"/>
        </w:trPr>
        <w:tc>
          <w:tcPr>
            <w:tcW w:w="524" w:type="pct"/>
            <w:shd w:val="clear" w:color="auto" w:fill="auto"/>
            <w:hideMark/>
          </w:tcPr>
          <w:p w14:paraId="3458CE45" w14:textId="7FB0BA29"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Russia</w:t>
            </w:r>
            <w:r>
              <w:rPr>
                <w:rFonts w:cs="Arial"/>
                <w:sz w:val="16"/>
                <w:szCs w:val="16"/>
                <w:lang w:val="en-GB" w:eastAsia="ja-JP"/>
              </w:rPr>
              <w:t>n Federation</w:t>
            </w:r>
            <w:r w:rsidRPr="00C96521">
              <w:rPr>
                <w:rFonts w:cs="Arial"/>
                <w:sz w:val="16"/>
                <w:szCs w:val="16"/>
                <w:lang w:val="en-GB" w:eastAsia="ja-JP"/>
              </w:rPr>
              <w:t xml:space="preserve"> (Europe)</w:t>
            </w:r>
          </w:p>
        </w:tc>
        <w:tc>
          <w:tcPr>
            <w:tcW w:w="530" w:type="pct"/>
            <w:shd w:val="clear" w:color="auto" w:fill="auto"/>
            <w:hideMark/>
          </w:tcPr>
          <w:p w14:paraId="4DEDF12D"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30,000-80,000</w:t>
            </w:r>
          </w:p>
        </w:tc>
        <w:tc>
          <w:tcPr>
            <w:tcW w:w="649" w:type="pct"/>
            <w:shd w:val="clear" w:color="auto" w:fill="auto"/>
            <w:hideMark/>
          </w:tcPr>
          <w:p w14:paraId="3C4A297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04254CBE"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2001-2012</w:t>
            </w:r>
          </w:p>
        </w:tc>
        <w:tc>
          <w:tcPr>
            <w:tcW w:w="550" w:type="pct"/>
            <w:shd w:val="clear" w:color="auto" w:fill="auto"/>
            <w:hideMark/>
          </w:tcPr>
          <w:p w14:paraId="25FDC35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80-90</w:t>
            </w:r>
          </w:p>
        </w:tc>
        <w:tc>
          <w:tcPr>
            <w:tcW w:w="499" w:type="pct"/>
            <w:shd w:val="clear" w:color="auto" w:fill="auto"/>
            <w:hideMark/>
          </w:tcPr>
          <w:p w14:paraId="133B511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5A2EEEB"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36B4881C"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Mischenko (</w:t>
            </w:r>
            <w:r w:rsidRPr="00C96521">
              <w:rPr>
                <w:rFonts w:cs="Arial"/>
                <w:i/>
                <w:sz w:val="16"/>
                <w:szCs w:val="16"/>
                <w:lang w:val="en-GB" w:eastAsia="ja-JP"/>
              </w:rPr>
              <w:t>in press</w:t>
            </w:r>
            <w:r w:rsidRPr="00C96521">
              <w:rPr>
                <w:rFonts w:cs="Arial"/>
                <w:sz w:val="16"/>
                <w:szCs w:val="16"/>
                <w:lang w:val="en-GB" w:eastAsia="ja-JP"/>
              </w:rPr>
              <w:t>)</w:t>
            </w:r>
          </w:p>
        </w:tc>
      </w:tr>
      <w:tr w:rsidR="00EF7FD7" w:rsidRPr="00C96521" w14:paraId="617F2E0F" w14:textId="77777777" w:rsidTr="00235FA0">
        <w:trPr>
          <w:trHeight w:val="235"/>
        </w:trPr>
        <w:tc>
          <w:tcPr>
            <w:tcW w:w="524" w:type="pct"/>
            <w:shd w:val="clear" w:color="auto" w:fill="auto"/>
            <w:hideMark/>
          </w:tcPr>
          <w:p w14:paraId="2BFC8AF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Serbia</w:t>
            </w:r>
          </w:p>
        </w:tc>
        <w:tc>
          <w:tcPr>
            <w:tcW w:w="530" w:type="pct"/>
            <w:shd w:val="clear" w:color="auto" w:fill="auto"/>
            <w:hideMark/>
          </w:tcPr>
          <w:p w14:paraId="126BD217"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39,000-53,000</w:t>
            </w:r>
          </w:p>
        </w:tc>
        <w:tc>
          <w:tcPr>
            <w:tcW w:w="649" w:type="pct"/>
            <w:shd w:val="clear" w:color="auto" w:fill="auto"/>
            <w:hideMark/>
          </w:tcPr>
          <w:p w14:paraId="4D67843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1747ECE0"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2008-2012</w:t>
            </w:r>
          </w:p>
        </w:tc>
        <w:tc>
          <w:tcPr>
            <w:tcW w:w="550" w:type="pct"/>
            <w:shd w:val="clear" w:color="auto" w:fill="auto"/>
            <w:hideMark/>
          </w:tcPr>
          <w:p w14:paraId="3D571E5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1-9</w:t>
            </w:r>
          </w:p>
        </w:tc>
        <w:tc>
          <w:tcPr>
            <w:tcW w:w="499" w:type="pct"/>
            <w:shd w:val="clear" w:color="auto" w:fill="auto"/>
            <w:hideMark/>
          </w:tcPr>
          <w:p w14:paraId="523509E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57CA22F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00ABFFC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 xml:space="preserve">Puzović </w:t>
            </w:r>
            <w:r w:rsidRPr="00C96521">
              <w:rPr>
                <w:rFonts w:cs="Arial"/>
                <w:i/>
                <w:iCs/>
                <w:sz w:val="16"/>
                <w:szCs w:val="16"/>
                <w:lang w:val="en-GB" w:eastAsia="ja-JP"/>
              </w:rPr>
              <w:t xml:space="preserve">et al </w:t>
            </w:r>
            <w:r w:rsidRPr="00C96521">
              <w:rPr>
                <w:rFonts w:cs="Arial"/>
                <w:sz w:val="16"/>
                <w:szCs w:val="16"/>
                <w:lang w:val="en-GB" w:eastAsia="ja-JP"/>
              </w:rPr>
              <w:t>(2003); BirdLife International (2015)</w:t>
            </w:r>
          </w:p>
        </w:tc>
      </w:tr>
      <w:tr w:rsidR="00EF7FD7" w:rsidRPr="00C96521" w14:paraId="477D3EB8" w14:textId="77777777" w:rsidTr="00235FA0">
        <w:trPr>
          <w:trHeight w:val="119"/>
        </w:trPr>
        <w:tc>
          <w:tcPr>
            <w:tcW w:w="524" w:type="pct"/>
            <w:shd w:val="clear" w:color="auto" w:fill="auto"/>
            <w:hideMark/>
          </w:tcPr>
          <w:p w14:paraId="6716CFF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Slovakia</w:t>
            </w:r>
          </w:p>
        </w:tc>
        <w:tc>
          <w:tcPr>
            <w:tcW w:w="530" w:type="pct"/>
            <w:shd w:val="clear" w:color="auto" w:fill="auto"/>
            <w:hideMark/>
          </w:tcPr>
          <w:p w14:paraId="713505D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15,000-30,000</w:t>
            </w:r>
          </w:p>
        </w:tc>
        <w:tc>
          <w:tcPr>
            <w:tcW w:w="649" w:type="pct"/>
            <w:shd w:val="clear" w:color="auto" w:fill="auto"/>
            <w:hideMark/>
          </w:tcPr>
          <w:p w14:paraId="1A2E753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0353333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2002</w:t>
            </w:r>
          </w:p>
        </w:tc>
        <w:tc>
          <w:tcPr>
            <w:tcW w:w="550" w:type="pct"/>
            <w:shd w:val="clear" w:color="auto" w:fill="auto"/>
            <w:hideMark/>
          </w:tcPr>
          <w:p w14:paraId="29E0B15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0</w:t>
            </w:r>
          </w:p>
        </w:tc>
        <w:tc>
          <w:tcPr>
            <w:tcW w:w="499" w:type="pct"/>
            <w:shd w:val="clear" w:color="auto" w:fill="auto"/>
            <w:hideMark/>
          </w:tcPr>
          <w:p w14:paraId="2BFFB00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0B108BC2"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14CE401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EF7FD7" w:rsidRPr="00C96521" w14:paraId="19879585" w14:textId="77777777" w:rsidTr="00235FA0">
        <w:trPr>
          <w:trHeight w:val="87"/>
        </w:trPr>
        <w:tc>
          <w:tcPr>
            <w:tcW w:w="524" w:type="pct"/>
            <w:shd w:val="clear" w:color="auto" w:fill="auto"/>
            <w:hideMark/>
          </w:tcPr>
          <w:p w14:paraId="2ADBF18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Slovenia</w:t>
            </w:r>
          </w:p>
        </w:tc>
        <w:tc>
          <w:tcPr>
            <w:tcW w:w="530" w:type="pct"/>
            <w:shd w:val="clear" w:color="auto" w:fill="auto"/>
            <w:hideMark/>
          </w:tcPr>
          <w:p w14:paraId="52CED72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3,500-5,000</w:t>
            </w:r>
          </w:p>
        </w:tc>
        <w:tc>
          <w:tcPr>
            <w:tcW w:w="649" w:type="pct"/>
            <w:shd w:val="clear" w:color="auto" w:fill="auto"/>
            <w:hideMark/>
          </w:tcPr>
          <w:p w14:paraId="642216E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400" w:type="pct"/>
            <w:shd w:val="clear" w:color="auto" w:fill="auto"/>
            <w:hideMark/>
          </w:tcPr>
          <w:p w14:paraId="0AD5FDFB"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2002-2012</w:t>
            </w:r>
          </w:p>
        </w:tc>
        <w:tc>
          <w:tcPr>
            <w:tcW w:w="550" w:type="pct"/>
            <w:shd w:val="clear" w:color="auto" w:fill="auto"/>
            <w:hideMark/>
          </w:tcPr>
          <w:p w14:paraId="4E7D3A0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25-47</w:t>
            </w:r>
          </w:p>
        </w:tc>
        <w:tc>
          <w:tcPr>
            <w:tcW w:w="499" w:type="pct"/>
            <w:shd w:val="clear" w:color="auto" w:fill="auto"/>
            <w:hideMark/>
          </w:tcPr>
          <w:p w14:paraId="3528396C"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32FA90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3673F4E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Mihelič (2013), Kmecl and Figelj (2015)</w:t>
            </w:r>
          </w:p>
        </w:tc>
      </w:tr>
      <w:tr w:rsidR="00EF7FD7" w:rsidRPr="00C96521" w14:paraId="1D3655CE" w14:textId="77777777" w:rsidTr="00235FA0">
        <w:trPr>
          <w:trHeight w:val="240"/>
        </w:trPr>
        <w:tc>
          <w:tcPr>
            <w:tcW w:w="524" w:type="pct"/>
            <w:shd w:val="clear" w:color="auto" w:fill="auto"/>
            <w:hideMark/>
          </w:tcPr>
          <w:p w14:paraId="017FC0F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Spain</w:t>
            </w:r>
          </w:p>
        </w:tc>
        <w:tc>
          <w:tcPr>
            <w:tcW w:w="530" w:type="pct"/>
            <w:shd w:val="clear" w:color="auto" w:fill="auto"/>
            <w:hideMark/>
          </w:tcPr>
          <w:p w14:paraId="1D1BBA8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1,370,000-2,285,000</w:t>
            </w:r>
          </w:p>
        </w:tc>
        <w:tc>
          <w:tcPr>
            <w:tcW w:w="649" w:type="pct"/>
            <w:shd w:val="clear" w:color="auto" w:fill="auto"/>
            <w:hideMark/>
          </w:tcPr>
          <w:p w14:paraId="4BCF6FE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7004283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2004-2006</w:t>
            </w:r>
          </w:p>
        </w:tc>
        <w:tc>
          <w:tcPr>
            <w:tcW w:w="550" w:type="pct"/>
            <w:shd w:val="clear" w:color="auto" w:fill="auto"/>
            <w:hideMark/>
          </w:tcPr>
          <w:p w14:paraId="6A870EAE"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22.96 (over the period 1998-2015)</w:t>
            </w:r>
          </w:p>
        </w:tc>
        <w:tc>
          <w:tcPr>
            <w:tcW w:w="499" w:type="pct"/>
            <w:shd w:val="clear" w:color="auto" w:fill="auto"/>
            <w:hideMark/>
          </w:tcPr>
          <w:p w14:paraId="5A4B279D"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03B9C4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59E765B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SEO/BirdLife (2016b)</w:t>
            </w:r>
          </w:p>
        </w:tc>
      </w:tr>
      <w:tr w:rsidR="00EF7FD7" w:rsidRPr="00C96521" w14:paraId="00ABE575" w14:textId="77777777" w:rsidTr="00235FA0">
        <w:trPr>
          <w:trHeight w:val="81"/>
        </w:trPr>
        <w:tc>
          <w:tcPr>
            <w:tcW w:w="524" w:type="pct"/>
            <w:shd w:val="clear" w:color="auto" w:fill="auto"/>
            <w:hideMark/>
          </w:tcPr>
          <w:p w14:paraId="4886936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Switzerland</w:t>
            </w:r>
          </w:p>
        </w:tc>
        <w:tc>
          <w:tcPr>
            <w:tcW w:w="530" w:type="pct"/>
            <w:shd w:val="clear" w:color="auto" w:fill="auto"/>
            <w:hideMark/>
          </w:tcPr>
          <w:p w14:paraId="6DD0DE6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1,000-2,500</w:t>
            </w:r>
          </w:p>
        </w:tc>
        <w:tc>
          <w:tcPr>
            <w:tcW w:w="649" w:type="pct"/>
            <w:shd w:val="clear" w:color="auto" w:fill="auto"/>
            <w:hideMark/>
          </w:tcPr>
          <w:p w14:paraId="00F02FE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400" w:type="pct"/>
            <w:shd w:val="clear" w:color="auto" w:fill="auto"/>
            <w:hideMark/>
          </w:tcPr>
          <w:p w14:paraId="196A130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1993-1996</w:t>
            </w:r>
          </w:p>
        </w:tc>
        <w:tc>
          <w:tcPr>
            <w:tcW w:w="550" w:type="pct"/>
            <w:shd w:val="clear" w:color="auto" w:fill="auto"/>
            <w:hideMark/>
          </w:tcPr>
          <w:p w14:paraId="156894D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20-40</w:t>
            </w:r>
          </w:p>
        </w:tc>
        <w:tc>
          <w:tcPr>
            <w:tcW w:w="499" w:type="pct"/>
            <w:shd w:val="clear" w:color="auto" w:fill="auto"/>
            <w:hideMark/>
          </w:tcPr>
          <w:p w14:paraId="6821C76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72EC198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669BC39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 xml:space="preserve">Schmid </w:t>
            </w:r>
            <w:r w:rsidRPr="00C96521">
              <w:rPr>
                <w:rFonts w:cs="Arial"/>
                <w:i/>
                <w:iCs/>
                <w:sz w:val="16"/>
                <w:szCs w:val="16"/>
                <w:lang w:val="en-GB" w:eastAsia="ja-JP"/>
              </w:rPr>
              <w:t>et al</w:t>
            </w:r>
            <w:r w:rsidRPr="00C96521">
              <w:rPr>
                <w:rFonts w:cs="Arial"/>
                <w:sz w:val="16"/>
                <w:szCs w:val="16"/>
                <w:lang w:val="en-GB" w:eastAsia="ja-JP"/>
              </w:rPr>
              <w:t xml:space="preserve"> (1998)</w:t>
            </w:r>
          </w:p>
        </w:tc>
      </w:tr>
      <w:tr w:rsidR="00EF7FD7" w:rsidRPr="00C96521" w14:paraId="6CF6D9BB" w14:textId="77777777" w:rsidTr="00235FA0">
        <w:trPr>
          <w:trHeight w:val="48"/>
        </w:trPr>
        <w:tc>
          <w:tcPr>
            <w:tcW w:w="524" w:type="pct"/>
            <w:shd w:val="clear" w:color="auto" w:fill="auto"/>
            <w:hideMark/>
          </w:tcPr>
          <w:p w14:paraId="5D8E6C4E" w14:textId="2DC1BC01"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Syria</w:t>
            </w:r>
            <w:r>
              <w:rPr>
                <w:rFonts w:cs="Arial"/>
                <w:sz w:val="16"/>
                <w:szCs w:val="16"/>
                <w:lang w:val="en-GB" w:eastAsia="ja-JP"/>
              </w:rPr>
              <w:t>n Arab Republic</w:t>
            </w:r>
          </w:p>
        </w:tc>
        <w:tc>
          <w:tcPr>
            <w:tcW w:w="530" w:type="pct"/>
            <w:shd w:val="clear" w:color="auto" w:fill="auto"/>
            <w:hideMark/>
          </w:tcPr>
          <w:p w14:paraId="3BDDCC0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10,000-100,000</w:t>
            </w:r>
          </w:p>
        </w:tc>
        <w:tc>
          <w:tcPr>
            <w:tcW w:w="649" w:type="pct"/>
            <w:shd w:val="clear" w:color="auto" w:fill="auto"/>
            <w:hideMark/>
          </w:tcPr>
          <w:p w14:paraId="46E8BF6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6A036EE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2010</w:t>
            </w:r>
          </w:p>
        </w:tc>
        <w:tc>
          <w:tcPr>
            <w:tcW w:w="550" w:type="pct"/>
            <w:shd w:val="clear" w:color="auto" w:fill="auto"/>
            <w:hideMark/>
          </w:tcPr>
          <w:p w14:paraId="20C1FB92"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50-75</w:t>
            </w:r>
          </w:p>
        </w:tc>
        <w:tc>
          <w:tcPr>
            <w:tcW w:w="499" w:type="pct"/>
            <w:shd w:val="clear" w:color="auto" w:fill="auto"/>
            <w:hideMark/>
          </w:tcPr>
          <w:p w14:paraId="4CDCC23E"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4C1492D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4C517B5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Nabegh Ghazal Asswad (</w:t>
            </w:r>
            <w:r w:rsidRPr="00C96521">
              <w:rPr>
                <w:rFonts w:cs="Arial"/>
                <w:i/>
                <w:sz w:val="16"/>
                <w:szCs w:val="16"/>
                <w:lang w:val="en-GB" w:eastAsia="ja-JP"/>
              </w:rPr>
              <w:t>pers comm</w:t>
            </w:r>
            <w:r w:rsidRPr="00C96521">
              <w:rPr>
                <w:rFonts w:cs="Arial"/>
                <w:sz w:val="16"/>
                <w:szCs w:val="16"/>
                <w:lang w:val="en-GB" w:eastAsia="ja-JP"/>
              </w:rPr>
              <w:t>)</w:t>
            </w:r>
          </w:p>
        </w:tc>
      </w:tr>
      <w:tr w:rsidR="00EF7FD7" w:rsidRPr="00C96521" w14:paraId="36FEE495" w14:textId="77777777" w:rsidTr="00235FA0">
        <w:trPr>
          <w:trHeight w:val="130"/>
        </w:trPr>
        <w:tc>
          <w:tcPr>
            <w:tcW w:w="524" w:type="pct"/>
            <w:shd w:val="clear" w:color="auto" w:fill="auto"/>
          </w:tcPr>
          <w:p w14:paraId="33E006F5" w14:textId="355ADEA3" w:rsidR="00EF7FD7" w:rsidRPr="00C96521" w:rsidRDefault="00EF7FD7" w:rsidP="00EF7FD7">
            <w:pPr>
              <w:widowControl/>
              <w:autoSpaceDE/>
              <w:autoSpaceDN/>
              <w:adjustRightInd/>
              <w:rPr>
                <w:rFonts w:cs="Arial"/>
                <w:sz w:val="16"/>
                <w:szCs w:val="16"/>
                <w:lang w:val="en-GB" w:eastAsia="ja-JP"/>
              </w:rPr>
            </w:pPr>
            <w:r>
              <w:rPr>
                <w:rFonts w:cs="Arial"/>
                <w:sz w:val="16"/>
                <w:szCs w:val="16"/>
                <w:lang w:val="en-GB" w:eastAsia="ja-JP"/>
              </w:rPr>
              <w:t>The Former Yugoslav Republic of Macedonia</w:t>
            </w:r>
          </w:p>
        </w:tc>
        <w:tc>
          <w:tcPr>
            <w:tcW w:w="530" w:type="pct"/>
            <w:shd w:val="clear" w:color="auto" w:fill="auto"/>
          </w:tcPr>
          <w:p w14:paraId="3477BC99" w14:textId="52005D82"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20,000-60,000</w:t>
            </w:r>
          </w:p>
        </w:tc>
        <w:tc>
          <w:tcPr>
            <w:tcW w:w="649" w:type="pct"/>
            <w:shd w:val="clear" w:color="auto" w:fill="auto"/>
          </w:tcPr>
          <w:p w14:paraId="708AFA05" w14:textId="73102A80"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tcPr>
          <w:p w14:paraId="1EA673C0" w14:textId="4E3B6E61"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2001-2012</w:t>
            </w:r>
          </w:p>
        </w:tc>
        <w:tc>
          <w:tcPr>
            <w:tcW w:w="550" w:type="pct"/>
            <w:shd w:val="clear" w:color="auto" w:fill="auto"/>
          </w:tcPr>
          <w:p w14:paraId="72B34FCF" w14:textId="59065F12"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0</w:t>
            </w:r>
          </w:p>
        </w:tc>
        <w:tc>
          <w:tcPr>
            <w:tcW w:w="499" w:type="pct"/>
            <w:shd w:val="clear" w:color="auto" w:fill="auto"/>
          </w:tcPr>
          <w:p w14:paraId="6409A7D7" w14:textId="647A1B9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tcPr>
          <w:p w14:paraId="6178D5D2" w14:textId="3B8158D5"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199" w:type="pct"/>
          </w:tcPr>
          <w:p w14:paraId="73AFB6A6" w14:textId="6C39A936"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EF7FD7" w:rsidRPr="00C96521" w14:paraId="1FD0BCC8" w14:textId="77777777" w:rsidTr="00235FA0">
        <w:trPr>
          <w:trHeight w:val="130"/>
        </w:trPr>
        <w:tc>
          <w:tcPr>
            <w:tcW w:w="524" w:type="pct"/>
            <w:shd w:val="clear" w:color="auto" w:fill="auto"/>
            <w:hideMark/>
          </w:tcPr>
          <w:p w14:paraId="550BBC3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Tunisia</w:t>
            </w:r>
          </w:p>
        </w:tc>
        <w:tc>
          <w:tcPr>
            <w:tcW w:w="530" w:type="pct"/>
            <w:shd w:val="clear" w:color="auto" w:fill="auto"/>
            <w:hideMark/>
          </w:tcPr>
          <w:p w14:paraId="3E3F74F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23765D4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0EE44B5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672A7848"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635546C8"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598964A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06E87B5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w:t>
            </w:r>
          </w:p>
        </w:tc>
      </w:tr>
      <w:tr w:rsidR="00EF7FD7" w:rsidRPr="00C96521" w14:paraId="3469CEF3" w14:textId="77777777" w:rsidTr="00235FA0">
        <w:trPr>
          <w:trHeight w:val="203"/>
        </w:trPr>
        <w:tc>
          <w:tcPr>
            <w:tcW w:w="524" w:type="pct"/>
            <w:shd w:val="clear" w:color="auto" w:fill="auto"/>
            <w:hideMark/>
          </w:tcPr>
          <w:p w14:paraId="25E7080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Turkey</w:t>
            </w:r>
          </w:p>
        </w:tc>
        <w:tc>
          <w:tcPr>
            <w:tcW w:w="530" w:type="pct"/>
            <w:shd w:val="clear" w:color="auto" w:fill="auto"/>
            <w:hideMark/>
          </w:tcPr>
          <w:p w14:paraId="2B2B669C"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300,000-900,000</w:t>
            </w:r>
          </w:p>
        </w:tc>
        <w:tc>
          <w:tcPr>
            <w:tcW w:w="649" w:type="pct"/>
            <w:shd w:val="clear" w:color="auto" w:fill="auto"/>
            <w:hideMark/>
          </w:tcPr>
          <w:p w14:paraId="3B0C2A6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00" w:type="pct"/>
            <w:shd w:val="clear" w:color="auto" w:fill="auto"/>
            <w:hideMark/>
          </w:tcPr>
          <w:p w14:paraId="5CC30F40"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2016</w:t>
            </w:r>
          </w:p>
        </w:tc>
        <w:tc>
          <w:tcPr>
            <w:tcW w:w="550" w:type="pct"/>
            <w:shd w:val="clear" w:color="auto" w:fill="auto"/>
            <w:hideMark/>
          </w:tcPr>
          <w:p w14:paraId="422CEAA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10-30</w:t>
            </w:r>
          </w:p>
        </w:tc>
        <w:tc>
          <w:tcPr>
            <w:tcW w:w="499" w:type="pct"/>
            <w:shd w:val="clear" w:color="auto" w:fill="auto"/>
            <w:hideMark/>
          </w:tcPr>
          <w:p w14:paraId="50340CA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77D6044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687039E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Zeynel Arslangündogdu (</w:t>
            </w:r>
            <w:r w:rsidRPr="00C96521">
              <w:rPr>
                <w:rFonts w:cs="Arial"/>
                <w:i/>
                <w:sz w:val="16"/>
                <w:szCs w:val="16"/>
                <w:lang w:val="en-GB" w:eastAsia="ja-JP"/>
              </w:rPr>
              <w:t>pers comm</w:t>
            </w:r>
            <w:r w:rsidRPr="00C96521">
              <w:rPr>
                <w:rFonts w:cs="Arial"/>
                <w:sz w:val="16"/>
                <w:szCs w:val="16"/>
                <w:lang w:val="en-GB" w:eastAsia="ja-JP"/>
              </w:rPr>
              <w:t>), BirdLife International (2004), www.kusbank.org</w:t>
            </w:r>
          </w:p>
        </w:tc>
      </w:tr>
      <w:tr w:rsidR="00EF7FD7" w:rsidRPr="00C96521" w14:paraId="0FB4A5F4" w14:textId="77777777" w:rsidTr="00235FA0">
        <w:trPr>
          <w:trHeight w:val="60"/>
        </w:trPr>
        <w:tc>
          <w:tcPr>
            <w:tcW w:w="524" w:type="pct"/>
            <w:shd w:val="clear" w:color="auto" w:fill="auto"/>
            <w:hideMark/>
          </w:tcPr>
          <w:p w14:paraId="5A350210"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Ukraine</w:t>
            </w:r>
          </w:p>
        </w:tc>
        <w:tc>
          <w:tcPr>
            <w:tcW w:w="530" w:type="pct"/>
            <w:shd w:val="clear" w:color="auto" w:fill="auto"/>
            <w:hideMark/>
          </w:tcPr>
          <w:p w14:paraId="3E9D0C1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60,000-80,000</w:t>
            </w:r>
          </w:p>
        </w:tc>
        <w:tc>
          <w:tcPr>
            <w:tcW w:w="649" w:type="pct"/>
            <w:shd w:val="clear" w:color="auto" w:fill="auto"/>
            <w:hideMark/>
          </w:tcPr>
          <w:p w14:paraId="29E56D87"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1A79D1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2000-2010</w:t>
            </w:r>
          </w:p>
        </w:tc>
        <w:tc>
          <w:tcPr>
            <w:tcW w:w="550" w:type="pct"/>
            <w:shd w:val="clear" w:color="auto" w:fill="auto"/>
            <w:hideMark/>
          </w:tcPr>
          <w:p w14:paraId="7642A5BD"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25-40</w:t>
            </w:r>
          </w:p>
        </w:tc>
        <w:tc>
          <w:tcPr>
            <w:tcW w:w="499" w:type="pct"/>
            <w:shd w:val="clear" w:color="auto" w:fill="auto"/>
            <w:hideMark/>
          </w:tcPr>
          <w:p w14:paraId="75DD45C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44CC03AB"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61B59F7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Igor Gorban (</w:t>
            </w:r>
            <w:r w:rsidRPr="00C96521">
              <w:rPr>
                <w:rFonts w:cs="Arial"/>
                <w:i/>
                <w:sz w:val="16"/>
                <w:szCs w:val="16"/>
                <w:lang w:val="en-GB" w:eastAsia="ja-JP"/>
              </w:rPr>
              <w:t>pers comm</w:t>
            </w:r>
            <w:r w:rsidRPr="00C96521">
              <w:rPr>
                <w:rFonts w:cs="Arial"/>
                <w:sz w:val="16"/>
                <w:szCs w:val="16"/>
                <w:lang w:val="en-GB" w:eastAsia="ja-JP"/>
              </w:rPr>
              <w:t>)</w:t>
            </w:r>
          </w:p>
        </w:tc>
      </w:tr>
      <w:tr w:rsidR="00EF7FD7" w:rsidRPr="00C96521" w14:paraId="69AEB4ED" w14:textId="77777777" w:rsidTr="00235FA0">
        <w:trPr>
          <w:trHeight w:val="96"/>
        </w:trPr>
        <w:tc>
          <w:tcPr>
            <w:tcW w:w="524" w:type="pct"/>
            <w:shd w:val="clear" w:color="auto" w:fill="auto"/>
            <w:hideMark/>
          </w:tcPr>
          <w:p w14:paraId="204F3AD0"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United Kingdom</w:t>
            </w:r>
          </w:p>
        </w:tc>
        <w:tc>
          <w:tcPr>
            <w:tcW w:w="530" w:type="pct"/>
            <w:shd w:val="clear" w:color="auto" w:fill="auto"/>
            <w:hideMark/>
          </w:tcPr>
          <w:p w14:paraId="1A9007BE"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5,300</w:t>
            </w:r>
          </w:p>
        </w:tc>
        <w:tc>
          <w:tcPr>
            <w:tcW w:w="649" w:type="pct"/>
            <w:shd w:val="clear" w:color="auto" w:fill="auto"/>
            <w:hideMark/>
          </w:tcPr>
          <w:p w14:paraId="2285D71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039A849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1999-2016</w:t>
            </w:r>
          </w:p>
        </w:tc>
        <w:tc>
          <w:tcPr>
            <w:tcW w:w="550" w:type="pct"/>
            <w:shd w:val="clear" w:color="auto" w:fill="auto"/>
            <w:hideMark/>
          </w:tcPr>
          <w:p w14:paraId="59DDAE3C"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88-93</w:t>
            </w:r>
          </w:p>
        </w:tc>
        <w:tc>
          <w:tcPr>
            <w:tcW w:w="499" w:type="pct"/>
            <w:shd w:val="clear" w:color="auto" w:fill="auto"/>
            <w:hideMark/>
          </w:tcPr>
          <w:p w14:paraId="287206AB"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3976A3E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177B2107"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EU (2013), Walker and Morris (2016)</w:t>
            </w:r>
          </w:p>
        </w:tc>
      </w:tr>
    </w:tbl>
    <w:p w14:paraId="6E5FC874" w14:textId="77777777" w:rsidR="00C96521" w:rsidRPr="00235FA0" w:rsidRDefault="00C96521" w:rsidP="00C96521">
      <w:pPr>
        <w:widowControl/>
        <w:autoSpaceDE/>
        <w:autoSpaceDN/>
        <w:adjustRightInd/>
        <w:spacing w:line="276" w:lineRule="auto"/>
        <w:rPr>
          <w:rFonts w:eastAsia="MS Mincho"/>
          <w:sz w:val="16"/>
          <w:szCs w:val="16"/>
          <w:lang w:val="en-GB" w:eastAsia="ja-JP"/>
        </w:rPr>
      </w:pPr>
    </w:p>
    <w:p w14:paraId="6B99FA9B"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The short-term trend is over the last 10 years (or 3 generations) but the period is not necessarily the same for all countries.</w:t>
      </w:r>
    </w:p>
    <w:p w14:paraId="0551A6E1"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Good (Observed) - based on reliable or representative quantitative data derived from complete counts or comprehensive measurements.</w:t>
      </w:r>
    </w:p>
    <w:p w14:paraId="287BAE80"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Good (Estimated) - based on reliable or representative quantitative data derived from sampling or interpolation.</w:t>
      </w:r>
    </w:p>
    <w:p w14:paraId="2BE23726"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Medium (Estimated) - based on incomplete quantitative data derived from sampling or interpolation.</w:t>
      </w:r>
    </w:p>
    <w:p w14:paraId="206A6DB2"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Medium (Inferred) - based on incomplete or poor quantitative data derived from indirect evidence.</w:t>
      </w:r>
    </w:p>
    <w:p w14:paraId="2DFF04AE"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Poor (Suspected) - based on no quantitative data, but estimates derived from circumstantial evidence</w:t>
      </w:r>
    </w:p>
    <w:p w14:paraId="1D2D714E"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lastRenderedPageBreak/>
        <w:t>Table 3. Migrating and non-breeding populations by country/territory</w:t>
      </w:r>
    </w:p>
    <w:p w14:paraId="7360788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6FCBFEA"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Good data on migrating and wintering numbers and trends for turtle-dove are generally lacking. This table collates known figures, but only represents a small part of the range (see Table 1).</w:t>
      </w:r>
    </w:p>
    <w:p w14:paraId="395B4B0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218"/>
        <w:gridCol w:w="12"/>
        <w:gridCol w:w="1361"/>
        <w:gridCol w:w="23"/>
        <w:gridCol w:w="1639"/>
        <w:gridCol w:w="12"/>
        <w:gridCol w:w="1961"/>
        <w:gridCol w:w="1212"/>
        <w:gridCol w:w="758"/>
        <w:gridCol w:w="1364"/>
        <w:gridCol w:w="9"/>
        <w:gridCol w:w="140"/>
        <w:gridCol w:w="1820"/>
        <w:gridCol w:w="3105"/>
      </w:tblGrid>
      <w:tr w:rsidR="00C96521" w:rsidRPr="00C96521" w14:paraId="5F43AA87" w14:textId="77777777" w:rsidTr="00235FA0">
        <w:trPr>
          <w:trHeight w:val="480"/>
        </w:trPr>
        <w:tc>
          <w:tcPr>
            <w:tcW w:w="420" w:type="pct"/>
            <w:gridSpan w:val="2"/>
            <w:shd w:val="clear" w:color="auto" w:fill="B6DDE8"/>
            <w:hideMark/>
          </w:tcPr>
          <w:p w14:paraId="7E59146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Country/ territory</w:t>
            </w:r>
          </w:p>
        </w:tc>
        <w:tc>
          <w:tcPr>
            <w:tcW w:w="473" w:type="pct"/>
            <w:gridSpan w:val="2"/>
            <w:shd w:val="clear" w:color="auto" w:fill="B6DDE8"/>
            <w:hideMark/>
          </w:tcPr>
          <w:p w14:paraId="3A71296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Season</w:t>
            </w:r>
          </w:p>
        </w:tc>
        <w:tc>
          <w:tcPr>
            <w:tcW w:w="564" w:type="pct"/>
            <w:gridSpan w:val="2"/>
            <w:shd w:val="clear" w:color="auto" w:fill="B6DDE8"/>
            <w:hideMark/>
          </w:tcPr>
          <w:p w14:paraId="224E613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Numbers (birds)</w:t>
            </w:r>
          </w:p>
        </w:tc>
        <w:tc>
          <w:tcPr>
            <w:tcW w:w="670" w:type="pct"/>
            <w:shd w:val="clear" w:color="auto" w:fill="B6DDE8"/>
            <w:hideMark/>
          </w:tcPr>
          <w:p w14:paraId="33F413B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Quality</w:t>
            </w:r>
          </w:p>
        </w:tc>
        <w:tc>
          <w:tcPr>
            <w:tcW w:w="414" w:type="pct"/>
            <w:shd w:val="clear" w:color="auto" w:fill="B6DDE8"/>
            <w:hideMark/>
          </w:tcPr>
          <w:p w14:paraId="35A4DE5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Years</w:t>
            </w:r>
          </w:p>
        </w:tc>
        <w:tc>
          <w:tcPr>
            <w:tcW w:w="259" w:type="pct"/>
            <w:shd w:val="clear" w:color="auto" w:fill="B6DDE8"/>
            <w:hideMark/>
          </w:tcPr>
          <w:p w14:paraId="10F2BCC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Short-term trend (%)</w:t>
            </w:r>
          </w:p>
        </w:tc>
        <w:tc>
          <w:tcPr>
            <w:tcW w:w="517" w:type="pct"/>
            <w:gridSpan w:val="3"/>
            <w:shd w:val="clear" w:color="auto" w:fill="B6DDE8"/>
            <w:hideMark/>
          </w:tcPr>
          <w:p w14:paraId="4B40B37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Direction</w:t>
            </w:r>
          </w:p>
        </w:tc>
        <w:tc>
          <w:tcPr>
            <w:tcW w:w="622" w:type="pct"/>
            <w:shd w:val="clear" w:color="auto" w:fill="B6DDE8"/>
            <w:hideMark/>
          </w:tcPr>
          <w:p w14:paraId="0C32F87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Quality</w:t>
            </w:r>
          </w:p>
        </w:tc>
        <w:tc>
          <w:tcPr>
            <w:tcW w:w="1061" w:type="pct"/>
            <w:shd w:val="clear" w:color="auto" w:fill="B6DDE8"/>
            <w:hideMark/>
          </w:tcPr>
          <w:p w14:paraId="1A7395B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Reference</w:t>
            </w:r>
          </w:p>
        </w:tc>
      </w:tr>
      <w:tr w:rsidR="00C96521" w:rsidRPr="00C96521" w14:paraId="19D5B847" w14:textId="77777777" w:rsidTr="00235FA0">
        <w:tc>
          <w:tcPr>
            <w:tcW w:w="420" w:type="pct"/>
            <w:gridSpan w:val="2"/>
            <w:shd w:val="clear" w:color="auto" w:fill="auto"/>
            <w:hideMark/>
          </w:tcPr>
          <w:p w14:paraId="41F1F27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Belarus</w:t>
            </w:r>
          </w:p>
        </w:tc>
        <w:tc>
          <w:tcPr>
            <w:tcW w:w="473" w:type="pct"/>
            <w:gridSpan w:val="2"/>
            <w:shd w:val="clear" w:color="auto" w:fill="auto"/>
            <w:hideMark/>
          </w:tcPr>
          <w:p w14:paraId="79EF3E2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6A31561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70" w:type="pct"/>
            <w:shd w:val="clear" w:color="auto" w:fill="auto"/>
            <w:hideMark/>
          </w:tcPr>
          <w:p w14:paraId="01C048B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14" w:type="pct"/>
            <w:shd w:val="clear" w:color="auto" w:fill="auto"/>
            <w:hideMark/>
          </w:tcPr>
          <w:p w14:paraId="48B222D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259" w:type="pct"/>
            <w:shd w:val="clear" w:color="auto" w:fill="auto"/>
            <w:hideMark/>
          </w:tcPr>
          <w:p w14:paraId="74F073B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17" w:type="pct"/>
            <w:gridSpan w:val="3"/>
            <w:shd w:val="clear" w:color="auto" w:fill="auto"/>
            <w:hideMark/>
          </w:tcPr>
          <w:p w14:paraId="4793445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22" w:type="pct"/>
            <w:shd w:val="clear" w:color="auto" w:fill="auto"/>
            <w:hideMark/>
          </w:tcPr>
          <w:p w14:paraId="77B26F6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061" w:type="pct"/>
            <w:shd w:val="clear" w:color="auto" w:fill="auto"/>
            <w:hideMark/>
          </w:tcPr>
          <w:p w14:paraId="13680D5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Levy S, Gritchik V, Vorobei N, Kozulin A, Dombrovski V, Vintchevski A, Sakhvon V, Kuzmitski A and Yakubovich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361CFF10" w14:textId="77777777" w:rsidTr="00235FA0">
        <w:tc>
          <w:tcPr>
            <w:tcW w:w="420" w:type="pct"/>
            <w:gridSpan w:val="2"/>
            <w:shd w:val="clear" w:color="auto" w:fill="auto"/>
            <w:hideMark/>
          </w:tcPr>
          <w:p w14:paraId="370B293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Bulgaria</w:t>
            </w:r>
          </w:p>
        </w:tc>
        <w:tc>
          <w:tcPr>
            <w:tcW w:w="473" w:type="pct"/>
            <w:gridSpan w:val="2"/>
            <w:shd w:val="clear" w:color="auto" w:fill="auto"/>
            <w:hideMark/>
          </w:tcPr>
          <w:p w14:paraId="4238663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08B619E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70" w:type="pct"/>
            <w:shd w:val="clear" w:color="auto" w:fill="auto"/>
            <w:hideMark/>
          </w:tcPr>
          <w:p w14:paraId="4D0CAF8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14" w:type="pct"/>
            <w:shd w:val="clear" w:color="auto" w:fill="auto"/>
            <w:hideMark/>
          </w:tcPr>
          <w:p w14:paraId="7AB6842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259" w:type="pct"/>
            <w:shd w:val="clear" w:color="auto" w:fill="auto"/>
            <w:hideMark/>
          </w:tcPr>
          <w:p w14:paraId="46F8387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17" w:type="pct"/>
            <w:gridSpan w:val="3"/>
            <w:shd w:val="clear" w:color="auto" w:fill="auto"/>
            <w:hideMark/>
          </w:tcPr>
          <w:p w14:paraId="3B9AE98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22" w:type="pct"/>
            <w:shd w:val="clear" w:color="auto" w:fill="auto"/>
            <w:hideMark/>
          </w:tcPr>
          <w:p w14:paraId="40FE82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061" w:type="pct"/>
            <w:shd w:val="clear" w:color="auto" w:fill="auto"/>
            <w:hideMark/>
          </w:tcPr>
          <w:p w14:paraId="7ED46B1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BSPB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321A6F9C" w14:textId="77777777" w:rsidTr="00235FA0">
        <w:tc>
          <w:tcPr>
            <w:tcW w:w="420" w:type="pct"/>
            <w:gridSpan w:val="2"/>
            <w:shd w:val="clear" w:color="auto" w:fill="auto"/>
            <w:hideMark/>
          </w:tcPr>
          <w:p w14:paraId="1171DB2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Chad</w:t>
            </w:r>
          </w:p>
        </w:tc>
        <w:tc>
          <w:tcPr>
            <w:tcW w:w="473" w:type="pct"/>
            <w:gridSpan w:val="2"/>
            <w:shd w:val="clear" w:color="auto" w:fill="auto"/>
            <w:hideMark/>
          </w:tcPr>
          <w:p w14:paraId="57F17F4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non-breeding</w:t>
            </w:r>
          </w:p>
        </w:tc>
        <w:tc>
          <w:tcPr>
            <w:tcW w:w="564" w:type="pct"/>
            <w:gridSpan w:val="2"/>
            <w:shd w:val="clear" w:color="auto" w:fill="auto"/>
            <w:hideMark/>
          </w:tcPr>
          <w:p w14:paraId="66AC6FE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&gt;1,000</w:t>
            </w:r>
          </w:p>
        </w:tc>
        <w:tc>
          <w:tcPr>
            <w:tcW w:w="670" w:type="pct"/>
            <w:shd w:val="clear" w:color="auto" w:fill="auto"/>
            <w:hideMark/>
          </w:tcPr>
          <w:p w14:paraId="004ECC9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14" w:type="pct"/>
            <w:shd w:val="clear" w:color="auto" w:fill="auto"/>
            <w:hideMark/>
          </w:tcPr>
          <w:p w14:paraId="6A0B692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2015</w:t>
            </w:r>
          </w:p>
        </w:tc>
        <w:tc>
          <w:tcPr>
            <w:tcW w:w="259" w:type="pct"/>
            <w:shd w:val="clear" w:color="auto" w:fill="auto"/>
            <w:hideMark/>
          </w:tcPr>
          <w:p w14:paraId="52CD4AF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17" w:type="pct"/>
            <w:gridSpan w:val="3"/>
            <w:shd w:val="clear" w:color="auto" w:fill="auto"/>
            <w:hideMark/>
          </w:tcPr>
          <w:p w14:paraId="28C1D97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22" w:type="pct"/>
            <w:shd w:val="clear" w:color="auto" w:fill="auto"/>
            <w:hideMark/>
          </w:tcPr>
          <w:p w14:paraId="2FC1A8F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061" w:type="pct"/>
            <w:shd w:val="clear" w:color="auto" w:fill="auto"/>
            <w:hideMark/>
          </w:tcPr>
          <w:p w14:paraId="337BDEA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WABDaB (2016)</w:t>
            </w:r>
          </w:p>
        </w:tc>
      </w:tr>
      <w:tr w:rsidR="00C96521" w:rsidRPr="00C96521" w14:paraId="2299BA8B" w14:textId="77777777" w:rsidTr="00235FA0">
        <w:tc>
          <w:tcPr>
            <w:tcW w:w="420" w:type="pct"/>
            <w:gridSpan w:val="2"/>
            <w:shd w:val="clear" w:color="auto" w:fill="auto"/>
            <w:hideMark/>
          </w:tcPr>
          <w:p w14:paraId="3B38889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Finland</w:t>
            </w:r>
          </w:p>
        </w:tc>
        <w:tc>
          <w:tcPr>
            <w:tcW w:w="473" w:type="pct"/>
            <w:gridSpan w:val="2"/>
            <w:shd w:val="clear" w:color="auto" w:fill="auto"/>
            <w:hideMark/>
          </w:tcPr>
          <w:p w14:paraId="02DBF4C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non-breeding</w:t>
            </w:r>
          </w:p>
        </w:tc>
        <w:tc>
          <w:tcPr>
            <w:tcW w:w="564" w:type="pct"/>
            <w:gridSpan w:val="2"/>
            <w:shd w:val="clear" w:color="auto" w:fill="auto"/>
            <w:hideMark/>
          </w:tcPr>
          <w:p w14:paraId="4B4B12F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50-100</w:t>
            </w:r>
          </w:p>
        </w:tc>
        <w:tc>
          <w:tcPr>
            <w:tcW w:w="670" w:type="pct"/>
            <w:shd w:val="clear" w:color="auto" w:fill="auto"/>
            <w:hideMark/>
          </w:tcPr>
          <w:p w14:paraId="1A22A9C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14" w:type="pct"/>
            <w:shd w:val="clear" w:color="auto" w:fill="auto"/>
            <w:hideMark/>
          </w:tcPr>
          <w:p w14:paraId="3ED81C4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2010-2014</w:t>
            </w:r>
          </w:p>
        </w:tc>
        <w:tc>
          <w:tcPr>
            <w:tcW w:w="259" w:type="pct"/>
            <w:shd w:val="clear" w:color="auto" w:fill="auto"/>
            <w:hideMark/>
          </w:tcPr>
          <w:p w14:paraId="03C263C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30-50</w:t>
            </w:r>
          </w:p>
        </w:tc>
        <w:tc>
          <w:tcPr>
            <w:tcW w:w="517" w:type="pct"/>
            <w:gridSpan w:val="3"/>
            <w:shd w:val="clear" w:color="auto" w:fill="auto"/>
            <w:hideMark/>
          </w:tcPr>
          <w:p w14:paraId="5379BC4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22" w:type="pct"/>
            <w:shd w:val="clear" w:color="auto" w:fill="auto"/>
            <w:hideMark/>
          </w:tcPr>
          <w:p w14:paraId="0038CF7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hideMark/>
          </w:tcPr>
          <w:p w14:paraId="1E7C537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Finland (</w:t>
            </w:r>
            <w:r w:rsidRPr="00C96521">
              <w:rPr>
                <w:rFonts w:cs="Arial"/>
                <w:i/>
                <w:sz w:val="16"/>
                <w:szCs w:val="16"/>
                <w:lang w:val="en-GB" w:eastAsia="ja-JP"/>
              </w:rPr>
              <w:t>unpublished data</w:t>
            </w:r>
            <w:r w:rsidRPr="00C96521">
              <w:rPr>
                <w:rFonts w:cs="Arial"/>
                <w:sz w:val="16"/>
                <w:szCs w:val="16"/>
                <w:lang w:val="en-GB" w:eastAsia="ja-JP"/>
              </w:rPr>
              <w:t>)</w:t>
            </w:r>
          </w:p>
        </w:tc>
      </w:tr>
      <w:tr w:rsidR="00C96521" w:rsidRPr="00C96521" w14:paraId="35D4A17A" w14:textId="77777777" w:rsidTr="00235FA0">
        <w:tc>
          <w:tcPr>
            <w:tcW w:w="420" w:type="pct"/>
            <w:gridSpan w:val="2"/>
            <w:shd w:val="clear" w:color="auto" w:fill="auto"/>
            <w:hideMark/>
          </w:tcPr>
          <w:p w14:paraId="7E9639F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France</w:t>
            </w:r>
          </w:p>
        </w:tc>
        <w:tc>
          <w:tcPr>
            <w:tcW w:w="473" w:type="pct"/>
            <w:gridSpan w:val="2"/>
            <w:shd w:val="clear" w:color="auto" w:fill="auto"/>
            <w:hideMark/>
          </w:tcPr>
          <w:p w14:paraId="643A9F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64" w:type="pct"/>
            <w:gridSpan w:val="2"/>
            <w:shd w:val="clear" w:color="auto" w:fill="auto"/>
            <w:hideMark/>
          </w:tcPr>
          <w:p w14:paraId="381565C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70" w:type="pct"/>
            <w:shd w:val="clear" w:color="auto" w:fill="auto"/>
            <w:hideMark/>
          </w:tcPr>
          <w:p w14:paraId="27EDEBE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14" w:type="pct"/>
            <w:shd w:val="clear" w:color="auto" w:fill="auto"/>
            <w:hideMark/>
          </w:tcPr>
          <w:p w14:paraId="6D80566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259" w:type="pct"/>
            <w:shd w:val="clear" w:color="auto" w:fill="auto"/>
            <w:hideMark/>
          </w:tcPr>
          <w:p w14:paraId="6F80C5C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17" w:type="pct"/>
            <w:gridSpan w:val="3"/>
            <w:shd w:val="clear" w:color="auto" w:fill="auto"/>
            <w:hideMark/>
          </w:tcPr>
          <w:p w14:paraId="3A303B0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 (this refers to birds passing through France during spring and autumn migration)</w:t>
            </w:r>
          </w:p>
        </w:tc>
        <w:tc>
          <w:tcPr>
            <w:tcW w:w="622" w:type="pct"/>
            <w:shd w:val="clear" w:color="auto" w:fill="auto"/>
            <w:hideMark/>
          </w:tcPr>
          <w:p w14:paraId="675596B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hideMark/>
          </w:tcPr>
          <w:p w14:paraId="5983F18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Hervé Lormée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4A717077" w14:textId="77777777" w:rsidTr="00235FA0">
        <w:tc>
          <w:tcPr>
            <w:tcW w:w="420" w:type="pct"/>
            <w:gridSpan w:val="2"/>
            <w:shd w:val="clear" w:color="auto" w:fill="auto"/>
          </w:tcPr>
          <w:p w14:paraId="16AA7D21" w14:textId="7EB82F78"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The Gambia</w:t>
            </w:r>
          </w:p>
        </w:tc>
        <w:tc>
          <w:tcPr>
            <w:tcW w:w="473" w:type="pct"/>
            <w:gridSpan w:val="2"/>
            <w:shd w:val="clear" w:color="auto" w:fill="auto"/>
          </w:tcPr>
          <w:p w14:paraId="258F25C5" w14:textId="19BF1145"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4" w:type="pct"/>
            <w:gridSpan w:val="2"/>
            <w:shd w:val="clear" w:color="auto" w:fill="auto"/>
          </w:tcPr>
          <w:p w14:paraId="7FA8B4AE" w14:textId="52063D89"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max &gt; 1,000,000 in 1970s</w:t>
            </w:r>
          </w:p>
        </w:tc>
        <w:tc>
          <w:tcPr>
            <w:tcW w:w="670" w:type="pct"/>
            <w:shd w:val="clear" w:color="auto" w:fill="auto"/>
          </w:tcPr>
          <w:p w14:paraId="0628674F" w14:textId="547396D2"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14" w:type="pct"/>
            <w:shd w:val="clear" w:color="auto" w:fill="auto"/>
          </w:tcPr>
          <w:p w14:paraId="570FEAFC" w14:textId="716DDF43"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1970-2016</w:t>
            </w:r>
          </w:p>
        </w:tc>
        <w:tc>
          <w:tcPr>
            <w:tcW w:w="259" w:type="pct"/>
            <w:shd w:val="clear" w:color="auto" w:fill="auto"/>
          </w:tcPr>
          <w:p w14:paraId="18B6A29C" w14:textId="1F1AF98A"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65-75</w:t>
            </w:r>
          </w:p>
        </w:tc>
        <w:tc>
          <w:tcPr>
            <w:tcW w:w="517" w:type="pct"/>
            <w:gridSpan w:val="3"/>
            <w:shd w:val="clear" w:color="auto" w:fill="auto"/>
          </w:tcPr>
          <w:p w14:paraId="31890514" w14:textId="68E3E1B2"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 xml:space="preserve">fluctuating or decreasing </w:t>
            </w:r>
          </w:p>
        </w:tc>
        <w:tc>
          <w:tcPr>
            <w:tcW w:w="622" w:type="pct"/>
            <w:shd w:val="clear" w:color="auto" w:fill="auto"/>
          </w:tcPr>
          <w:p w14:paraId="709491E6" w14:textId="09565D35"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tcPr>
          <w:p w14:paraId="0EAE2942" w14:textId="5142712D" w:rsidR="00235FA0" w:rsidRPr="00C96521" w:rsidRDefault="00235FA0" w:rsidP="00235FA0">
            <w:pPr>
              <w:widowControl/>
              <w:autoSpaceDE/>
              <w:autoSpaceDN/>
              <w:adjustRightInd/>
              <w:rPr>
                <w:rFonts w:cs="Arial"/>
                <w:sz w:val="16"/>
                <w:szCs w:val="16"/>
                <w:lang w:val="en-GB" w:eastAsia="ja-JP"/>
              </w:rPr>
            </w:pPr>
            <w:r w:rsidRPr="00890F11">
              <w:rPr>
                <w:rFonts w:cs="Arial"/>
                <w:sz w:val="16"/>
                <w:szCs w:val="16"/>
                <w:lang w:val="fr-FR" w:eastAsia="ja-JP"/>
              </w:rPr>
              <w:t>Gore (1980), WABSA (</w:t>
            </w:r>
            <w:r w:rsidRPr="00890F11">
              <w:rPr>
                <w:rFonts w:cs="Arial"/>
                <w:i/>
                <w:sz w:val="16"/>
                <w:szCs w:val="16"/>
                <w:lang w:val="fr-FR" w:eastAsia="ja-JP"/>
              </w:rPr>
              <w:t>pers comm</w:t>
            </w:r>
            <w:r w:rsidRPr="00890F11">
              <w:rPr>
                <w:rFonts w:cs="Arial"/>
                <w:sz w:val="16"/>
                <w:szCs w:val="16"/>
                <w:lang w:val="fr-FR" w:eastAsia="ja-JP"/>
              </w:rPr>
              <w:t>), Habitat Africa (</w:t>
            </w:r>
            <w:r w:rsidRPr="00890F11">
              <w:rPr>
                <w:rFonts w:cs="Arial"/>
                <w:i/>
                <w:sz w:val="16"/>
                <w:szCs w:val="16"/>
                <w:lang w:val="fr-FR" w:eastAsia="ja-JP"/>
              </w:rPr>
              <w:t>pers comm</w:t>
            </w:r>
            <w:r w:rsidRPr="00890F11">
              <w:rPr>
                <w:rFonts w:cs="Arial"/>
                <w:sz w:val="16"/>
                <w:szCs w:val="16"/>
                <w:lang w:val="fr-FR" w:eastAsia="ja-JP"/>
              </w:rPr>
              <w:t>), DPWM (</w:t>
            </w:r>
            <w:r w:rsidRPr="00890F11">
              <w:rPr>
                <w:rFonts w:cs="Arial"/>
                <w:i/>
                <w:sz w:val="16"/>
                <w:szCs w:val="16"/>
                <w:lang w:val="fr-FR" w:eastAsia="ja-JP"/>
              </w:rPr>
              <w:t>pers comm</w:t>
            </w:r>
            <w:r w:rsidRPr="00890F11">
              <w:rPr>
                <w:rFonts w:cs="Arial"/>
                <w:sz w:val="16"/>
                <w:szCs w:val="16"/>
                <w:lang w:val="fr-FR" w:eastAsia="ja-JP"/>
              </w:rPr>
              <w:t xml:space="preserve">), Barlow </w:t>
            </w:r>
            <w:r w:rsidRPr="00890F11">
              <w:rPr>
                <w:rFonts w:cs="Arial"/>
                <w:i/>
                <w:iCs/>
                <w:sz w:val="16"/>
                <w:szCs w:val="16"/>
                <w:lang w:val="fr-FR" w:eastAsia="ja-JP"/>
              </w:rPr>
              <w:t>et al (</w:t>
            </w:r>
            <w:r w:rsidRPr="00890F11">
              <w:rPr>
                <w:rFonts w:cs="Arial"/>
                <w:sz w:val="16"/>
                <w:szCs w:val="16"/>
                <w:lang w:val="fr-FR" w:eastAsia="ja-JP"/>
              </w:rPr>
              <w:t>1997)</w:t>
            </w:r>
          </w:p>
        </w:tc>
      </w:tr>
      <w:tr w:rsidR="00235FA0" w:rsidRPr="00C96521" w14:paraId="5BE8D3B1" w14:textId="77777777" w:rsidTr="00235FA0">
        <w:tc>
          <w:tcPr>
            <w:tcW w:w="420" w:type="pct"/>
            <w:gridSpan w:val="2"/>
            <w:shd w:val="clear" w:color="auto" w:fill="auto"/>
            <w:hideMark/>
          </w:tcPr>
          <w:p w14:paraId="3943A754"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Greece</w:t>
            </w:r>
          </w:p>
        </w:tc>
        <w:tc>
          <w:tcPr>
            <w:tcW w:w="473" w:type="pct"/>
            <w:gridSpan w:val="2"/>
            <w:shd w:val="clear" w:color="auto" w:fill="auto"/>
            <w:hideMark/>
          </w:tcPr>
          <w:p w14:paraId="73770B7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38FFDF26"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120,000-320,000</w:t>
            </w:r>
          </w:p>
        </w:tc>
        <w:tc>
          <w:tcPr>
            <w:tcW w:w="670" w:type="pct"/>
            <w:shd w:val="clear" w:color="auto" w:fill="auto"/>
            <w:hideMark/>
          </w:tcPr>
          <w:p w14:paraId="4B2085A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14" w:type="pct"/>
            <w:shd w:val="clear" w:color="auto" w:fill="auto"/>
            <w:hideMark/>
          </w:tcPr>
          <w:p w14:paraId="39B43122"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2010</w:t>
            </w:r>
          </w:p>
        </w:tc>
        <w:tc>
          <w:tcPr>
            <w:tcW w:w="259" w:type="pct"/>
            <w:shd w:val="clear" w:color="auto" w:fill="auto"/>
            <w:hideMark/>
          </w:tcPr>
          <w:p w14:paraId="50CDBA8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10-25</w:t>
            </w:r>
          </w:p>
        </w:tc>
        <w:tc>
          <w:tcPr>
            <w:tcW w:w="517" w:type="pct"/>
            <w:gridSpan w:val="3"/>
            <w:shd w:val="clear" w:color="auto" w:fill="auto"/>
            <w:hideMark/>
          </w:tcPr>
          <w:p w14:paraId="7F7A547D"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22" w:type="pct"/>
            <w:shd w:val="clear" w:color="auto" w:fill="auto"/>
            <w:hideMark/>
          </w:tcPr>
          <w:p w14:paraId="13083221"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061" w:type="pct"/>
            <w:shd w:val="clear" w:color="auto" w:fill="auto"/>
            <w:hideMark/>
          </w:tcPr>
          <w:p w14:paraId="3C77D310"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HOS (</w:t>
            </w:r>
            <w:r w:rsidRPr="00C96521">
              <w:rPr>
                <w:rFonts w:cs="Arial"/>
                <w:i/>
                <w:sz w:val="16"/>
                <w:szCs w:val="16"/>
                <w:lang w:val="en-GB" w:eastAsia="ja-JP"/>
              </w:rPr>
              <w:t>pers comm</w:t>
            </w:r>
            <w:r w:rsidRPr="00C96521">
              <w:rPr>
                <w:rFonts w:cs="Arial"/>
                <w:sz w:val="16"/>
                <w:szCs w:val="16"/>
                <w:lang w:val="en-GB" w:eastAsia="ja-JP"/>
              </w:rPr>
              <w:t>)</w:t>
            </w:r>
          </w:p>
        </w:tc>
      </w:tr>
      <w:tr w:rsidR="00235FA0" w:rsidRPr="008C00B8" w14:paraId="7E977937" w14:textId="77777777" w:rsidTr="00235FA0">
        <w:tc>
          <w:tcPr>
            <w:tcW w:w="420" w:type="pct"/>
            <w:gridSpan w:val="2"/>
            <w:shd w:val="clear" w:color="auto" w:fill="auto"/>
            <w:hideMark/>
          </w:tcPr>
          <w:p w14:paraId="422C69D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Lebanon</w:t>
            </w:r>
          </w:p>
        </w:tc>
        <w:tc>
          <w:tcPr>
            <w:tcW w:w="473" w:type="pct"/>
            <w:gridSpan w:val="2"/>
            <w:shd w:val="clear" w:color="auto" w:fill="auto"/>
            <w:hideMark/>
          </w:tcPr>
          <w:p w14:paraId="3CE5553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4502FF5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15,000-18,000</w:t>
            </w:r>
          </w:p>
        </w:tc>
        <w:tc>
          <w:tcPr>
            <w:tcW w:w="670" w:type="pct"/>
            <w:shd w:val="clear" w:color="auto" w:fill="auto"/>
            <w:hideMark/>
          </w:tcPr>
          <w:p w14:paraId="1F0A76B6"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14" w:type="pct"/>
            <w:shd w:val="clear" w:color="auto" w:fill="auto"/>
            <w:hideMark/>
          </w:tcPr>
          <w:p w14:paraId="6F78F03E"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2000-2015</w:t>
            </w:r>
          </w:p>
        </w:tc>
        <w:tc>
          <w:tcPr>
            <w:tcW w:w="259" w:type="pct"/>
            <w:shd w:val="clear" w:color="auto" w:fill="auto"/>
            <w:hideMark/>
          </w:tcPr>
          <w:p w14:paraId="0DA5695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95</w:t>
            </w:r>
          </w:p>
        </w:tc>
        <w:tc>
          <w:tcPr>
            <w:tcW w:w="517" w:type="pct"/>
            <w:gridSpan w:val="3"/>
            <w:shd w:val="clear" w:color="auto" w:fill="auto"/>
            <w:hideMark/>
          </w:tcPr>
          <w:p w14:paraId="1DC7215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22" w:type="pct"/>
            <w:shd w:val="clear" w:color="auto" w:fill="auto"/>
            <w:hideMark/>
          </w:tcPr>
          <w:p w14:paraId="7B562425"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061" w:type="pct"/>
            <w:shd w:val="clear" w:color="auto" w:fill="auto"/>
            <w:hideMark/>
          </w:tcPr>
          <w:p w14:paraId="32B5AC15" w14:textId="77777777" w:rsidR="00235FA0" w:rsidRPr="00235FA0" w:rsidRDefault="00235FA0" w:rsidP="00235FA0">
            <w:pPr>
              <w:widowControl/>
              <w:autoSpaceDE/>
              <w:autoSpaceDN/>
              <w:adjustRightInd/>
              <w:rPr>
                <w:rFonts w:cs="Arial"/>
                <w:sz w:val="16"/>
                <w:szCs w:val="16"/>
                <w:lang w:val="fr-FR" w:eastAsia="ja-JP"/>
              </w:rPr>
            </w:pPr>
            <w:r w:rsidRPr="00235FA0">
              <w:rPr>
                <w:rFonts w:cs="Arial"/>
                <w:sz w:val="16"/>
                <w:szCs w:val="16"/>
                <w:lang w:val="fr-FR" w:eastAsia="ja-JP"/>
              </w:rPr>
              <w:t>Ghassan Ramadan Jaradi (</w:t>
            </w:r>
            <w:r w:rsidRPr="00235FA0">
              <w:rPr>
                <w:rFonts w:cs="Arial"/>
                <w:i/>
                <w:sz w:val="16"/>
                <w:szCs w:val="16"/>
                <w:lang w:val="fr-FR" w:eastAsia="ja-JP"/>
              </w:rPr>
              <w:t>pers comm</w:t>
            </w:r>
            <w:r w:rsidRPr="00235FA0">
              <w:rPr>
                <w:rFonts w:cs="Arial"/>
                <w:sz w:val="16"/>
                <w:szCs w:val="16"/>
                <w:lang w:val="fr-FR" w:eastAsia="ja-JP"/>
              </w:rPr>
              <w:t>)</w:t>
            </w:r>
          </w:p>
        </w:tc>
      </w:tr>
      <w:tr w:rsidR="00235FA0" w:rsidRPr="00C96521" w14:paraId="6EC03CCD" w14:textId="77777777" w:rsidTr="00235FA0">
        <w:tc>
          <w:tcPr>
            <w:tcW w:w="420" w:type="pct"/>
            <w:gridSpan w:val="2"/>
            <w:shd w:val="clear" w:color="auto" w:fill="auto"/>
            <w:hideMark/>
          </w:tcPr>
          <w:p w14:paraId="14124026"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Mali</w:t>
            </w:r>
          </w:p>
        </w:tc>
        <w:tc>
          <w:tcPr>
            <w:tcW w:w="473" w:type="pct"/>
            <w:gridSpan w:val="2"/>
            <w:shd w:val="clear" w:color="auto" w:fill="auto"/>
            <w:hideMark/>
          </w:tcPr>
          <w:p w14:paraId="1B33AD60"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4" w:type="pct"/>
            <w:gridSpan w:val="2"/>
            <w:shd w:val="clear" w:color="auto" w:fill="auto"/>
            <w:hideMark/>
          </w:tcPr>
          <w:p w14:paraId="288EFEDD"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100,000-150,000</w:t>
            </w:r>
          </w:p>
        </w:tc>
        <w:tc>
          <w:tcPr>
            <w:tcW w:w="670" w:type="pct"/>
            <w:shd w:val="clear" w:color="auto" w:fill="auto"/>
            <w:hideMark/>
          </w:tcPr>
          <w:p w14:paraId="10D4269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414" w:type="pct"/>
            <w:shd w:val="clear" w:color="auto" w:fill="auto"/>
            <w:hideMark/>
          </w:tcPr>
          <w:p w14:paraId="35D98BE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2008</w:t>
            </w:r>
          </w:p>
        </w:tc>
        <w:tc>
          <w:tcPr>
            <w:tcW w:w="259" w:type="pct"/>
            <w:shd w:val="clear" w:color="auto" w:fill="auto"/>
            <w:hideMark/>
          </w:tcPr>
          <w:p w14:paraId="75D91254"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17" w:type="pct"/>
            <w:gridSpan w:val="3"/>
            <w:shd w:val="clear" w:color="auto" w:fill="auto"/>
            <w:hideMark/>
          </w:tcPr>
          <w:p w14:paraId="23A1128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increasing</w:t>
            </w:r>
          </w:p>
        </w:tc>
        <w:tc>
          <w:tcPr>
            <w:tcW w:w="622" w:type="pct"/>
            <w:shd w:val="clear" w:color="auto" w:fill="auto"/>
            <w:hideMark/>
          </w:tcPr>
          <w:p w14:paraId="7551BD1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061" w:type="pct"/>
            <w:shd w:val="clear" w:color="auto" w:fill="auto"/>
            <w:hideMark/>
          </w:tcPr>
          <w:p w14:paraId="5BD0A7B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Bouba Fofana (</w:t>
            </w:r>
            <w:r w:rsidRPr="00C96521">
              <w:rPr>
                <w:rFonts w:cs="Arial"/>
                <w:i/>
                <w:sz w:val="16"/>
                <w:szCs w:val="16"/>
                <w:lang w:val="en-GB" w:eastAsia="ja-JP"/>
              </w:rPr>
              <w:t>unpublished</w:t>
            </w:r>
            <w:r w:rsidRPr="00C96521">
              <w:rPr>
                <w:rFonts w:cs="Arial"/>
                <w:sz w:val="16"/>
                <w:szCs w:val="16"/>
                <w:lang w:val="en-GB" w:eastAsia="ja-JP"/>
              </w:rPr>
              <w:t>)</w:t>
            </w:r>
          </w:p>
        </w:tc>
      </w:tr>
      <w:tr w:rsidR="00235FA0" w:rsidRPr="00C96521" w14:paraId="1AB0AAAA" w14:textId="77777777" w:rsidTr="00235FA0">
        <w:trPr>
          <w:trHeight w:val="144"/>
        </w:trPr>
        <w:tc>
          <w:tcPr>
            <w:tcW w:w="416" w:type="pct"/>
            <w:shd w:val="clear" w:color="auto" w:fill="auto"/>
          </w:tcPr>
          <w:p w14:paraId="0D71545F" w14:textId="6B33091C"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Malta</w:t>
            </w:r>
          </w:p>
        </w:tc>
        <w:tc>
          <w:tcPr>
            <w:tcW w:w="469" w:type="pct"/>
            <w:gridSpan w:val="2"/>
            <w:shd w:val="clear" w:color="auto" w:fill="auto"/>
          </w:tcPr>
          <w:p w14:paraId="4FBE6D8B" w14:textId="0A9AB0F0"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8" w:type="pct"/>
            <w:gridSpan w:val="2"/>
            <w:shd w:val="clear" w:color="auto" w:fill="auto"/>
          </w:tcPr>
          <w:p w14:paraId="577D4DB4" w14:textId="6B829916"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18,054-57,161</w:t>
            </w:r>
          </w:p>
        </w:tc>
        <w:tc>
          <w:tcPr>
            <w:tcW w:w="674" w:type="pct"/>
            <w:gridSpan w:val="2"/>
            <w:shd w:val="clear" w:color="auto" w:fill="auto"/>
          </w:tcPr>
          <w:p w14:paraId="7D1AD4EB" w14:textId="0C37E026"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Good (Estimate)</w:t>
            </w:r>
          </w:p>
        </w:tc>
        <w:tc>
          <w:tcPr>
            <w:tcW w:w="414" w:type="pct"/>
            <w:shd w:val="clear" w:color="auto" w:fill="auto"/>
          </w:tcPr>
          <w:p w14:paraId="0967361B" w14:textId="569ECEB8"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2011-2016</w:t>
            </w:r>
          </w:p>
        </w:tc>
        <w:tc>
          <w:tcPr>
            <w:tcW w:w="259" w:type="pct"/>
            <w:shd w:val="clear" w:color="auto" w:fill="auto"/>
          </w:tcPr>
          <w:p w14:paraId="579371AA" w14:textId="256D5C89"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6.5</w:t>
            </w:r>
          </w:p>
        </w:tc>
        <w:tc>
          <w:tcPr>
            <w:tcW w:w="469" w:type="pct"/>
            <w:gridSpan w:val="2"/>
            <w:shd w:val="clear" w:color="auto" w:fill="auto"/>
          </w:tcPr>
          <w:p w14:paraId="4E7C6804" w14:textId="6F83B8A0"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70" w:type="pct"/>
            <w:gridSpan w:val="2"/>
            <w:shd w:val="clear" w:color="auto" w:fill="auto"/>
          </w:tcPr>
          <w:p w14:paraId="15AF3274" w14:textId="2B4ECF8E"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061" w:type="pct"/>
            <w:shd w:val="clear" w:color="auto" w:fill="auto"/>
          </w:tcPr>
          <w:p w14:paraId="7D2F4D2D" w14:textId="097D5720"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Wild Birds Regulation Unit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0EC90A3D" w14:textId="77777777" w:rsidTr="00235FA0">
        <w:trPr>
          <w:trHeight w:val="144"/>
        </w:trPr>
        <w:tc>
          <w:tcPr>
            <w:tcW w:w="416" w:type="pct"/>
            <w:shd w:val="clear" w:color="auto" w:fill="auto"/>
            <w:hideMark/>
          </w:tcPr>
          <w:p w14:paraId="5FE96C52"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Mauritania</w:t>
            </w:r>
          </w:p>
        </w:tc>
        <w:tc>
          <w:tcPr>
            <w:tcW w:w="469" w:type="pct"/>
            <w:gridSpan w:val="2"/>
            <w:shd w:val="clear" w:color="auto" w:fill="auto"/>
            <w:hideMark/>
          </w:tcPr>
          <w:p w14:paraId="18ED7CB4"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8" w:type="pct"/>
            <w:gridSpan w:val="2"/>
            <w:shd w:val="clear" w:color="auto" w:fill="auto"/>
            <w:hideMark/>
          </w:tcPr>
          <w:p w14:paraId="69D5C2F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500-2,500</w:t>
            </w:r>
          </w:p>
        </w:tc>
        <w:tc>
          <w:tcPr>
            <w:tcW w:w="674" w:type="pct"/>
            <w:gridSpan w:val="2"/>
            <w:shd w:val="clear" w:color="auto" w:fill="auto"/>
            <w:hideMark/>
          </w:tcPr>
          <w:p w14:paraId="48A5FCDC"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14" w:type="pct"/>
            <w:shd w:val="clear" w:color="auto" w:fill="auto"/>
            <w:hideMark/>
          </w:tcPr>
          <w:p w14:paraId="22E2706C"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2015</w:t>
            </w:r>
          </w:p>
        </w:tc>
        <w:tc>
          <w:tcPr>
            <w:tcW w:w="259" w:type="pct"/>
            <w:shd w:val="clear" w:color="auto" w:fill="auto"/>
            <w:hideMark/>
          </w:tcPr>
          <w:p w14:paraId="63FF934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69" w:type="pct"/>
            <w:gridSpan w:val="2"/>
            <w:shd w:val="clear" w:color="auto" w:fill="auto"/>
            <w:hideMark/>
          </w:tcPr>
          <w:p w14:paraId="5EC320C1"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70" w:type="pct"/>
            <w:gridSpan w:val="2"/>
            <w:shd w:val="clear" w:color="auto" w:fill="auto"/>
            <w:hideMark/>
          </w:tcPr>
          <w:p w14:paraId="7ECC6AE5"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061" w:type="pct"/>
            <w:shd w:val="clear" w:color="auto" w:fill="auto"/>
            <w:hideMark/>
          </w:tcPr>
          <w:p w14:paraId="032DCAC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Djibril Diallo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2D320AA6" w14:textId="77777777" w:rsidTr="00235FA0">
        <w:trPr>
          <w:trHeight w:val="144"/>
        </w:trPr>
        <w:tc>
          <w:tcPr>
            <w:tcW w:w="416" w:type="pct"/>
            <w:shd w:val="clear" w:color="auto" w:fill="auto"/>
            <w:hideMark/>
          </w:tcPr>
          <w:p w14:paraId="519A86C0"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Niger</w:t>
            </w:r>
          </w:p>
        </w:tc>
        <w:tc>
          <w:tcPr>
            <w:tcW w:w="469" w:type="pct"/>
            <w:gridSpan w:val="2"/>
            <w:shd w:val="clear" w:color="auto" w:fill="auto"/>
            <w:hideMark/>
          </w:tcPr>
          <w:p w14:paraId="30305442"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8" w:type="pct"/>
            <w:gridSpan w:val="2"/>
            <w:shd w:val="clear" w:color="auto" w:fill="auto"/>
            <w:hideMark/>
          </w:tcPr>
          <w:p w14:paraId="491D4004"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&gt;500</w:t>
            </w:r>
          </w:p>
        </w:tc>
        <w:tc>
          <w:tcPr>
            <w:tcW w:w="674" w:type="pct"/>
            <w:gridSpan w:val="2"/>
            <w:shd w:val="clear" w:color="auto" w:fill="auto"/>
            <w:hideMark/>
          </w:tcPr>
          <w:p w14:paraId="022DC3B5"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14" w:type="pct"/>
            <w:shd w:val="clear" w:color="auto" w:fill="auto"/>
            <w:hideMark/>
          </w:tcPr>
          <w:p w14:paraId="30B9999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2006</w:t>
            </w:r>
          </w:p>
        </w:tc>
        <w:tc>
          <w:tcPr>
            <w:tcW w:w="259" w:type="pct"/>
            <w:shd w:val="clear" w:color="auto" w:fill="auto"/>
            <w:hideMark/>
          </w:tcPr>
          <w:p w14:paraId="5B4647D1"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69" w:type="pct"/>
            <w:gridSpan w:val="2"/>
            <w:shd w:val="clear" w:color="auto" w:fill="auto"/>
            <w:hideMark/>
          </w:tcPr>
          <w:p w14:paraId="323E077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70" w:type="pct"/>
            <w:gridSpan w:val="2"/>
            <w:shd w:val="clear" w:color="auto" w:fill="auto"/>
            <w:hideMark/>
          </w:tcPr>
          <w:p w14:paraId="10B1920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061" w:type="pct"/>
            <w:shd w:val="clear" w:color="auto" w:fill="auto"/>
            <w:hideMark/>
          </w:tcPr>
          <w:p w14:paraId="073C3E6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WABDaB (2016)</w:t>
            </w:r>
          </w:p>
        </w:tc>
      </w:tr>
      <w:tr w:rsidR="00235FA0" w:rsidRPr="00C96521" w14:paraId="5BAD8F4A" w14:textId="77777777" w:rsidTr="00235FA0">
        <w:tc>
          <w:tcPr>
            <w:tcW w:w="416" w:type="pct"/>
            <w:shd w:val="clear" w:color="auto" w:fill="auto"/>
            <w:hideMark/>
          </w:tcPr>
          <w:p w14:paraId="73CF3BF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Nigeria</w:t>
            </w:r>
          </w:p>
        </w:tc>
        <w:tc>
          <w:tcPr>
            <w:tcW w:w="469" w:type="pct"/>
            <w:gridSpan w:val="2"/>
            <w:shd w:val="clear" w:color="auto" w:fill="auto"/>
            <w:hideMark/>
          </w:tcPr>
          <w:p w14:paraId="703DA09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8" w:type="pct"/>
            <w:gridSpan w:val="2"/>
            <w:shd w:val="clear" w:color="auto" w:fill="auto"/>
            <w:hideMark/>
          </w:tcPr>
          <w:p w14:paraId="0746C3E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tens of thousands (see note)</w:t>
            </w:r>
          </w:p>
        </w:tc>
        <w:tc>
          <w:tcPr>
            <w:tcW w:w="674" w:type="pct"/>
            <w:gridSpan w:val="2"/>
            <w:shd w:val="clear" w:color="auto" w:fill="auto"/>
            <w:hideMark/>
          </w:tcPr>
          <w:p w14:paraId="40D6694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14" w:type="pct"/>
            <w:shd w:val="clear" w:color="auto" w:fill="auto"/>
            <w:hideMark/>
          </w:tcPr>
          <w:p w14:paraId="7C91CC5D"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1980s</w:t>
            </w:r>
          </w:p>
        </w:tc>
        <w:tc>
          <w:tcPr>
            <w:tcW w:w="259" w:type="pct"/>
            <w:shd w:val="clear" w:color="auto" w:fill="auto"/>
            <w:hideMark/>
          </w:tcPr>
          <w:p w14:paraId="005A0A7E"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69" w:type="pct"/>
            <w:gridSpan w:val="2"/>
            <w:shd w:val="clear" w:color="auto" w:fill="auto"/>
            <w:hideMark/>
          </w:tcPr>
          <w:p w14:paraId="19513D3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70" w:type="pct"/>
            <w:gridSpan w:val="2"/>
            <w:shd w:val="clear" w:color="auto" w:fill="auto"/>
            <w:hideMark/>
          </w:tcPr>
          <w:p w14:paraId="5CA7599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061" w:type="pct"/>
            <w:shd w:val="clear" w:color="auto" w:fill="auto"/>
            <w:hideMark/>
          </w:tcPr>
          <w:p w14:paraId="1B2453B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Phillip Hall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349F3755" w14:textId="77777777" w:rsidTr="00235FA0">
        <w:tc>
          <w:tcPr>
            <w:tcW w:w="420" w:type="pct"/>
            <w:gridSpan w:val="2"/>
            <w:shd w:val="clear" w:color="auto" w:fill="auto"/>
            <w:hideMark/>
          </w:tcPr>
          <w:p w14:paraId="2C5EFFF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Senegal</w:t>
            </w:r>
          </w:p>
        </w:tc>
        <w:tc>
          <w:tcPr>
            <w:tcW w:w="473" w:type="pct"/>
            <w:gridSpan w:val="2"/>
            <w:shd w:val="clear" w:color="auto" w:fill="auto"/>
            <w:hideMark/>
          </w:tcPr>
          <w:p w14:paraId="538EB11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4" w:type="pct"/>
            <w:gridSpan w:val="2"/>
            <w:shd w:val="clear" w:color="auto" w:fill="auto"/>
            <w:hideMark/>
          </w:tcPr>
          <w:p w14:paraId="242DDEE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7,500-50,000</w:t>
            </w:r>
          </w:p>
        </w:tc>
        <w:tc>
          <w:tcPr>
            <w:tcW w:w="670" w:type="pct"/>
            <w:shd w:val="clear" w:color="auto" w:fill="auto"/>
            <w:hideMark/>
          </w:tcPr>
          <w:p w14:paraId="0ECD52A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14" w:type="pct"/>
            <w:shd w:val="clear" w:color="auto" w:fill="auto"/>
            <w:hideMark/>
          </w:tcPr>
          <w:p w14:paraId="75E8D1D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2015-2016</w:t>
            </w:r>
          </w:p>
        </w:tc>
        <w:tc>
          <w:tcPr>
            <w:tcW w:w="259" w:type="pct"/>
            <w:shd w:val="clear" w:color="auto" w:fill="auto"/>
            <w:hideMark/>
          </w:tcPr>
          <w:p w14:paraId="7FC72B00"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66" w:type="pct"/>
            <w:shd w:val="clear" w:color="auto" w:fill="auto"/>
            <w:hideMark/>
          </w:tcPr>
          <w:p w14:paraId="16C98F9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fluctuating</w:t>
            </w:r>
          </w:p>
        </w:tc>
        <w:tc>
          <w:tcPr>
            <w:tcW w:w="673" w:type="pct"/>
            <w:gridSpan w:val="3"/>
            <w:shd w:val="clear" w:color="auto" w:fill="auto"/>
            <w:hideMark/>
          </w:tcPr>
          <w:p w14:paraId="4D977A8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hideMark/>
          </w:tcPr>
          <w:p w14:paraId="4744C751"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Malang Sarr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0C9BE758" w14:textId="77777777" w:rsidTr="00235FA0">
        <w:tc>
          <w:tcPr>
            <w:tcW w:w="420" w:type="pct"/>
            <w:gridSpan w:val="2"/>
            <w:shd w:val="clear" w:color="auto" w:fill="auto"/>
            <w:hideMark/>
          </w:tcPr>
          <w:p w14:paraId="5B1A879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Serbia</w:t>
            </w:r>
          </w:p>
        </w:tc>
        <w:tc>
          <w:tcPr>
            <w:tcW w:w="473" w:type="pct"/>
            <w:gridSpan w:val="2"/>
            <w:shd w:val="clear" w:color="auto" w:fill="auto"/>
            <w:hideMark/>
          </w:tcPr>
          <w:p w14:paraId="23D102F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246BF71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70" w:type="pct"/>
            <w:shd w:val="clear" w:color="auto" w:fill="auto"/>
            <w:hideMark/>
          </w:tcPr>
          <w:p w14:paraId="5CF388D2"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14" w:type="pct"/>
            <w:shd w:val="clear" w:color="auto" w:fill="auto"/>
            <w:hideMark/>
          </w:tcPr>
          <w:p w14:paraId="05D4BB1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2008-2013</w:t>
            </w:r>
          </w:p>
        </w:tc>
        <w:tc>
          <w:tcPr>
            <w:tcW w:w="259" w:type="pct"/>
            <w:shd w:val="clear" w:color="auto" w:fill="auto"/>
            <w:hideMark/>
          </w:tcPr>
          <w:p w14:paraId="4D1AB3F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66" w:type="pct"/>
            <w:shd w:val="clear" w:color="auto" w:fill="auto"/>
            <w:hideMark/>
          </w:tcPr>
          <w:p w14:paraId="14776E5E"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73" w:type="pct"/>
            <w:gridSpan w:val="3"/>
            <w:shd w:val="clear" w:color="auto" w:fill="auto"/>
            <w:hideMark/>
          </w:tcPr>
          <w:p w14:paraId="44D1B8E1"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061" w:type="pct"/>
            <w:shd w:val="clear" w:color="auto" w:fill="auto"/>
            <w:hideMark/>
          </w:tcPr>
          <w:p w14:paraId="3CAE7A70"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 xml:space="preserve">Puzović </w:t>
            </w:r>
            <w:r w:rsidRPr="00C96521">
              <w:rPr>
                <w:rFonts w:cs="Arial"/>
                <w:i/>
                <w:iCs/>
                <w:sz w:val="16"/>
                <w:szCs w:val="16"/>
                <w:lang w:val="en-GB" w:eastAsia="ja-JP"/>
              </w:rPr>
              <w:t>et al</w:t>
            </w:r>
            <w:r w:rsidRPr="00C96521">
              <w:rPr>
                <w:rFonts w:cs="Arial"/>
                <w:sz w:val="16"/>
                <w:szCs w:val="16"/>
                <w:lang w:val="en-GB" w:eastAsia="ja-JP"/>
              </w:rPr>
              <w:t xml:space="preserve"> (2003)</w:t>
            </w:r>
          </w:p>
        </w:tc>
      </w:tr>
      <w:tr w:rsidR="00235FA0" w:rsidRPr="00C96521" w14:paraId="4F918A20" w14:textId="77777777" w:rsidTr="00235FA0">
        <w:tc>
          <w:tcPr>
            <w:tcW w:w="420" w:type="pct"/>
            <w:gridSpan w:val="2"/>
            <w:shd w:val="clear" w:color="auto" w:fill="auto"/>
            <w:hideMark/>
          </w:tcPr>
          <w:p w14:paraId="5406C77A" w14:textId="5B126653"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Syria</w:t>
            </w:r>
            <w:r>
              <w:rPr>
                <w:rFonts w:cs="Arial"/>
                <w:sz w:val="16"/>
                <w:szCs w:val="16"/>
                <w:lang w:val="en-GB" w:eastAsia="ja-JP"/>
              </w:rPr>
              <w:t>n Arab Republic</w:t>
            </w:r>
          </w:p>
        </w:tc>
        <w:tc>
          <w:tcPr>
            <w:tcW w:w="473" w:type="pct"/>
            <w:gridSpan w:val="2"/>
            <w:shd w:val="clear" w:color="auto" w:fill="auto"/>
            <w:hideMark/>
          </w:tcPr>
          <w:p w14:paraId="231F691E"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0710568E"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100,000-250,000</w:t>
            </w:r>
          </w:p>
        </w:tc>
        <w:tc>
          <w:tcPr>
            <w:tcW w:w="670" w:type="pct"/>
            <w:shd w:val="clear" w:color="auto" w:fill="auto"/>
            <w:hideMark/>
          </w:tcPr>
          <w:p w14:paraId="18D530F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14" w:type="pct"/>
            <w:shd w:val="clear" w:color="auto" w:fill="auto"/>
            <w:hideMark/>
          </w:tcPr>
          <w:p w14:paraId="45C47A74"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2010</w:t>
            </w:r>
          </w:p>
        </w:tc>
        <w:tc>
          <w:tcPr>
            <w:tcW w:w="259" w:type="pct"/>
            <w:shd w:val="clear" w:color="auto" w:fill="auto"/>
            <w:hideMark/>
          </w:tcPr>
          <w:p w14:paraId="1D9A7E3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60-90</w:t>
            </w:r>
          </w:p>
        </w:tc>
        <w:tc>
          <w:tcPr>
            <w:tcW w:w="466" w:type="pct"/>
            <w:shd w:val="clear" w:color="auto" w:fill="auto"/>
            <w:hideMark/>
          </w:tcPr>
          <w:p w14:paraId="4AEA030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fluctuating</w:t>
            </w:r>
          </w:p>
        </w:tc>
        <w:tc>
          <w:tcPr>
            <w:tcW w:w="673" w:type="pct"/>
            <w:gridSpan w:val="3"/>
            <w:shd w:val="clear" w:color="auto" w:fill="auto"/>
            <w:hideMark/>
          </w:tcPr>
          <w:p w14:paraId="0E8278E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hideMark/>
          </w:tcPr>
          <w:p w14:paraId="3E654EEC"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Nabegh Ghazal Asswad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3B3CB76F" w14:textId="77777777" w:rsidTr="00235FA0">
        <w:tc>
          <w:tcPr>
            <w:tcW w:w="420" w:type="pct"/>
            <w:gridSpan w:val="2"/>
            <w:shd w:val="clear" w:color="auto" w:fill="auto"/>
            <w:hideMark/>
          </w:tcPr>
          <w:p w14:paraId="1D6CD80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Ukraine</w:t>
            </w:r>
          </w:p>
        </w:tc>
        <w:tc>
          <w:tcPr>
            <w:tcW w:w="473" w:type="pct"/>
            <w:gridSpan w:val="2"/>
            <w:shd w:val="clear" w:color="auto" w:fill="auto"/>
            <w:hideMark/>
          </w:tcPr>
          <w:p w14:paraId="73A83552"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17126E26"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300,000-500,000</w:t>
            </w:r>
          </w:p>
        </w:tc>
        <w:tc>
          <w:tcPr>
            <w:tcW w:w="670" w:type="pct"/>
            <w:shd w:val="clear" w:color="auto" w:fill="auto"/>
            <w:hideMark/>
          </w:tcPr>
          <w:p w14:paraId="391855E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14" w:type="pct"/>
            <w:shd w:val="clear" w:color="auto" w:fill="auto"/>
            <w:hideMark/>
          </w:tcPr>
          <w:p w14:paraId="75A3B42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2000-2010</w:t>
            </w:r>
          </w:p>
        </w:tc>
        <w:tc>
          <w:tcPr>
            <w:tcW w:w="259" w:type="pct"/>
            <w:shd w:val="clear" w:color="auto" w:fill="auto"/>
            <w:hideMark/>
          </w:tcPr>
          <w:p w14:paraId="2442984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25-30</w:t>
            </w:r>
          </w:p>
        </w:tc>
        <w:tc>
          <w:tcPr>
            <w:tcW w:w="466" w:type="pct"/>
            <w:shd w:val="clear" w:color="auto" w:fill="auto"/>
            <w:hideMark/>
          </w:tcPr>
          <w:p w14:paraId="29D8B57C"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73" w:type="pct"/>
            <w:gridSpan w:val="3"/>
            <w:shd w:val="clear" w:color="auto" w:fill="auto"/>
            <w:hideMark/>
          </w:tcPr>
          <w:p w14:paraId="79B719C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hideMark/>
          </w:tcPr>
          <w:p w14:paraId="0064EF4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Igor Gorban (</w:t>
            </w:r>
            <w:r w:rsidRPr="00C96521">
              <w:rPr>
                <w:rFonts w:cs="Arial"/>
                <w:i/>
                <w:sz w:val="16"/>
                <w:szCs w:val="16"/>
                <w:lang w:val="en-GB" w:eastAsia="ja-JP"/>
              </w:rPr>
              <w:t>pers comm</w:t>
            </w:r>
            <w:r w:rsidRPr="00C96521">
              <w:rPr>
                <w:rFonts w:cs="Arial"/>
                <w:sz w:val="16"/>
                <w:szCs w:val="16"/>
                <w:lang w:val="en-GB" w:eastAsia="ja-JP"/>
              </w:rPr>
              <w:t>)</w:t>
            </w:r>
          </w:p>
        </w:tc>
      </w:tr>
    </w:tbl>
    <w:p w14:paraId="2355F718" w14:textId="77777777" w:rsidR="00C96521" w:rsidRPr="00C96521" w:rsidRDefault="00C96521" w:rsidP="00C96521">
      <w:pPr>
        <w:widowControl/>
        <w:autoSpaceDE/>
        <w:autoSpaceDN/>
        <w:adjustRightInd/>
        <w:rPr>
          <w:rFonts w:cs="Arial"/>
          <w:sz w:val="16"/>
          <w:szCs w:val="16"/>
          <w:lang w:val="en-GB" w:eastAsia="ja-JP"/>
        </w:rPr>
      </w:pPr>
    </w:p>
    <w:p w14:paraId="33F50672" w14:textId="6DCEBC39"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Note on Nigeria: in the 1980s there were thousands of wintering </w:t>
      </w:r>
      <w:r w:rsidR="00230104">
        <w:rPr>
          <w:rFonts w:cs="Arial"/>
          <w:sz w:val="16"/>
          <w:szCs w:val="16"/>
          <w:lang w:val="en-GB" w:eastAsia="ja-JP"/>
        </w:rPr>
        <w:t>T</w:t>
      </w:r>
      <w:r w:rsidRPr="00C96521">
        <w:rPr>
          <w:rFonts w:cs="Arial"/>
          <w:sz w:val="16"/>
          <w:szCs w:val="16"/>
          <w:lang w:val="en-GB" w:eastAsia="ja-JP"/>
        </w:rPr>
        <w:t>urtle</w:t>
      </w:r>
      <w:r w:rsidR="00230104">
        <w:rPr>
          <w:rFonts w:cs="Arial"/>
          <w:sz w:val="16"/>
          <w:szCs w:val="16"/>
          <w:lang w:val="en-GB" w:eastAsia="ja-JP"/>
        </w:rPr>
        <w:t xml:space="preserve"> D</w:t>
      </w:r>
      <w:r w:rsidRPr="00C96521">
        <w:rPr>
          <w:rFonts w:cs="Arial"/>
          <w:sz w:val="16"/>
          <w:szCs w:val="16"/>
          <w:lang w:val="en-GB" w:eastAsia="ja-JP"/>
        </w:rPr>
        <w:t xml:space="preserve">oves in the Jeribowl area to the east of Maiduguri, and there were tens of thousands wintering across to the north of Cameroon, especially around the Lake Chad shore areas. Local unrest makes it impossible currently to visit the area. Turtle-doves have been reported from the ouadis of Kharma and Achim in Chad, in small flocks on the move (20-100 birds in multiple groups) (Tim Wacher </w:t>
      </w:r>
      <w:r w:rsidRPr="00C96521">
        <w:rPr>
          <w:rFonts w:cs="Arial"/>
          <w:i/>
          <w:sz w:val="16"/>
          <w:szCs w:val="16"/>
          <w:lang w:val="en-GB" w:eastAsia="ja-JP"/>
        </w:rPr>
        <w:t>pers comm</w:t>
      </w:r>
      <w:r w:rsidRPr="00C96521">
        <w:rPr>
          <w:rFonts w:cs="Arial"/>
          <w:sz w:val="16"/>
          <w:szCs w:val="16"/>
          <w:lang w:val="en-GB" w:eastAsia="ja-JP"/>
        </w:rPr>
        <w:t>).</w:t>
      </w:r>
    </w:p>
    <w:p w14:paraId="5A051C21" w14:textId="77777777" w:rsidR="00C96521" w:rsidRPr="00C96521" w:rsidRDefault="00C96521" w:rsidP="00C96521">
      <w:pPr>
        <w:widowControl/>
        <w:autoSpaceDE/>
        <w:autoSpaceDN/>
        <w:adjustRightInd/>
        <w:spacing w:line="276" w:lineRule="auto"/>
        <w:rPr>
          <w:rFonts w:eastAsia="MS Mincho"/>
          <w:sz w:val="16"/>
          <w:szCs w:val="16"/>
          <w:lang w:val="en-GB" w:eastAsia="ja-JP"/>
        </w:rPr>
      </w:pPr>
    </w:p>
    <w:p w14:paraId="1114FA3A" w14:textId="77777777" w:rsidR="00C96521" w:rsidRPr="00C96521" w:rsidRDefault="00C96521" w:rsidP="00C96521">
      <w:pPr>
        <w:widowControl/>
        <w:autoSpaceDE/>
        <w:autoSpaceDN/>
        <w:adjustRightInd/>
        <w:spacing w:line="276" w:lineRule="auto"/>
        <w:rPr>
          <w:rFonts w:eastAsia="MS Mincho"/>
          <w:sz w:val="16"/>
          <w:szCs w:val="16"/>
          <w:lang w:val="en-GB" w:eastAsia="ja-JP"/>
        </w:rPr>
        <w:sectPr w:rsidR="00C96521" w:rsidRPr="00C96521" w:rsidSect="00C96521">
          <w:pgSz w:w="16840" w:h="11920" w:orient="landscape"/>
          <w:pgMar w:top="1300" w:right="920" w:bottom="1300" w:left="1276" w:header="730" w:footer="738" w:gutter="0"/>
          <w:cols w:space="720"/>
          <w:docGrid w:linePitch="299"/>
        </w:sectPr>
      </w:pPr>
      <w:r w:rsidRPr="00C96521">
        <w:rPr>
          <w:rFonts w:eastAsia="MS Mincho"/>
          <w:sz w:val="16"/>
          <w:szCs w:val="16"/>
          <w:lang w:val="en-GB" w:eastAsia="ja-JP"/>
        </w:rPr>
        <w:t>See Table2 for trend and quality categories.</w:t>
      </w:r>
    </w:p>
    <w:p w14:paraId="6CD04D8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E3BE2D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A79B94E" w14:textId="4FD378D5" w:rsidR="00C96521" w:rsidRPr="00C96521" w:rsidRDefault="00C96521" w:rsidP="00C96521">
      <w:pPr>
        <w:widowControl/>
        <w:autoSpaceDE/>
        <w:autoSpaceDN/>
        <w:adjustRightInd/>
        <w:spacing w:line="276" w:lineRule="auto"/>
        <w:rPr>
          <w:rFonts w:eastAsia="MS Mincho" w:cs="Arial"/>
          <w:color w:val="FF0000"/>
          <w:sz w:val="20"/>
          <w:szCs w:val="22"/>
          <w:lang w:val="en-GB" w:eastAsia="ja-JP"/>
        </w:rPr>
      </w:pPr>
      <w:r w:rsidRPr="00C96521">
        <w:rPr>
          <w:rFonts w:eastAsia="MS Mincho" w:cs="Arial"/>
          <w:sz w:val="20"/>
          <w:szCs w:val="22"/>
          <w:lang w:val="en-GB" w:eastAsia="ja-JP"/>
        </w:rPr>
        <w:t>Figures 6</w:t>
      </w:r>
      <w:r w:rsidRPr="00C96521">
        <w:rPr>
          <w:rFonts w:eastAsia="MS Mincho" w:cs="Arial"/>
          <w:color w:val="FF0000"/>
          <w:sz w:val="20"/>
          <w:szCs w:val="22"/>
          <w:lang w:val="en-GB" w:eastAsia="ja-JP"/>
        </w:rPr>
        <w:t xml:space="preserve"> </w:t>
      </w:r>
      <w:r w:rsidRPr="00C96521">
        <w:rPr>
          <w:rFonts w:eastAsia="MS Mincho" w:cs="Arial"/>
          <w:sz w:val="20"/>
          <w:szCs w:val="22"/>
          <w:lang w:val="en-GB" w:eastAsia="ja-JP"/>
        </w:rPr>
        <w:t>to 11</w:t>
      </w:r>
      <w:r w:rsidRPr="00C96521">
        <w:rPr>
          <w:rFonts w:eastAsia="MS Mincho" w:cs="Arial"/>
          <w:color w:val="FF0000"/>
          <w:sz w:val="20"/>
          <w:szCs w:val="22"/>
          <w:lang w:val="en-GB" w:eastAsia="ja-JP"/>
        </w:rPr>
        <w:t xml:space="preserve"> </w:t>
      </w:r>
      <w:r w:rsidRPr="00C96521">
        <w:rPr>
          <w:rFonts w:eastAsia="MS Mincho" w:cs="Arial"/>
          <w:sz w:val="20"/>
          <w:szCs w:val="22"/>
          <w:lang w:val="en-GB" w:eastAsia="ja-JP"/>
        </w:rPr>
        <w:t xml:space="preserve">show the population trend of </w:t>
      </w:r>
      <w:r w:rsidR="00230104">
        <w:rPr>
          <w:rFonts w:eastAsia="MS Mincho" w:cs="Arial"/>
          <w:sz w:val="20"/>
          <w:szCs w:val="22"/>
          <w:lang w:val="en-GB" w:eastAsia="ja-JP"/>
        </w:rPr>
        <w:t>T</w:t>
      </w:r>
      <w:r w:rsidR="00230104" w:rsidRPr="00C96521">
        <w:rPr>
          <w:rFonts w:eastAsia="MS Mincho" w:cs="Arial"/>
          <w:sz w:val="20"/>
          <w:szCs w:val="22"/>
          <w:lang w:val="en-GB" w:eastAsia="ja-JP"/>
        </w:rPr>
        <w:t>urtle</w:t>
      </w:r>
      <w:r w:rsidR="00230104">
        <w:rPr>
          <w:rFonts w:eastAsia="MS Mincho" w:cs="Arial"/>
          <w:sz w:val="20"/>
          <w:szCs w:val="22"/>
          <w:lang w:val="en-GB" w:eastAsia="ja-JP"/>
        </w:rPr>
        <w:t xml:space="preserve"> D</w:t>
      </w:r>
      <w:r w:rsidR="00230104" w:rsidRPr="00C96521">
        <w:rPr>
          <w:rFonts w:eastAsia="MS Mincho" w:cs="Arial"/>
          <w:sz w:val="20"/>
          <w:szCs w:val="22"/>
          <w:lang w:val="en-GB" w:eastAsia="ja-JP"/>
        </w:rPr>
        <w:t xml:space="preserve">oves </w:t>
      </w:r>
      <w:r w:rsidRPr="00C96521">
        <w:rPr>
          <w:rFonts w:eastAsia="MS Mincho" w:cs="Arial"/>
          <w:sz w:val="20"/>
          <w:szCs w:val="22"/>
          <w:lang w:val="en-GB" w:eastAsia="ja-JP"/>
        </w:rPr>
        <w:t>in 22 European countries collected by the Pan-European Common Bird Monitoring Scheme (</w:t>
      </w:r>
      <w:r w:rsidRPr="00C96521">
        <w:rPr>
          <w:rFonts w:eastAsia="MS Mincho"/>
          <w:sz w:val="20"/>
          <w:szCs w:val="22"/>
          <w:lang w:val="en-GB" w:eastAsia="ja-JP"/>
        </w:rPr>
        <w:t>EBCC/RSPB/BirdLife/Statistics Netherlands</w:t>
      </w:r>
      <w:r w:rsidRPr="00C96521">
        <w:rPr>
          <w:rFonts w:eastAsia="MS Mincho" w:cs="Arial"/>
          <w:sz w:val="20"/>
          <w:szCs w:val="22"/>
          <w:lang w:val="en-GB" w:eastAsia="ja-JP"/>
        </w:rPr>
        <w:t xml:space="preserve"> 2016). Figures 12 and 13 show the population trend over time experienced by turtle-dove in the western and central-eastern </w:t>
      </w:r>
      <w:r w:rsidRPr="00C96521">
        <w:rPr>
          <w:rFonts w:eastAsia="MS Mincho" w:cs="Arial"/>
          <w:color w:val="000000"/>
          <w:sz w:val="20"/>
          <w:szCs w:val="22"/>
          <w:lang w:val="en-GB" w:eastAsia="ja-JP"/>
        </w:rPr>
        <w:t>populations respectively, while Figure 14 shows all trends. Data for these figures were provided by national breeding bird surveys contributing to the Pan-European Common Bird Monitoring Scheme. In some cases, national coordinators may have chosen to present indices with a different base year; however, the trend of the index remains the same.</w:t>
      </w:r>
    </w:p>
    <w:p w14:paraId="1AC6BA7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54EBDB2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drawing>
          <wp:inline distT="0" distB="0" distL="0" distR="0" wp14:anchorId="7C64B1DB" wp14:editId="3E0825F4">
            <wp:extent cx="5349922" cy="4326340"/>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43D117"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Figure 6. Population trend index for countries in the western European population.</w:t>
      </w:r>
    </w:p>
    <w:p w14:paraId="7FB962B4"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60C7D4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lastRenderedPageBreak/>
        <w:drawing>
          <wp:inline distT="0" distB="0" distL="0" distR="0" wp14:anchorId="59A4E42C" wp14:editId="25D2405B">
            <wp:extent cx="5922334" cy="3338623"/>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2E6682"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Figure 7. Population trend index for Estonia, Latvia, Lithuania and Poland.</w:t>
      </w:r>
    </w:p>
    <w:p w14:paraId="171F43AC"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2573EB09" w14:textId="77777777" w:rsidR="00C96521" w:rsidRPr="00C96521" w:rsidRDefault="00C96521" w:rsidP="00C96521">
      <w:pPr>
        <w:widowControl/>
        <w:autoSpaceDE/>
        <w:autoSpaceDN/>
        <w:adjustRightInd/>
        <w:spacing w:line="276" w:lineRule="auto"/>
        <w:jc w:val="both"/>
        <w:rPr>
          <w:rFonts w:eastAsia="MS Mincho" w:cs="Arial"/>
          <w:sz w:val="20"/>
          <w:szCs w:val="22"/>
          <w:lang w:val="en-GB" w:eastAsia="ja-JP"/>
        </w:rPr>
      </w:pPr>
      <w:r w:rsidRPr="00C96521">
        <w:rPr>
          <w:rFonts w:eastAsia="MS Mincho" w:cs="Arial"/>
          <w:noProof/>
          <w:sz w:val="20"/>
          <w:szCs w:val="22"/>
        </w:rPr>
        <w:drawing>
          <wp:inline distT="0" distB="0" distL="0" distR="0" wp14:anchorId="0DFBAAC5" wp14:editId="0AD2F487">
            <wp:extent cx="5922334" cy="3455582"/>
            <wp:effectExtent l="0" t="0" r="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B0C9208"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i/>
          <w:sz w:val="20"/>
          <w:szCs w:val="22"/>
          <w:lang w:val="en-GB" w:eastAsia="ja-JP"/>
        </w:rPr>
        <w:t>Figure 8. Population trend index for Austria, Czech Republic, Hungary, Italy, Slovakia, Slovenia and Switzerland.</w:t>
      </w:r>
    </w:p>
    <w:p w14:paraId="5C4B2DF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lastRenderedPageBreak/>
        <w:drawing>
          <wp:inline distT="0" distB="0" distL="0" distR="0" wp14:anchorId="59FB91EB" wp14:editId="2319CB06">
            <wp:extent cx="5922335" cy="3179134"/>
            <wp:effectExtent l="0" t="0" r="0"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B2F870B" w14:textId="35182606"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9. Population trend index for Bulgaria, Cyprus, Greece and Romania. </w:t>
      </w:r>
    </w:p>
    <w:p w14:paraId="795C85D0"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6D866E14"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noProof/>
          <w:sz w:val="20"/>
          <w:szCs w:val="22"/>
        </w:rPr>
        <w:drawing>
          <wp:inline distT="0" distB="0" distL="0" distR="0" wp14:anchorId="2F8E792D" wp14:editId="07CB7E94">
            <wp:extent cx="4838700" cy="3571875"/>
            <wp:effectExtent l="0" t="0" r="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939D64C"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10. Population trend index for the five largest populations of turtle-dove contributing to the Pan-European Common Bird Monitoring Scheme. </w:t>
      </w:r>
    </w:p>
    <w:p w14:paraId="1ADF0425"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noProof/>
          <w:sz w:val="20"/>
          <w:szCs w:val="22"/>
        </w:rPr>
        <w:lastRenderedPageBreak/>
        <w:drawing>
          <wp:inline distT="0" distB="0" distL="0" distR="0" wp14:anchorId="24C3B554" wp14:editId="03102EE3">
            <wp:extent cx="5886450" cy="3371850"/>
            <wp:effectExtent l="0" t="0" r="0" b="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8AEAD72" w14:textId="6AE8BFE8"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11. Population trend index for the five populations of </w:t>
      </w:r>
      <w:r w:rsidR="00230104">
        <w:rPr>
          <w:rFonts w:eastAsia="MS Mincho" w:cs="Arial"/>
          <w:i/>
          <w:sz w:val="20"/>
          <w:szCs w:val="22"/>
          <w:lang w:val="en-GB" w:eastAsia="ja-JP"/>
        </w:rPr>
        <w:t>T</w:t>
      </w:r>
      <w:r w:rsidRPr="00C96521">
        <w:rPr>
          <w:rFonts w:eastAsia="MS Mincho" w:cs="Arial"/>
          <w:i/>
          <w:sz w:val="20"/>
          <w:szCs w:val="22"/>
          <w:lang w:val="en-GB" w:eastAsia="ja-JP"/>
        </w:rPr>
        <w:t>urtle</w:t>
      </w:r>
      <w:r w:rsidR="00230104">
        <w:rPr>
          <w:rFonts w:eastAsia="MS Mincho" w:cs="Arial"/>
          <w:i/>
          <w:sz w:val="20"/>
          <w:szCs w:val="22"/>
          <w:lang w:val="en-GB" w:eastAsia="ja-JP"/>
        </w:rPr>
        <w:t xml:space="preserve"> D</w:t>
      </w:r>
      <w:r w:rsidRPr="00C96521">
        <w:rPr>
          <w:rFonts w:eastAsia="MS Mincho" w:cs="Arial"/>
          <w:i/>
          <w:sz w:val="20"/>
          <w:szCs w:val="22"/>
          <w:lang w:val="en-GB" w:eastAsia="ja-JP"/>
        </w:rPr>
        <w:t xml:space="preserve">ove showing the strongest declines based on the multiplicative trend index contributing to the Pan-European Common Bird Monitoring Scheme. </w:t>
      </w:r>
    </w:p>
    <w:p w14:paraId="6040DC7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357547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84F5342" w14:textId="77777777" w:rsidR="00C96521" w:rsidRPr="00C96521" w:rsidRDefault="00C96521" w:rsidP="00C96521">
      <w:pPr>
        <w:widowControl/>
        <w:autoSpaceDE/>
        <w:autoSpaceDN/>
        <w:adjustRightInd/>
        <w:spacing w:line="276" w:lineRule="auto"/>
        <w:jc w:val="center"/>
        <w:rPr>
          <w:rFonts w:eastAsia="MS Mincho" w:cs="Arial"/>
          <w:sz w:val="20"/>
          <w:szCs w:val="22"/>
          <w:lang w:val="en-GB" w:eastAsia="ja-JP"/>
        </w:rPr>
      </w:pPr>
      <w:r w:rsidRPr="00C96521">
        <w:rPr>
          <w:rFonts w:eastAsia="MS Mincho" w:cs="Arial"/>
          <w:noProof/>
          <w:sz w:val="20"/>
          <w:szCs w:val="22"/>
        </w:rPr>
        <w:drawing>
          <wp:inline distT="0" distB="0" distL="0" distR="0" wp14:anchorId="1EE36600" wp14:editId="14CCD5F0">
            <wp:extent cx="4572000" cy="2362200"/>
            <wp:effectExtent l="0" t="0" r="0" b="0"/>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639ED82"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07596899" w14:textId="731B4A9E"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12. Population trend slope for </w:t>
      </w:r>
      <w:r w:rsidR="00230104" w:rsidRPr="00235FA0">
        <w:rPr>
          <w:rFonts w:eastAsia="MS Mincho" w:cs="Arial"/>
          <w:i/>
          <w:sz w:val="20"/>
          <w:szCs w:val="22"/>
          <w:lang w:val="en-GB" w:eastAsia="ja-JP"/>
        </w:rPr>
        <w:t>Turtle Doves</w:t>
      </w:r>
      <w:r w:rsidR="00230104" w:rsidRPr="00C96521">
        <w:rPr>
          <w:rFonts w:eastAsia="MS Mincho" w:cs="Arial"/>
          <w:sz w:val="20"/>
          <w:szCs w:val="22"/>
          <w:lang w:val="en-GB" w:eastAsia="ja-JP"/>
        </w:rPr>
        <w:t xml:space="preserve"> </w:t>
      </w:r>
      <w:r w:rsidRPr="00C96521">
        <w:rPr>
          <w:rFonts w:eastAsia="MS Mincho" w:cs="Arial"/>
          <w:i/>
          <w:sz w:val="20"/>
          <w:szCs w:val="22"/>
          <w:lang w:val="en-GB" w:eastAsia="ja-JP"/>
        </w:rPr>
        <w:t>in countries in the western population contributing to the Pan-European Common Bird Monitoring Scheme. The countries are ordered from north (top) to south. Multiplicative trend over a period considered (Belgium-Wallonia 1990-2014; France 1989-2014; Germany 1989-2014; Netherlands 1984-2014; Portugal 2004-2014; Spain 1998-2014; UK 1966-2014) reflects average percentage change per year. &gt; 1 positive trend, &lt; 1 negative trend.</w:t>
      </w:r>
    </w:p>
    <w:p w14:paraId="0C0E7D4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2E95335" w14:textId="77777777" w:rsidR="00C96521" w:rsidRPr="00C96521" w:rsidRDefault="00C96521" w:rsidP="00C96521">
      <w:pPr>
        <w:widowControl/>
        <w:autoSpaceDE/>
        <w:autoSpaceDN/>
        <w:adjustRightInd/>
        <w:spacing w:line="276" w:lineRule="auto"/>
        <w:jc w:val="center"/>
        <w:rPr>
          <w:rFonts w:eastAsia="MS Mincho" w:cs="Arial"/>
          <w:sz w:val="20"/>
          <w:szCs w:val="22"/>
          <w:lang w:val="en-GB" w:eastAsia="ja-JP"/>
        </w:rPr>
      </w:pPr>
      <w:r w:rsidRPr="00C96521">
        <w:rPr>
          <w:rFonts w:eastAsia="MS Mincho" w:cs="Arial"/>
          <w:noProof/>
          <w:sz w:val="20"/>
          <w:szCs w:val="22"/>
        </w:rPr>
        <w:lastRenderedPageBreak/>
        <w:drawing>
          <wp:inline distT="0" distB="0" distL="0" distR="0" wp14:anchorId="11380AB1" wp14:editId="2DFEEC1D">
            <wp:extent cx="4914900" cy="4972050"/>
            <wp:effectExtent l="0" t="0" r="0" b="0"/>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C29CB21"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1A6297A5" w14:textId="3599F0C3"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13. Population trend slope for </w:t>
      </w:r>
      <w:r w:rsidR="00230104" w:rsidRPr="00235FA0">
        <w:rPr>
          <w:rFonts w:eastAsia="MS Mincho" w:cs="Arial"/>
          <w:i/>
          <w:sz w:val="20"/>
          <w:szCs w:val="22"/>
          <w:lang w:val="en-GB" w:eastAsia="ja-JP"/>
        </w:rPr>
        <w:t>Turtle Doves</w:t>
      </w:r>
      <w:r w:rsidR="00230104" w:rsidRPr="00C96521">
        <w:rPr>
          <w:rFonts w:eastAsia="MS Mincho" w:cs="Arial"/>
          <w:sz w:val="20"/>
          <w:szCs w:val="22"/>
          <w:lang w:val="en-GB" w:eastAsia="ja-JP"/>
        </w:rPr>
        <w:t xml:space="preserve"> </w:t>
      </w:r>
      <w:r w:rsidRPr="00C96521">
        <w:rPr>
          <w:rFonts w:eastAsia="MS Mincho" w:cs="Arial"/>
          <w:i/>
          <w:sz w:val="20"/>
          <w:szCs w:val="22"/>
          <w:lang w:val="en-GB" w:eastAsia="ja-JP"/>
        </w:rPr>
        <w:t>in countries in the central-eastern population contributing to the Pan-European Common Bird Monitoring Scheme. The countries are ordered east (top) to west. Multiplicative trend over a period considered (Austria 1998-2014; Bulgaria 2005-2014; Cyprus 2006-2014; Czech Republic 1982-2014; Estonia 1983-2014; Greece 2007-2014; Hungary 1999-2014; Italy 2000-2014; Latvia 1995-2014; Lithuania 2011-2014; Poland 2000-2014; Romania 2007-2014; Slovakia 2005-2014; Slovenia 2007-2014; Switzerland 1999-2014) reflects average percentage change per year. &gt; 1 positive trend, &lt; 1 negative trend.</w:t>
      </w:r>
    </w:p>
    <w:p w14:paraId="536042B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EEC8C6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lastRenderedPageBreak/>
        <w:drawing>
          <wp:inline distT="0" distB="0" distL="0" distR="0" wp14:anchorId="27B4D6C6" wp14:editId="5FA03348">
            <wp:extent cx="5962650" cy="5086350"/>
            <wp:effectExtent l="0" t="0" r="0"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3D1F832" w14:textId="7A37C6CF"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14. Population trend slope for </w:t>
      </w:r>
      <w:r w:rsidR="00230104" w:rsidRPr="00235FA0">
        <w:rPr>
          <w:rFonts w:eastAsia="MS Mincho" w:cs="Arial"/>
          <w:i/>
          <w:sz w:val="20"/>
          <w:szCs w:val="22"/>
          <w:lang w:val="en-GB" w:eastAsia="ja-JP"/>
        </w:rPr>
        <w:t>Turtle Doves</w:t>
      </w:r>
      <w:r w:rsidR="00230104" w:rsidRPr="00C96521">
        <w:rPr>
          <w:rFonts w:eastAsia="MS Mincho" w:cs="Arial"/>
          <w:sz w:val="20"/>
          <w:szCs w:val="22"/>
          <w:lang w:val="en-GB" w:eastAsia="ja-JP"/>
        </w:rPr>
        <w:t xml:space="preserve"> </w:t>
      </w:r>
      <w:r w:rsidRPr="00C96521">
        <w:rPr>
          <w:rFonts w:eastAsia="MS Mincho" w:cs="Arial"/>
          <w:i/>
          <w:sz w:val="20"/>
          <w:szCs w:val="22"/>
          <w:lang w:val="en-GB" w:eastAsia="ja-JP"/>
        </w:rPr>
        <w:t>in all countries submitting national data to the Pan-European Common Bird Monitoring Scheme. The countries are ordered by population size (largest population at the top). Countries from the western population are shaded in dark grey, countries from the central-eastern populations are shaded in light grey. Multiplicative trend over a time period considered, reflects average percentage change per year. &gt; 1 positive trend, &lt; 1 negative trend.</w:t>
      </w:r>
    </w:p>
    <w:p w14:paraId="692B6E47"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2328B03" w14:textId="3F1633AC" w:rsidR="00C96521" w:rsidRPr="00C96521" w:rsidRDefault="00C96521" w:rsidP="00C96521">
      <w:pPr>
        <w:widowControl/>
        <w:autoSpaceDE/>
        <w:autoSpaceDN/>
        <w:adjustRightInd/>
        <w:spacing w:line="276" w:lineRule="auto"/>
        <w:rPr>
          <w:rFonts w:eastAsia="MS Mincho" w:cs="Arial"/>
          <w:sz w:val="20"/>
          <w:szCs w:val="22"/>
          <w:vertAlign w:val="superscript"/>
          <w:lang w:val="en-GB" w:eastAsia="ja-JP"/>
        </w:rPr>
      </w:pPr>
      <w:r w:rsidRPr="00C96521">
        <w:rPr>
          <w:rFonts w:eastAsia="MS Mincho" w:cs="Arial"/>
          <w:sz w:val="20"/>
          <w:szCs w:val="22"/>
          <w:lang w:val="en-GB" w:eastAsia="ja-JP"/>
        </w:rPr>
        <w:t>Outside of the European Union area, the formerly large population in European Russia has fallen by more than 80</w:t>
      </w:r>
      <w:r w:rsidR="00230104">
        <w:rPr>
          <w:rFonts w:eastAsia="MS Mincho" w:cs="Arial"/>
          <w:sz w:val="20"/>
          <w:szCs w:val="22"/>
          <w:lang w:val="en-GB" w:eastAsia="ja-JP"/>
        </w:rPr>
        <w:t xml:space="preserve"> per cent</w:t>
      </w:r>
      <w:r w:rsidRPr="00C96521">
        <w:rPr>
          <w:rFonts w:eastAsia="MS Mincho" w:cs="Arial"/>
          <w:sz w:val="20"/>
          <w:szCs w:val="22"/>
          <w:lang w:val="en-GB" w:eastAsia="ja-JP"/>
        </w:rPr>
        <w:t xml:space="preserve"> since 2000 and by more than 90</w:t>
      </w:r>
      <w:r w:rsidR="00230104">
        <w:rPr>
          <w:rFonts w:eastAsia="MS Mincho" w:cs="Arial"/>
          <w:sz w:val="20"/>
          <w:szCs w:val="22"/>
          <w:lang w:val="en-GB" w:eastAsia="ja-JP"/>
        </w:rPr>
        <w:t xml:space="preserve"> per cent</w:t>
      </w:r>
      <w:r w:rsidRPr="00C96521">
        <w:rPr>
          <w:rFonts w:eastAsia="MS Mincho" w:cs="Arial"/>
          <w:sz w:val="20"/>
          <w:szCs w:val="22"/>
          <w:lang w:val="en-GB" w:eastAsia="ja-JP"/>
        </w:rPr>
        <w:t xml:space="preserve"> since 1980 according to reports from the region (BirdLife International 2015). Declines have been reported for the species in both the forest and steppe zones of European Russia (Alexander Mischenko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The species underwent a strong decline in the 1990s and 2000s in the forest zone, in Leningrad, Kirov, Kostroma and Novgorod regions (Golovan 2002, Sotnikov 2002, Ivanchev and Denis 2011, Mischenko 2015). At a monitoring plot in the Kostroma Region, </w:t>
      </w:r>
      <w:r w:rsidR="00230104">
        <w:rPr>
          <w:rFonts w:eastAsia="MS Mincho" w:cs="Arial"/>
          <w:sz w:val="20"/>
          <w:szCs w:val="22"/>
          <w:lang w:val="en-GB" w:eastAsia="ja-JP"/>
        </w:rPr>
        <w:t>the T</w:t>
      </w:r>
      <w:r w:rsidR="00230104" w:rsidRPr="00C96521">
        <w:rPr>
          <w:rFonts w:eastAsia="MS Mincho" w:cs="Arial"/>
          <w:sz w:val="20"/>
          <w:szCs w:val="22"/>
          <w:lang w:val="en-GB" w:eastAsia="ja-JP"/>
        </w:rPr>
        <w:t>urtle</w:t>
      </w:r>
      <w:r w:rsidR="00230104">
        <w:rPr>
          <w:rFonts w:eastAsia="MS Mincho" w:cs="Arial"/>
          <w:sz w:val="20"/>
          <w:szCs w:val="22"/>
          <w:lang w:val="en-GB" w:eastAsia="ja-JP"/>
        </w:rPr>
        <w:t xml:space="preserve"> D</w:t>
      </w:r>
      <w:r w:rsidR="00230104" w:rsidRPr="00C96521">
        <w:rPr>
          <w:rFonts w:eastAsia="MS Mincho" w:cs="Arial"/>
          <w:sz w:val="20"/>
          <w:szCs w:val="22"/>
          <w:lang w:val="en-GB" w:eastAsia="ja-JP"/>
        </w:rPr>
        <w:t xml:space="preserve">oves </w:t>
      </w:r>
      <w:r w:rsidRPr="00C96521">
        <w:rPr>
          <w:rFonts w:eastAsia="MS Mincho" w:cs="Arial"/>
          <w:sz w:val="20"/>
          <w:szCs w:val="22"/>
          <w:lang w:val="en-GB" w:eastAsia="ja-JP"/>
        </w:rPr>
        <w:t>was common in 1978-1980, with an average abundance in woodlands of two individuals per km</w:t>
      </w:r>
      <w:r w:rsidRPr="00C96521">
        <w:rPr>
          <w:rFonts w:eastAsia="MS Mincho" w:cs="Arial"/>
          <w:sz w:val="20"/>
          <w:szCs w:val="22"/>
          <w:vertAlign w:val="superscript"/>
          <w:lang w:val="en-GB" w:eastAsia="ja-JP"/>
        </w:rPr>
        <w:t>2</w:t>
      </w:r>
      <w:r w:rsidRPr="00C96521">
        <w:rPr>
          <w:rFonts w:eastAsia="MS Mincho" w:cs="Arial"/>
          <w:sz w:val="20"/>
          <w:szCs w:val="22"/>
          <w:lang w:val="en-GB" w:eastAsia="ja-JP"/>
        </w:rPr>
        <w:t>. However, in 2008-2009 the species was completely absent (Preobrazhenskaya 2009). In many regions of the steppe zone of southern Russia there was a 20-40% decrease in the 1990s. In the Rostov and Volgograd regions and in the Dagestan Republic, populations decreased by approximately 50</w:t>
      </w:r>
      <w:r w:rsidR="00230104">
        <w:rPr>
          <w:rFonts w:eastAsia="MS Mincho" w:cs="Arial"/>
          <w:sz w:val="20"/>
          <w:szCs w:val="22"/>
          <w:lang w:val="en-GB" w:eastAsia="ja-JP"/>
        </w:rPr>
        <w:t xml:space="preserve"> per cent</w:t>
      </w:r>
      <w:r w:rsidRPr="00C96521">
        <w:rPr>
          <w:rFonts w:eastAsia="MS Mincho" w:cs="Arial"/>
          <w:sz w:val="20"/>
          <w:szCs w:val="22"/>
          <w:lang w:val="en-GB" w:eastAsia="ja-JP"/>
        </w:rPr>
        <w:t xml:space="preserve"> or more over 10 years (Belik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2003). The total population of </w:t>
      </w:r>
      <w:r w:rsidR="00230104">
        <w:rPr>
          <w:rFonts w:eastAsia="MS Mincho" w:cs="Arial"/>
          <w:sz w:val="20"/>
          <w:szCs w:val="22"/>
          <w:lang w:val="en-GB" w:eastAsia="ja-JP"/>
        </w:rPr>
        <w:t>T</w:t>
      </w:r>
      <w:r w:rsidR="00230104" w:rsidRPr="00C96521">
        <w:rPr>
          <w:rFonts w:eastAsia="MS Mincho" w:cs="Arial"/>
          <w:sz w:val="20"/>
          <w:szCs w:val="22"/>
          <w:lang w:val="en-GB" w:eastAsia="ja-JP"/>
        </w:rPr>
        <w:t>urtle</w:t>
      </w:r>
      <w:r w:rsidR="00230104">
        <w:rPr>
          <w:rFonts w:eastAsia="MS Mincho" w:cs="Arial"/>
          <w:sz w:val="20"/>
          <w:szCs w:val="22"/>
          <w:lang w:val="en-GB" w:eastAsia="ja-JP"/>
        </w:rPr>
        <w:t xml:space="preserve"> D</w:t>
      </w:r>
      <w:r w:rsidR="00230104" w:rsidRPr="00C96521">
        <w:rPr>
          <w:rFonts w:eastAsia="MS Mincho" w:cs="Arial"/>
          <w:sz w:val="20"/>
          <w:szCs w:val="22"/>
          <w:lang w:val="en-GB" w:eastAsia="ja-JP"/>
        </w:rPr>
        <w:t xml:space="preserve">oves </w:t>
      </w:r>
      <w:r w:rsidRPr="00C96521">
        <w:rPr>
          <w:rFonts w:eastAsia="MS Mincho" w:cs="Arial"/>
          <w:sz w:val="20"/>
          <w:szCs w:val="22"/>
          <w:lang w:val="en-GB" w:eastAsia="ja-JP"/>
        </w:rPr>
        <w:t>in southern Russia at the beginning of the 21</w:t>
      </w:r>
      <w:r w:rsidRPr="00235FA0">
        <w:rPr>
          <w:rFonts w:eastAsia="MS Mincho" w:cs="Arial"/>
          <w:sz w:val="20"/>
          <w:szCs w:val="22"/>
          <w:vertAlign w:val="superscript"/>
          <w:lang w:val="en-GB" w:eastAsia="ja-JP"/>
        </w:rPr>
        <w:t>st</w:t>
      </w:r>
      <w:r w:rsidR="00230104">
        <w:rPr>
          <w:rFonts w:eastAsia="MS Mincho" w:cs="Arial"/>
          <w:sz w:val="20"/>
          <w:szCs w:val="22"/>
          <w:lang w:val="en-GB" w:eastAsia="ja-JP"/>
        </w:rPr>
        <w:t xml:space="preserve"> </w:t>
      </w:r>
      <w:r w:rsidRPr="00C96521">
        <w:rPr>
          <w:rFonts w:eastAsia="MS Mincho" w:cs="Arial"/>
          <w:sz w:val="20"/>
          <w:szCs w:val="22"/>
          <w:lang w:val="en-GB" w:eastAsia="ja-JP"/>
        </w:rPr>
        <w:t>century was estimated to be 100</w:t>
      </w:r>
      <w:r w:rsidR="00230104">
        <w:rPr>
          <w:rFonts w:eastAsia="MS Mincho" w:cs="Arial"/>
          <w:sz w:val="20"/>
          <w:szCs w:val="22"/>
          <w:lang w:val="en-GB" w:eastAsia="ja-JP"/>
        </w:rPr>
        <w:t>,000</w:t>
      </w:r>
      <w:r w:rsidRPr="00C96521">
        <w:rPr>
          <w:rFonts w:eastAsia="MS Mincho" w:cs="Arial"/>
          <w:sz w:val="20"/>
          <w:szCs w:val="22"/>
          <w:lang w:val="en-GB" w:eastAsia="ja-JP"/>
        </w:rPr>
        <w:t xml:space="preserve">-300,000 pairs, while in the 2010s the population was estimated at just 1-2,000 pairs (Belik 2005, 2014). The overall population estimate for </w:t>
      </w:r>
      <w:r w:rsidR="00230104">
        <w:rPr>
          <w:rFonts w:eastAsia="MS Mincho" w:cs="Arial"/>
          <w:sz w:val="20"/>
          <w:szCs w:val="22"/>
          <w:lang w:val="en-GB" w:eastAsia="ja-JP"/>
        </w:rPr>
        <w:t>T</w:t>
      </w:r>
      <w:r w:rsidR="00230104" w:rsidRPr="00C96521">
        <w:rPr>
          <w:rFonts w:eastAsia="MS Mincho" w:cs="Arial"/>
          <w:sz w:val="20"/>
          <w:szCs w:val="22"/>
          <w:lang w:val="en-GB" w:eastAsia="ja-JP"/>
        </w:rPr>
        <w:t>urtle</w:t>
      </w:r>
      <w:r w:rsidR="00230104">
        <w:rPr>
          <w:rFonts w:eastAsia="MS Mincho" w:cs="Arial"/>
          <w:sz w:val="20"/>
          <w:szCs w:val="22"/>
          <w:lang w:val="en-GB" w:eastAsia="ja-JP"/>
        </w:rPr>
        <w:t xml:space="preserve"> D</w:t>
      </w:r>
      <w:r w:rsidR="00230104" w:rsidRPr="00C96521">
        <w:rPr>
          <w:rFonts w:eastAsia="MS Mincho" w:cs="Arial"/>
          <w:sz w:val="20"/>
          <w:szCs w:val="22"/>
          <w:lang w:val="en-GB" w:eastAsia="ja-JP"/>
        </w:rPr>
        <w:t xml:space="preserve">oves </w:t>
      </w:r>
      <w:r w:rsidRPr="00C96521">
        <w:rPr>
          <w:rFonts w:eastAsia="MS Mincho" w:cs="Arial"/>
          <w:sz w:val="20"/>
          <w:szCs w:val="22"/>
          <w:lang w:val="en-GB" w:eastAsia="ja-JP"/>
        </w:rPr>
        <w:t>in European Russia decreased from 1</w:t>
      </w:r>
      <w:r w:rsidR="00230104">
        <w:rPr>
          <w:rFonts w:eastAsia="MS Mincho" w:cs="Arial"/>
          <w:sz w:val="20"/>
          <w:szCs w:val="22"/>
          <w:lang w:val="en-GB" w:eastAsia="ja-JP"/>
        </w:rPr>
        <w:t xml:space="preserve"> million </w:t>
      </w:r>
      <w:r w:rsidRPr="00C96521">
        <w:rPr>
          <w:rFonts w:eastAsia="MS Mincho" w:cs="Arial"/>
          <w:sz w:val="20"/>
          <w:szCs w:val="22"/>
          <w:lang w:val="en-GB" w:eastAsia="ja-JP"/>
        </w:rPr>
        <w:t xml:space="preserve">-2.5 million pairs in 2000 (Mischenko 2004) to 30-80,000 pairs in 2012 (Mischenko </w:t>
      </w:r>
      <w:r w:rsidRPr="00C96521">
        <w:rPr>
          <w:rFonts w:eastAsia="MS Mincho" w:cs="Arial"/>
          <w:i/>
          <w:sz w:val="20"/>
          <w:szCs w:val="22"/>
          <w:lang w:val="en-GB" w:eastAsia="ja-JP"/>
        </w:rPr>
        <w:t>in press</w:t>
      </w:r>
      <w:r w:rsidRPr="00C96521">
        <w:rPr>
          <w:rFonts w:eastAsia="MS Mincho" w:cs="Arial"/>
          <w:sz w:val="20"/>
          <w:szCs w:val="22"/>
          <w:lang w:val="en-GB" w:eastAsia="ja-JP"/>
        </w:rPr>
        <w:t xml:space="preserve">). The scale of the declines in the 1990s-2000s in both the steppe zone with strong farming and the forest zone with much </w:t>
      </w:r>
      <w:r w:rsidRPr="00C96521">
        <w:rPr>
          <w:rFonts w:eastAsia="MS Mincho" w:cs="Arial"/>
          <w:sz w:val="20"/>
          <w:szCs w:val="22"/>
          <w:lang w:val="en-GB" w:eastAsia="ja-JP"/>
        </w:rPr>
        <w:lastRenderedPageBreak/>
        <w:t xml:space="preserve">lower intensity farming, points to factors outside the breeding range having a strong negative influence on the Russian population (Alexander Mischenko </w:t>
      </w:r>
      <w:r w:rsidRPr="00C96521">
        <w:rPr>
          <w:rFonts w:eastAsia="MS Mincho" w:cs="Arial"/>
          <w:i/>
          <w:sz w:val="20"/>
          <w:szCs w:val="22"/>
          <w:lang w:val="en-GB" w:eastAsia="ja-JP"/>
        </w:rPr>
        <w:t>pers comm</w:t>
      </w:r>
      <w:r w:rsidRPr="00C96521">
        <w:rPr>
          <w:rFonts w:eastAsia="MS Mincho" w:cs="Arial"/>
          <w:sz w:val="20"/>
          <w:szCs w:val="22"/>
          <w:lang w:val="en-GB" w:eastAsia="ja-JP"/>
        </w:rPr>
        <w:t>).</w:t>
      </w:r>
    </w:p>
    <w:p w14:paraId="280BB72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47EFEF4"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Central Asia (Afghanistan, Kazakhstan, Kyrgyzstan, Tajikistan, Turkmenistan and Uzbekistan) a very simple analysis of opportunistic observations of the species suggests that it has experienced a moderate or possibly strong decline over the past two to four decades (Raffael Ayé </w:t>
      </w:r>
      <w:r w:rsidRPr="00C96521">
        <w:rPr>
          <w:rFonts w:eastAsia="MS Mincho" w:cs="Arial"/>
          <w:i/>
          <w:iCs/>
          <w:sz w:val="20"/>
          <w:szCs w:val="22"/>
          <w:lang w:val="en-GB" w:eastAsia="ja-JP"/>
        </w:rPr>
        <w:t>unpublished</w:t>
      </w:r>
      <w:r w:rsidRPr="00C96521">
        <w:rPr>
          <w:rFonts w:eastAsia="MS Mincho" w:cs="Arial"/>
          <w:sz w:val="20"/>
          <w:szCs w:val="22"/>
          <w:lang w:val="en-GB" w:eastAsia="ja-JP"/>
        </w:rPr>
        <w:t>). In Uzbekistan the species has declined severely over the past 30 years (Roman Kashkarov </w:t>
      </w:r>
      <w:r w:rsidRPr="00C96521">
        <w:rPr>
          <w:rFonts w:eastAsia="MS Mincho" w:cs="Arial"/>
          <w:i/>
          <w:iCs/>
          <w:sz w:val="20"/>
          <w:szCs w:val="22"/>
          <w:lang w:val="en-GB" w:eastAsia="ja-JP"/>
        </w:rPr>
        <w:t>unpublished</w:t>
      </w:r>
      <w:r w:rsidRPr="00C96521">
        <w:rPr>
          <w:rFonts w:eastAsia="MS Mincho" w:cs="Arial"/>
          <w:sz w:val="20"/>
          <w:szCs w:val="22"/>
          <w:lang w:val="en-GB" w:eastAsia="ja-JP"/>
        </w:rPr>
        <w:t xml:space="preserve">). Declines have also been reported from parts of east and south-east Kazakhstan, for example the species is now rare, or even absent in the Manrak Mountains, where it was once common (Wassink and Oreel 2008). </w:t>
      </w:r>
    </w:p>
    <w:p w14:paraId="7707CD0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1515F16" w14:textId="0348DCBA"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 reduction in turtle-dove numbers on the wintering grounds has also been observed. Despite an increase in rice cultivation in northern Senegal, meaning an increase in an important food resource for the species, declines have still been reported since the 1970s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On the Inner Niger Delta in Mali, numbers of </w:t>
      </w:r>
      <w:r w:rsidR="00230104">
        <w:rPr>
          <w:rFonts w:eastAsia="MS Mincho" w:cs="Arial"/>
          <w:sz w:val="20"/>
          <w:szCs w:val="22"/>
          <w:lang w:val="en-GB" w:eastAsia="ja-JP"/>
        </w:rPr>
        <w:t>T</w:t>
      </w:r>
      <w:r w:rsidR="00230104" w:rsidRPr="00C96521">
        <w:rPr>
          <w:rFonts w:eastAsia="MS Mincho" w:cs="Arial"/>
          <w:sz w:val="20"/>
          <w:szCs w:val="22"/>
          <w:lang w:val="en-GB" w:eastAsia="ja-JP"/>
        </w:rPr>
        <w:t>urtle</w:t>
      </w:r>
      <w:r w:rsidR="00230104">
        <w:rPr>
          <w:rFonts w:eastAsia="MS Mincho" w:cs="Arial"/>
          <w:sz w:val="20"/>
          <w:szCs w:val="22"/>
          <w:lang w:val="en-GB" w:eastAsia="ja-JP"/>
        </w:rPr>
        <w:t xml:space="preserve"> D</w:t>
      </w:r>
      <w:r w:rsidR="00230104" w:rsidRPr="00C96521">
        <w:rPr>
          <w:rFonts w:eastAsia="MS Mincho" w:cs="Arial"/>
          <w:sz w:val="20"/>
          <w:szCs w:val="22"/>
          <w:lang w:val="en-GB" w:eastAsia="ja-JP"/>
        </w:rPr>
        <w:t xml:space="preserve">oves </w:t>
      </w:r>
      <w:r w:rsidRPr="00C96521">
        <w:rPr>
          <w:rFonts w:eastAsia="MS Mincho" w:cs="Arial"/>
          <w:sz w:val="20"/>
          <w:szCs w:val="22"/>
          <w:lang w:val="en-GB" w:eastAsia="ja-JP"/>
        </w:rPr>
        <w:t xml:space="preserve">have dropped dramatically since the droughts of the 1980s from hundreds of thousands pre-drought conditions to just small flocks of at most several dozen over the period 1992-2007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w:t>
      </w:r>
    </w:p>
    <w:p w14:paraId="29B984D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D2B0321"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Cs/>
          <w:color w:val="4F81BD"/>
          <w:sz w:val="26"/>
          <w:szCs w:val="26"/>
          <w:lang w:val="en-GB" w:eastAsia="ja-JP"/>
        </w:rPr>
      </w:pPr>
      <w:bookmarkStart w:id="22" w:name="_Toc478646907"/>
      <w:r w:rsidRPr="00C96521">
        <w:rPr>
          <w:rFonts w:ascii="Cambria" w:eastAsia="MS Gothic" w:hAnsi="Cambria"/>
          <w:b/>
          <w:bCs/>
          <w:color w:val="4F81BD"/>
          <w:sz w:val="26"/>
          <w:szCs w:val="26"/>
          <w:lang w:val="en-GB" w:eastAsia="ja-JP"/>
        </w:rPr>
        <w:t>Breakdown of turtle-dove population trends across Europe</w:t>
      </w:r>
      <w:bookmarkEnd w:id="22"/>
    </w:p>
    <w:p w14:paraId="0623DD19" w14:textId="77777777" w:rsidR="00C96521" w:rsidRPr="00C96521" w:rsidRDefault="00C96521" w:rsidP="00C96521">
      <w:pPr>
        <w:widowControl/>
        <w:autoSpaceDE/>
        <w:autoSpaceDN/>
        <w:adjustRightInd/>
        <w:spacing w:line="276" w:lineRule="auto"/>
        <w:rPr>
          <w:rFonts w:eastAsia="MS Mincho" w:cs="Arial"/>
          <w:b/>
          <w:sz w:val="20"/>
          <w:szCs w:val="22"/>
          <w:lang w:val="en-GB" w:eastAsia="ja-JP"/>
        </w:rPr>
      </w:pPr>
    </w:p>
    <w:p w14:paraId="28E5CA9F"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France/Portugal/Spain</w:t>
      </w:r>
    </w:p>
    <w:p w14:paraId="129AF4A1"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5DA7872C" w14:textId="25D941F8"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All three countries have reported long-term declines in turtle-dove, France and Portugal approaching 50</w:t>
      </w:r>
      <w:r w:rsidR="00230104">
        <w:rPr>
          <w:rFonts w:eastAsia="MS Mincho"/>
          <w:i/>
          <w:sz w:val="20"/>
          <w:szCs w:val="22"/>
          <w:lang w:val="en-GB" w:eastAsia="ja-JP"/>
        </w:rPr>
        <w:t xml:space="preserve"> per cent</w:t>
      </w:r>
      <w:r w:rsidRPr="00C96521">
        <w:rPr>
          <w:rFonts w:eastAsia="MS Mincho"/>
          <w:i/>
          <w:sz w:val="20"/>
          <w:szCs w:val="22"/>
          <w:lang w:val="en-GB" w:eastAsia="ja-JP"/>
        </w:rPr>
        <w:t>, albeit over different time periods (1989-2015 for France and 2004-2011 for Portugal). The Spanish population decreased at a rate approaching 30</w:t>
      </w:r>
      <w:r w:rsidR="00230104">
        <w:rPr>
          <w:rFonts w:eastAsia="MS Mincho"/>
          <w:i/>
          <w:sz w:val="20"/>
          <w:szCs w:val="22"/>
          <w:lang w:val="en-GB" w:eastAsia="ja-JP"/>
        </w:rPr>
        <w:t xml:space="preserve"> per cent</w:t>
      </w:r>
      <w:r w:rsidRPr="00C96521">
        <w:rPr>
          <w:rFonts w:eastAsia="MS Mincho"/>
          <w:i/>
          <w:sz w:val="20"/>
          <w:szCs w:val="22"/>
          <w:lang w:val="en-GB" w:eastAsia="ja-JP"/>
        </w:rPr>
        <w:t xml:space="preserve"> between 1998 and 2013. In the European Red List of Birds, the long-term population trends for these countries were assessed as 20-30</w:t>
      </w:r>
      <w:r w:rsidR="00230104">
        <w:rPr>
          <w:rFonts w:eastAsia="MS Mincho"/>
          <w:i/>
          <w:sz w:val="20"/>
          <w:szCs w:val="22"/>
          <w:lang w:val="en-GB" w:eastAsia="ja-JP"/>
        </w:rPr>
        <w:t xml:space="preserve"> per cent</w:t>
      </w:r>
      <w:r w:rsidRPr="00C96521">
        <w:rPr>
          <w:rFonts w:eastAsia="MS Mincho"/>
          <w:i/>
          <w:sz w:val="20"/>
          <w:szCs w:val="22"/>
          <w:lang w:val="en-GB" w:eastAsia="ja-JP"/>
        </w:rPr>
        <w:t xml:space="preserve"> decline for France and 20-40</w:t>
      </w:r>
      <w:r w:rsidR="00230104">
        <w:rPr>
          <w:rFonts w:eastAsia="MS Mincho"/>
          <w:i/>
          <w:sz w:val="20"/>
          <w:szCs w:val="22"/>
          <w:lang w:val="en-GB" w:eastAsia="ja-JP"/>
        </w:rPr>
        <w:t xml:space="preserve"> per cent</w:t>
      </w:r>
      <w:r w:rsidRPr="00C96521">
        <w:rPr>
          <w:rFonts w:eastAsia="MS Mincho"/>
          <w:i/>
          <w:sz w:val="20"/>
          <w:szCs w:val="22"/>
          <w:lang w:val="en-GB" w:eastAsia="ja-JP"/>
        </w:rPr>
        <w:t xml:space="preserve"> decline for Portugal (BirdLife International 2015). In both France and Spain, some areas have experienced increasing or stable populations.</w:t>
      </w:r>
    </w:p>
    <w:p w14:paraId="7EF9962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4802109D" w14:textId="08B6FD3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turtle-dove in France underwent a decrease of 48</w:t>
      </w:r>
      <w:r w:rsidR="00230104">
        <w:rPr>
          <w:rFonts w:eastAsia="MS Mincho"/>
          <w:sz w:val="20"/>
          <w:szCs w:val="22"/>
          <w:lang w:val="en-GB" w:eastAsia="ja-JP"/>
        </w:rPr>
        <w:t xml:space="preserve"> per cent</w:t>
      </w:r>
      <w:r w:rsidRPr="00C96521">
        <w:rPr>
          <w:rFonts w:eastAsia="MS Mincho"/>
          <w:sz w:val="20"/>
          <w:szCs w:val="22"/>
          <w:lang w:val="en-GB" w:eastAsia="ja-JP"/>
        </w:rPr>
        <w:t xml:space="preserve"> between 1989 and 2015, while in the last 10 years it decreased by 44</w:t>
      </w:r>
      <w:r w:rsidR="00230104">
        <w:rPr>
          <w:rFonts w:eastAsia="MS Mincho"/>
          <w:sz w:val="20"/>
          <w:szCs w:val="22"/>
          <w:lang w:val="en-GB" w:eastAsia="ja-JP"/>
        </w:rPr>
        <w:t xml:space="preserve"> per cent</w:t>
      </w:r>
      <w:r w:rsidRPr="00C96521">
        <w:rPr>
          <w:rFonts w:eastAsia="MS Mincho"/>
          <w:sz w:val="20"/>
          <w:szCs w:val="22"/>
          <w:lang w:val="en-GB" w:eastAsia="ja-JP"/>
        </w:rPr>
        <w:t xml:space="preserve"> (Jiguet 2016). A strong population decrease was observed in 2008, probably explained by low temperatures and heavy rains (Roux </w:t>
      </w:r>
      <w:r w:rsidRPr="00C96521">
        <w:rPr>
          <w:rFonts w:eastAsia="MS Mincho"/>
          <w:i/>
          <w:sz w:val="20"/>
          <w:szCs w:val="22"/>
          <w:lang w:val="en-GB" w:eastAsia="ja-JP"/>
        </w:rPr>
        <w:t>et al</w:t>
      </w:r>
      <w:r w:rsidRPr="00C96521">
        <w:rPr>
          <w:rFonts w:eastAsia="MS Mincho"/>
          <w:sz w:val="20"/>
          <w:szCs w:val="22"/>
          <w:lang w:val="en-GB" w:eastAsia="ja-JP"/>
        </w:rPr>
        <w:t xml:space="preserve"> 2011). A strong decline was detected in the 1970s-</w:t>
      </w:r>
      <w:r w:rsidR="00230104">
        <w:rPr>
          <w:rFonts w:eastAsia="MS Mincho"/>
          <w:sz w:val="20"/>
          <w:szCs w:val="22"/>
          <w:lang w:val="en-GB" w:eastAsia="ja-JP"/>
        </w:rPr>
        <w:t>‘</w:t>
      </w:r>
      <w:r w:rsidRPr="00C96521">
        <w:rPr>
          <w:rFonts w:eastAsia="MS Mincho"/>
          <w:sz w:val="20"/>
          <w:szCs w:val="22"/>
          <w:lang w:val="en-GB" w:eastAsia="ja-JP"/>
        </w:rPr>
        <w:t>80s with an effective reduction of at least 50</w:t>
      </w:r>
      <w:r w:rsidR="00230104">
        <w:rPr>
          <w:rFonts w:eastAsia="MS Mincho"/>
          <w:sz w:val="20"/>
          <w:szCs w:val="22"/>
          <w:lang w:val="en-GB" w:eastAsia="ja-JP"/>
        </w:rPr>
        <w:t xml:space="preserve"> per cent</w:t>
      </w:r>
      <w:r w:rsidRPr="00C96521">
        <w:rPr>
          <w:rFonts w:eastAsia="MS Mincho"/>
          <w:sz w:val="20"/>
          <w:szCs w:val="22"/>
          <w:lang w:val="en-GB" w:eastAsia="ja-JP"/>
        </w:rPr>
        <w:t xml:space="preserve"> in the following </w:t>
      </w:r>
      <w:r w:rsidR="001523DA">
        <w:rPr>
          <w:rFonts w:eastAsia="MS Mincho"/>
          <w:sz w:val="20"/>
          <w:szCs w:val="22"/>
          <w:lang w:val="en-GB" w:eastAsia="ja-JP"/>
        </w:rPr>
        <w:t>regions/</w:t>
      </w:r>
      <w:r w:rsidRPr="00C96521">
        <w:rPr>
          <w:rFonts w:eastAsia="MS Mincho"/>
          <w:sz w:val="20"/>
          <w:szCs w:val="22"/>
          <w:lang w:val="en-GB" w:eastAsia="ja-JP"/>
        </w:rPr>
        <w:t xml:space="preserve">departments: Bretagne, Charente, Vendée, Centre, Île-de-France, Champagne, Rhône-Alpes, Midi-Pyrénées (Dubois </w:t>
      </w:r>
      <w:r w:rsidRPr="00C96521">
        <w:rPr>
          <w:rFonts w:eastAsia="MS Mincho"/>
          <w:i/>
          <w:sz w:val="20"/>
          <w:szCs w:val="22"/>
          <w:lang w:val="en-GB" w:eastAsia="ja-JP"/>
        </w:rPr>
        <w:t>et al</w:t>
      </w:r>
      <w:r w:rsidRPr="00C96521">
        <w:rPr>
          <w:rFonts w:eastAsia="MS Mincho"/>
          <w:sz w:val="20"/>
          <w:szCs w:val="22"/>
          <w:lang w:val="en-GB" w:eastAsia="ja-JP"/>
        </w:rPr>
        <w:t xml:space="preserve"> 2008). Populations were stable or declines weaker in: Normandie, Loir-et-Cher, Franche-Comté and Haute-Provence. Overall stability (or even a slight increase) followed in the 1990s, but with different trends across the regions. At a sub-national scale, three French regions experienced increases in 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Dove </w:t>
      </w:r>
      <w:r w:rsidRPr="00C96521">
        <w:rPr>
          <w:rFonts w:eastAsia="MS Mincho"/>
          <w:sz w:val="20"/>
          <w:szCs w:val="22"/>
          <w:lang w:val="en-GB" w:eastAsia="ja-JP"/>
        </w:rPr>
        <w:t>population index, namely Languedoc-Rou</w:t>
      </w:r>
      <w:r w:rsidR="00691BFF">
        <w:rPr>
          <w:rFonts w:eastAsia="MS Mincho"/>
          <w:sz w:val="20"/>
          <w:szCs w:val="22"/>
          <w:lang w:val="en-GB" w:eastAsia="ja-JP"/>
        </w:rPr>
        <w:t>s</w:t>
      </w:r>
      <w:r w:rsidRPr="00C96521">
        <w:rPr>
          <w:rFonts w:eastAsia="MS Mincho"/>
          <w:sz w:val="20"/>
          <w:szCs w:val="22"/>
          <w:lang w:val="en-GB" w:eastAsia="ja-JP"/>
        </w:rPr>
        <w:t xml:space="preserve">sillon, Aquitaine and Poitou-Charentes (Roux </w:t>
      </w:r>
      <w:r w:rsidRPr="00C96521">
        <w:rPr>
          <w:rFonts w:eastAsia="MS Mincho"/>
          <w:i/>
          <w:sz w:val="20"/>
          <w:szCs w:val="22"/>
          <w:lang w:val="en-GB" w:eastAsia="ja-JP"/>
        </w:rPr>
        <w:t>et al</w:t>
      </w:r>
      <w:r w:rsidRPr="00C96521">
        <w:rPr>
          <w:rFonts w:eastAsia="MS Mincho"/>
          <w:sz w:val="20"/>
          <w:szCs w:val="22"/>
          <w:lang w:val="en-GB" w:eastAsia="ja-JP"/>
        </w:rPr>
        <w:t xml:space="preserve"> 2011). All other regions experienced stable or downward trends. Declines appear strongest in those regions where the species was least abundant and the increases were in regions known to be strongholds for the species (Roux </w:t>
      </w:r>
      <w:r w:rsidRPr="00C96521">
        <w:rPr>
          <w:rFonts w:eastAsia="MS Mincho"/>
          <w:i/>
          <w:sz w:val="20"/>
          <w:szCs w:val="22"/>
          <w:lang w:val="en-GB" w:eastAsia="ja-JP"/>
        </w:rPr>
        <w:t>et al</w:t>
      </w:r>
      <w:r w:rsidRPr="00C96521">
        <w:rPr>
          <w:rFonts w:eastAsia="MS Mincho"/>
          <w:sz w:val="20"/>
          <w:szCs w:val="22"/>
          <w:lang w:val="en-GB" w:eastAsia="ja-JP"/>
        </w:rPr>
        <w:t xml:space="preserve"> 2011). Overall it appears that the end of the breeding season in France is getting earlier, this shortening of the breeding season being similar to trends observed in the UK (Lormée 2013). Woodland groves/thickets were identified as the most important nesting habitat for the species (supporting 46.2</w:t>
      </w:r>
      <w:r w:rsidR="00691BFF">
        <w:rPr>
          <w:rFonts w:eastAsia="MS Mincho"/>
          <w:sz w:val="20"/>
          <w:szCs w:val="22"/>
          <w:lang w:val="en-GB" w:eastAsia="ja-JP"/>
        </w:rPr>
        <w:t xml:space="preserve"> per cent</w:t>
      </w:r>
      <w:r w:rsidRPr="00C96521">
        <w:rPr>
          <w:rFonts w:eastAsia="MS Mincho"/>
          <w:sz w:val="20"/>
          <w:szCs w:val="22"/>
          <w:lang w:val="en-GB" w:eastAsia="ja-JP"/>
        </w:rPr>
        <w:t xml:space="preserve"> nests studied), followed by agricultural land (33</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nests).</w:t>
      </w:r>
    </w:p>
    <w:p w14:paraId="1244249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B3C6841" w14:textId="402BDF5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Portugal, the species is distributed across the country with highest relative abundance in the far north, centre and far south (Equipa Atlas 2008).The core areas for the breeding population are mainly north of the Tagus river. Areas along the Guadiana valley and the lowlands of central/coastal areas near Lisbon are considered important for breeding and post-breeding populations (Dias </w:t>
      </w:r>
      <w:r w:rsidRPr="00C96521">
        <w:rPr>
          <w:rFonts w:eastAsia="MS Mincho"/>
          <w:i/>
          <w:sz w:val="20"/>
          <w:szCs w:val="22"/>
          <w:lang w:val="en-GB" w:eastAsia="ja-JP"/>
        </w:rPr>
        <w:t>et al</w:t>
      </w:r>
      <w:r w:rsidRPr="00C96521">
        <w:rPr>
          <w:rFonts w:eastAsia="MS Mincho"/>
          <w:sz w:val="20"/>
          <w:szCs w:val="22"/>
          <w:lang w:val="en-GB" w:eastAsia="ja-JP"/>
        </w:rPr>
        <w:t xml:space="preserve"> 2013, Dias 2016). The species underwent a decline of 49</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 xml:space="preserve">between 2004 and 2011 (Meirinho </w:t>
      </w:r>
      <w:r w:rsidRPr="00C96521">
        <w:rPr>
          <w:rFonts w:eastAsia="MS Mincho"/>
          <w:i/>
          <w:sz w:val="20"/>
          <w:szCs w:val="22"/>
          <w:lang w:val="en-GB" w:eastAsia="ja-JP"/>
        </w:rPr>
        <w:t>et al</w:t>
      </w:r>
      <w:r w:rsidRPr="00C96521">
        <w:rPr>
          <w:rFonts w:eastAsia="MS Mincho"/>
          <w:sz w:val="20"/>
          <w:szCs w:val="22"/>
          <w:lang w:val="en-GB" w:eastAsia="ja-JP"/>
        </w:rPr>
        <w:t xml:space="preserve"> 2013). From 1994 to 2004 the decline was evaluated as moderate (annual rate -6.9 </w:t>
      </w:r>
      <w:r w:rsidR="00691BFF">
        <w:rPr>
          <w:rFonts w:eastAsia="MS Mincho"/>
          <w:sz w:val="20"/>
          <w:szCs w:val="22"/>
          <w:lang w:val="en-GB" w:eastAsia="ja-JP"/>
        </w:rPr>
        <w:t>per cent</w:t>
      </w:r>
      <w:r w:rsidR="00691BFF" w:rsidRPr="00C96521">
        <w:rPr>
          <w:rFonts w:eastAsia="MS Mincho"/>
          <w:sz w:val="20"/>
          <w:szCs w:val="22"/>
          <w:lang w:val="en-GB" w:eastAsia="ja-JP"/>
        </w:rPr>
        <w:t xml:space="preserve">). </w:t>
      </w:r>
      <w:r w:rsidRPr="00C96521">
        <w:rPr>
          <w:rFonts w:eastAsia="MS Mincho"/>
          <w:sz w:val="20"/>
          <w:szCs w:val="22"/>
          <w:lang w:val="en-GB" w:eastAsia="ja-JP"/>
        </w:rPr>
        <w:t>During this period, the highest declines were observed in those regions where the breeding population was concentrated. The long-term decline (1994-2011) was evaluated as moderate using the Pan-European Common Bird Monitoring Scheme as a common approach to analyse the data from two different monitoring schemes (Dias 2016).</w:t>
      </w:r>
    </w:p>
    <w:p w14:paraId="377876A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36DCEB9" w14:textId="5C803FDB"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Spain, the species underwent a population decline of 22.96</w:t>
      </w:r>
      <w:r w:rsidR="00691BFF">
        <w:rPr>
          <w:rFonts w:eastAsia="MS Mincho" w:cs="Arial"/>
          <w:sz w:val="20"/>
          <w:szCs w:val="22"/>
          <w:lang w:val="en-GB" w:eastAsia="ja-JP"/>
        </w:rPr>
        <w:t xml:space="preserve"> per cent</w:t>
      </w:r>
      <w:r w:rsidRPr="00C96521">
        <w:rPr>
          <w:rFonts w:eastAsia="MS Mincho" w:cs="Arial"/>
          <w:sz w:val="20"/>
          <w:szCs w:val="22"/>
          <w:lang w:val="en-GB" w:eastAsia="ja-JP"/>
        </w:rPr>
        <w:t xml:space="preserve"> between 1998 and 2015 (SEO/BirdLife 2016b). Following a slight increase in 2007, the population has since undergone a strong decline with the population index in 2015 the lowest recorded over the 1998-2015 period. At a sub-national scale the decline has been strongest in the Eurosiberiana biogeographic region (northern Spain) where the population trend over the period 1998-2015 was -69.80</w:t>
      </w:r>
      <w:r w:rsidR="00691BFF">
        <w:rPr>
          <w:rFonts w:eastAsia="MS Mincho" w:cs="Arial"/>
          <w:sz w:val="20"/>
          <w:szCs w:val="22"/>
          <w:lang w:val="en-GB" w:eastAsia="ja-JP"/>
        </w:rPr>
        <w:t xml:space="preserve"> per cent</w:t>
      </w:r>
      <w:r w:rsidR="00691BFF"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(SEO/BirdLife 2016b). This was followed by the </w:t>
      </w:r>
      <w:r w:rsidR="00691BFF">
        <w:rPr>
          <w:rFonts w:eastAsia="MS Mincho" w:cs="Arial"/>
          <w:sz w:val="20"/>
          <w:szCs w:val="22"/>
          <w:lang w:val="en-GB" w:eastAsia="ja-JP"/>
        </w:rPr>
        <w:t>M</w:t>
      </w:r>
      <w:r w:rsidRPr="00C96521">
        <w:rPr>
          <w:rFonts w:eastAsia="MS Mincho" w:cs="Arial"/>
          <w:sz w:val="20"/>
          <w:szCs w:val="22"/>
          <w:lang w:val="en-GB" w:eastAsia="ja-JP"/>
        </w:rPr>
        <w:t xml:space="preserve">editerránea </w:t>
      </w:r>
      <w:r w:rsidR="00691BFF">
        <w:rPr>
          <w:rFonts w:eastAsia="MS Mincho" w:cs="Arial"/>
          <w:sz w:val="20"/>
          <w:szCs w:val="22"/>
          <w:lang w:val="en-GB" w:eastAsia="ja-JP"/>
        </w:rPr>
        <w:t>S</w:t>
      </w:r>
      <w:r w:rsidRPr="00C96521">
        <w:rPr>
          <w:rFonts w:eastAsia="MS Mincho" w:cs="Arial"/>
          <w:sz w:val="20"/>
          <w:szCs w:val="22"/>
          <w:lang w:val="en-GB" w:eastAsia="ja-JP"/>
        </w:rPr>
        <w:t>ur area (central, southern and eastern Spain) where the population decreased 28.59</w:t>
      </w:r>
      <w:r w:rsidR="00691BFF">
        <w:rPr>
          <w:rFonts w:eastAsia="MS Mincho" w:cs="Arial"/>
          <w:sz w:val="20"/>
          <w:szCs w:val="22"/>
          <w:lang w:val="en-GB" w:eastAsia="ja-JP"/>
        </w:rPr>
        <w:t xml:space="preserve"> per cent</w:t>
      </w:r>
      <w:r w:rsidRPr="00C96521">
        <w:rPr>
          <w:rFonts w:eastAsia="MS Mincho" w:cs="Arial"/>
          <w:sz w:val="20"/>
          <w:szCs w:val="22"/>
          <w:lang w:val="en-GB" w:eastAsia="ja-JP"/>
        </w:rPr>
        <w:t xml:space="preserve"> between 1998 and 2015 and the </w:t>
      </w:r>
      <w:r w:rsidR="00691BFF">
        <w:rPr>
          <w:rFonts w:eastAsia="MS Mincho" w:cs="Arial"/>
          <w:sz w:val="20"/>
          <w:szCs w:val="22"/>
          <w:lang w:val="en-GB" w:eastAsia="ja-JP"/>
        </w:rPr>
        <w:t>M</w:t>
      </w:r>
      <w:r w:rsidRPr="00C96521">
        <w:rPr>
          <w:rFonts w:eastAsia="MS Mincho" w:cs="Arial"/>
          <w:sz w:val="20"/>
          <w:szCs w:val="22"/>
          <w:lang w:val="en-GB" w:eastAsia="ja-JP"/>
        </w:rPr>
        <w:t xml:space="preserve">editerránea </w:t>
      </w:r>
      <w:r w:rsidR="00691BFF">
        <w:rPr>
          <w:rFonts w:eastAsia="MS Mincho" w:cs="Arial"/>
          <w:sz w:val="20"/>
          <w:szCs w:val="22"/>
          <w:lang w:val="en-GB" w:eastAsia="ja-JP"/>
        </w:rPr>
        <w:t>N</w:t>
      </w:r>
      <w:r w:rsidRPr="00C96521">
        <w:rPr>
          <w:rFonts w:eastAsia="MS Mincho" w:cs="Arial"/>
          <w:sz w:val="20"/>
          <w:szCs w:val="22"/>
          <w:lang w:val="en-GB" w:eastAsia="ja-JP"/>
        </w:rPr>
        <w:t>orte area (to the south of the Eurosiberiana area in the north of Spain) where the decrease was 7</w:t>
      </w:r>
      <w:r w:rsidR="00691BFF">
        <w:rPr>
          <w:rFonts w:eastAsia="MS Mincho" w:cs="Arial"/>
          <w:sz w:val="20"/>
          <w:szCs w:val="22"/>
          <w:lang w:val="en-GB" w:eastAsia="ja-JP"/>
        </w:rPr>
        <w:t xml:space="preserve"> per cent</w:t>
      </w:r>
      <w:r w:rsidRPr="00C96521">
        <w:rPr>
          <w:rFonts w:eastAsia="MS Mincho" w:cs="Arial"/>
          <w:sz w:val="20"/>
          <w:szCs w:val="22"/>
          <w:lang w:val="en-GB" w:eastAsia="ja-JP"/>
        </w:rPr>
        <w:t xml:space="preserve"> over the same period. In contrast to these declines, the population in Catalonia remained stable between 2002 and 2015 (ICO 2016). A new analysis shows an even stronger national decline of 40</w:t>
      </w:r>
      <w:r w:rsidR="00691BFF">
        <w:rPr>
          <w:rFonts w:eastAsia="MS Mincho" w:cs="Arial"/>
          <w:sz w:val="20"/>
          <w:szCs w:val="22"/>
          <w:lang w:val="en-GB" w:eastAsia="ja-JP"/>
        </w:rPr>
        <w:t xml:space="preserve"> per cent</w:t>
      </w:r>
      <w:r w:rsidRPr="00C96521">
        <w:rPr>
          <w:rFonts w:eastAsia="MS Mincho" w:cs="Arial"/>
          <w:sz w:val="20"/>
          <w:szCs w:val="22"/>
          <w:lang w:val="en-GB" w:eastAsia="ja-JP"/>
        </w:rPr>
        <w:t xml:space="preserve"> between 1996 and 2016, including significant declines in ten regions: </w:t>
      </w:r>
      <w:r w:rsidR="001523DA">
        <w:rPr>
          <w:rFonts w:eastAsia="MS Mincho" w:cs="Arial"/>
          <w:sz w:val="20"/>
          <w:szCs w:val="22"/>
          <w:lang w:val="en-GB" w:eastAsia="ja-JP"/>
        </w:rPr>
        <w:t>Basque Country</w:t>
      </w:r>
      <w:r w:rsidRPr="00C96521">
        <w:rPr>
          <w:rFonts w:eastAsia="MS Mincho" w:cs="Arial"/>
          <w:sz w:val="20"/>
          <w:szCs w:val="22"/>
          <w:lang w:val="en-GB" w:eastAsia="ja-JP"/>
        </w:rPr>
        <w:t>, Galicia, Andalucia, Catal</w:t>
      </w:r>
      <w:r w:rsidR="001523DA">
        <w:rPr>
          <w:rFonts w:eastAsia="MS Mincho" w:cs="Arial"/>
          <w:sz w:val="20"/>
          <w:szCs w:val="22"/>
          <w:lang w:val="en-GB" w:eastAsia="ja-JP"/>
        </w:rPr>
        <w:t>o</w:t>
      </w:r>
      <w:r w:rsidRPr="00C96521">
        <w:rPr>
          <w:rFonts w:eastAsia="MS Mincho" w:cs="Arial"/>
          <w:sz w:val="20"/>
          <w:szCs w:val="22"/>
          <w:lang w:val="en-GB" w:eastAsia="ja-JP"/>
        </w:rPr>
        <w:t>n</w:t>
      </w:r>
      <w:r w:rsidR="001523DA">
        <w:rPr>
          <w:rFonts w:eastAsia="MS Mincho" w:cs="Arial"/>
          <w:sz w:val="20"/>
          <w:szCs w:val="22"/>
          <w:lang w:val="en-GB" w:eastAsia="ja-JP"/>
        </w:rPr>
        <w:t>i</w:t>
      </w:r>
      <w:r w:rsidRPr="00C96521">
        <w:rPr>
          <w:rFonts w:eastAsia="MS Mincho" w:cs="Arial"/>
          <w:sz w:val="20"/>
          <w:szCs w:val="22"/>
          <w:lang w:val="en-GB" w:eastAsia="ja-JP"/>
        </w:rPr>
        <w:t>a, Castill</w:t>
      </w:r>
      <w:r w:rsidR="001523DA">
        <w:rPr>
          <w:rFonts w:eastAsia="MS Mincho" w:cs="Arial"/>
          <w:sz w:val="20"/>
          <w:szCs w:val="22"/>
          <w:lang w:val="en-GB" w:eastAsia="ja-JP"/>
        </w:rPr>
        <w:t>e</w:t>
      </w:r>
      <w:r w:rsidRPr="00C96521">
        <w:rPr>
          <w:rFonts w:eastAsia="MS Mincho" w:cs="Arial"/>
          <w:sz w:val="20"/>
          <w:szCs w:val="22"/>
          <w:lang w:val="en-GB" w:eastAsia="ja-JP"/>
        </w:rPr>
        <w:t xml:space="preserve"> la Mancha, Castill</w:t>
      </w:r>
      <w:r w:rsidR="00AC5AD4">
        <w:rPr>
          <w:rFonts w:eastAsia="MS Mincho" w:cs="Arial"/>
          <w:sz w:val="20"/>
          <w:szCs w:val="22"/>
          <w:lang w:val="en-GB" w:eastAsia="ja-JP"/>
        </w:rPr>
        <w:t>e</w:t>
      </w:r>
      <w:r w:rsidRPr="00C96521">
        <w:rPr>
          <w:rFonts w:eastAsia="MS Mincho" w:cs="Arial"/>
          <w:sz w:val="20"/>
          <w:szCs w:val="22"/>
          <w:lang w:val="en-GB" w:eastAsia="ja-JP"/>
        </w:rPr>
        <w:t xml:space="preserve"> </w:t>
      </w:r>
      <w:r w:rsidR="00AC5AD4">
        <w:rPr>
          <w:rFonts w:eastAsia="MS Mincho" w:cs="Arial"/>
          <w:sz w:val="20"/>
          <w:szCs w:val="22"/>
          <w:lang w:val="en-GB" w:eastAsia="ja-JP"/>
        </w:rPr>
        <w:t>and</w:t>
      </w:r>
      <w:r w:rsidRPr="00C96521">
        <w:rPr>
          <w:rFonts w:eastAsia="MS Mincho" w:cs="Arial"/>
          <w:sz w:val="20"/>
          <w:szCs w:val="22"/>
          <w:lang w:val="en-GB" w:eastAsia="ja-JP"/>
        </w:rPr>
        <w:t xml:space="preserve"> León, Valencia</w:t>
      </w:r>
      <w:r w:rsidR="001523DA">
        <w:rPr>
          <w:rFonts w:eastAsia="MS Mincho" w:cs="Arial"/>
          <w:sz w:val="20"/>
          <w:szCs w:val="22"/>
          <w:lang w:val="en-GB" w:eastAsia="ja-JP"/>
        </w:rPr>
        <w:t>n Community</w:t>
      </w:r>
      <w:r w:rsidRPr="00C96521">
        <w:rPr>
          <w:rFonts w:eastAsia="MS Mincho" w:cs="Arial"/>
          <w:sz w:val="20"/>
          <w:szCs w:val="22"/>
          <w:lang w:val="en-GB" w:eastAsia="ja-JP"/>
        </w:rPr>
        <w:t>, Madrid, Aragón and Extremadura (SEO/BirdLife 2016a). One region showed a significant increase (Navarr</w:t>
      </w:r>
      <w:r w:rsidR="001523DA">
        <w:rPr>
          <w:rFonts w:eastAsia="MS Mincho" w:cs="Arial"/>
          <w:sz w:val="20"/>
          <w:szCs w:val="22"/>
          <w:lang w:val="en-GB" w:eastAsia="ja-JP"/>
        </w:rPr>
        <w:t>e</w:t>
      </w:r>
      <w:r w:rsidRPr="00C96521">
        <w:rPr>
          <w:rFonts w:eastAsia="MS Mincho" w:cs="Arial"/>
          <w:sz w:val="20"/>
          <w:szCs w:val="22"/>
          <w:lang w:val="en-GB" w:eastAsia="ja-JP"/>
        </w:rPr>
        <w:t xml:space="preserve"> and two regions showed no significant trends (Rioja and Murcia). In Navarr</w:t>
      </w:r>
      <w:r w:rsidR="001523DA">
        <w:rPr>
          <w:rFonts w:eastAsia="MS Mincho" w:cs="Arial"/>
          <w:sz w:val="20"/>
          <w:szCs w:val="22"/>
          <w:lang w:val="en-GB" w:eastAsia="ja-JP"/>
        </w:rPr>
        <w:t>e</w:t>
      </w:r>
      <w:r w:rsidRPr="00C96521">
        <w:rPr>
          <w:rFonts w:eastAsia="MS Mincho" w:cs="Arial"/>
          <w:sz w:val="20"/>
          <w:szCs w:val="22"/>
          <w:lang w:val="en-GB" w:eastAsia="ja-JP"/>
        </w:rPr>
        <w:t xml:space="preserve"> where the population increased, the increase was due to a high number of observations in 2016 compared to previous years when the population was somewhat stable. Declines were most marked in Galicia and Pais Vasco.</w:t>
      </w:r>
    </w:p>
    <w:p w14:paraId="46A05D0F"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111ED7B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Belgium/Denmark/Germany/Luxembourg/Netherlands/UK</w:t>
      </w:r>
    </w:p>
    <w:p w14:paraId="6746B4C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1E92886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In the northern part of the western flyway, populations are generally declining and in some areas the species has been lost from certain areas. For example, it no longer uses urban parks for nesting in Belgium. Declines in Flanders have been most dramatic in agricultural regions, while in the Netherlands declines were strongest in woodland followed by agricultural areas, while the species remained generally stable in marsh habitats. In the UK, the species underwent a strong retraction from Wales, the south-west, Midlands and northern England, and is now absent from these regions.</w:t>
      </w:r>
    </w:p>
    <w:p w14:paraId="76874A74"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3F403415" w14:textId="34935496"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species was considered very common in the north and less common in the central and southern regions of Belgium according to the 1972 Atlas (Lippens and Wille 1972). In 1988, a decline was inferred due to an increase in changes to habitat: changes in grassland crops, and agricultural intensification, with associated loss of hedges, groves, country lanes, vegetated stream banks and other linear features in the farmed environment (Devillers </w:t>
      </w:r>
      <w:r w:rsidRPr="00C96521">
        <w:rPr>
          <w:rFonts w:eastAsia="MS Mincho"/>
          <w:i/>
          <w:sz w:val="20"/>
          <w:szCs w:val="22"/>
          <w:lang w:val="en-GB" w:eastAsia="ja-JP"/>
        </w:rPr>
        <w:t>et al</w:t>
      </w:r>
      <w:r w:rsidRPr="00C96521">
        <w:rPr>
          <w:rFonts w:eastAsia="MS Mincho"/>
          <w:sz w:val="20"/>
          <w:szCs w:val="22"/>
          <w:lang w:val="en-GB" w:eastAsia="ja-JP"/>
        </w:rPr>
        <w:t xml:space="preserve"> 1988). While urban parks were previously used for nesting, in the 1988 atlas these were no longer considered a breeding habitat. The population of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w:t>
      </w:r>
      <w:r w:rsidR="00691BFF" w:rsidRPr="00C96521">
        <w:rPr>
          <w:rFonts w:eastAsia="MS Mincho" w:cs="Arial"/>
          <w:sz w:val="20"/>
          <w:szCs w:val="22"/>
          <w:lang w:val="en-GB" w:eastAsia="ja-JP"/>
        </w:rPr>
        <w:t xml:space="preserve">oves </w:t>
      </w:r>
      <w:r w:rsidRPr="00C96521">
        <w:rPr>
          <w:rFonts w:eastAsia="MS Mincho"/>
          <w:sz w:val="20"/>
          <w:szCs w:val="22"/>
          <w:lang w:val="en-GB" w:eastAsia="ja-JP"/>
        </w:rPr>
        <w:t>in Flanders dropped by more than 70</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 xml:space="preserve">in thirty years, with the species being lost from built-up areas as well as whole regions (Vermeersch </w:t>
      </w:r>
      <w:r w:rsidRPr="00C96521">
        <w:rPr>
          <w:rFonts w:eastAsia="MS Mincho"/>
          <w:i/>
          <w:sz w:val="20"/>
          <w:szCs w:val="22"/>
          <w:lang w:val="en-GB" w:eastAsia="ja-JP"/>
        </w:rPr>
        <w:t>et al</w:t>
      </w:r>
      <w:r w:rsidRPr="00C96521">
        <w:rPr>
          <w:rFonts w:eastAsia="MS Mincho"/>
          <w:sz w:val="20"/>
          <w:szCs w:val="22"/>
          <w:lang w:val="en-GB" w:eastAsia="ja-JP"/>
        </w:rPr>
        <w:t xml:space="preserve"> 2004). The population declines have been most dramatic in important agricultural regions (Moyenne-Belgique and Condroz) but equally in Fagne and Lesse-et-Lomme. In Wallonie the species is currently in severe decline having undergone a loss of 70</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 xml:space="preserve">in 30 years and is considered Vulnerable (Jacob </w:t>
      </w:r>
      <w:r w:rsidRPr="00C96521">
        <w:rPr>
          <w:rFonts w:eastAsia="MS Mincho"/>
          <w:i/>
          <w:sz w:val="20"/>
          <w:szCs w:val="22"/>
          <w:lang w:val="en-GB" w:eastAsia="ja-JP"/>
        </w:rPr>
        <w:t>et al</w:t>
      </w:r>
      <w:r w:rsidRPr="00C96521">
        <w:rPr>
          <w:rFonts w:eastAsia="MS Mincho"/>
          <w:sz w:val="20"/>
          <w:szCs w:val="22"/>
          <w:lang w:val="en-GB" w:eastAsia="ja-JP"/>
        </w:rPr>
        <w:t xml:space="preserve"> 2010, Biodiversité Wallonie 2016).</w:t>
      </w:r>
    </w:p>
    <w:p w14:paraId="1D1AF1D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DBD2B70" w14:textId="05F69A8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population trend for the Netherlands shows a marked decrease since 1990, with slight increases in 1996 and again in 2007 (Compendium voor de Leefomgeving 2016). The 1998-2000 breeding bird atlas highlights that the population declined between the 1973-1985 period and 1998-2000 (retraction of breeding range in the lowlands and a 70-90</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 xml:space="preserve">reduction in numbers in some populations) (SOVON 2002). Highest densities in the 1998-2000 period were found in the south-west of the country in polders (low-lying land reclaimed from the sea or a river and protected by dykes) in Lake Ijsselmeer, with the species generally absent from the north of the country. Declines were most prominent in Friesland, </w:t>
      </w:r>
      <w:r w:rsidR="001523DA">
        <w:rPr>
          <w:rFonts w:eastAsia="MS Mincho"/>
          <w:sz w:val="20"/>
          <w:szCs w:val="22"/>
          <w:lang w:val="en-GB" w:eastAsia="ja-JP"/>
        </w:rPr>
        <w:t xml:space="preserve">South-east </w:t>
      </w:r>
      <w:r w:rsidRPr="00C96521">
        <w:rPr>
          <w:rFonts w:eastAsia="MS Mincho"/>
          <w:sz w:val="20"/>
          <w:szCs w:val="22"/>
          <w:lang w:val="en-GB" w:eastAsia="ja-JP"/>
        </w:rPr>
        <w:t>Drenthe and West</w:t>
      </w:r>
      <w:r w:rsidR="001523DA">
        <w:rPr>
          <w:rFonts w:eastAsia="MS Mincho"/>
          <w:sz w:val="20"/>
          <w:szCs w:val="22"/>
          <w:lang w:val="en-GB" w:eastAsia="ja-JP"/>
        </w:rPr>
        <w:t>ern</w:t>
      </w:r>
      <w:r w:rsidRPr="00C96521">
        <w:rPr>
          <w:rFonts w:eastAsia="MS Mincho"/>
          <w:sz w:val="20"/>
          <w:szCs w:val="22"/>
          <w:lang w:val="en-GB" w:eastAsia="ja-JP"/>
        </w:rPr>
        <w:t xml:space="preserve"> Ne</w:t>
      </w:r>
      <w:r w:rsidR="001523DA">
        <w:rPr>
          <w:rFonts w:eastAsia="MS Mincho"/>
          <w:sz w:val="20"/>
          <w:szCs w:val="22"/>
          <w:lang w:val="en-GB" w:eastAsia="ja-JP"/>
        </w:rPr>
        <w:t>th</w:t>
      </w:r>
      <w:r w:rsidRPr="00C96521">
        <w:rPr>
          <w:rFonts w:eastAsia="MS Mincho"/>
          <w:sz w:val="20"/>
          <w:szCs w:val="22"/>
          <w:lang w:val="en-GB" w:eastAsia="ja-JP"/>
        </w:rPr>
        <w:t>erland</w:t>
      </w:r>
      <w:r w:rsidR="001523DA">
        <w:rPr>
          <w:rFonts w:eastAsia="MS Mincho"/>
          <w:sz w:val="20"/>
          <w:szCs w:val="22"/>
          <w:lang w:val="en-GB" w:eastAsia="ja-JP"/>
        </w:rPr>
        <w:t>s</w:t>
      </w:r>
      <w:r w:rsidRPr="00C96521">
        <w:rPr>
          <w:rFonts w:eastAsia="MS Mincho"/>
          <w:sz w:val="20"/>
          <w:szCs w:val="22"/>
          <w:lang w:val="en-GB" w:eastAsia="ja-JP"/>
        </w:rPr>
        <w:t>. The decline was strongest in deciduous woodland followed by farmland. The trend in marsh habitats remained relatively stable over the 1970-2000 period.</w:t>
      </w:r>
    </w:p>
    <w:p w14:paraId="4D38291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E8D93DF" w14:textId="43829C6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species is a relatively new addition to the avifauna of Denmark, first appearing as a breeding species in 1918 (Fenger </w:t>
      </w:r>
      <w:r w:rsidRPr="00C96521">
        <w:rPr>
          <w:rFonts w:eastAsia="MS Mincho"/>
          <w:i/>
          <w:sz w:val="20"/>
          <w:szCs w:val="22"/>
          <w:lang w:val="en-GB" w:eastAsia="ja-JP"/>
        </w:rPr>
        <w:t>et al</w:t>
      </w:r>
      <w:r w:rsidRPr="00C96521">
        <w:rPr>
          <w:rFonts w:eastAsia="MS Mincho"/>
          <w:sz w:val="20"/>
          <w:szCs w:val="22"/>
          <w:lang w:val="en-GB" w:eastAsia="ja-JP"/>
        </w:rPr>
        <w:t xml:space="preserve"> 2016). In the 1971-1974 atlas the species was recorded as possibly or probably breeding. In the 1993-1996 atlas the species was recorded breeding in Jutland. In Germany, the population generally increased between 1990 and 1995, and since then the overall trend has been declining (Dachverband Deutscher Avifaunisten 2016). Comparison of the distribution of the species in </w:t>
      </w:r>
      <w:r w:rsidRPr="00C96521">
        <w:rPr>
          <w:rFonts w:eastAsia="MS Mincho"/>
          <w:sz w:val="20"/>
          <w:szCs w:val="22"/>
          <w:lang w:val="en-GB" w:eastAsia="ja-JP"/>
        </w:rPr>
        <w:lastRenderedPageBreak/>
        <w:t xml:space="preserve">1985 and 2005-2009 shows that it is generally similar between the two periods. It is mainly found in the lowlands of northern Germany and the northern and western uplands (Gedeon </w:t>
      </w:r>
      <w:r w:rsidRPr="00C96521">
        <w:rPr>
          <w:rFonts w:eastAsia="MS Mincho"/>
          <w:i/>
          <w:sz w:val="20"/>
          <w:szCs w:val="22"/>
          <w:lang w:val="en-GB" w:eastAsia="ja-JP"/>
        </w:rPr>
        <w:t>et al</w:t>
      </w:r>
      <w:r w:rsidRPr="00C96521">
        <w:rPr>
          <w:rFonts w:eastAsia="MS Mincho"/>
          <w:sz w:val="20"/>
          <w:szCs w:val="22"/>
          <w:lang w:val="en-GB" w:eastAsia="ja-JP"/>
        </w:rPr>
        <w:t xml:space="preserve"> 2014). While there has been limited ringing of turtle-doves in Germany, it is thought that birds breeding in the west of the country migrate down through France and the </w:t>
      </w:r>
      <w:r w:rsidR="00691BFF" w:rsidRPr="00C96521">
        <w:rPr>
          <w:rFonts w:eastAsia="MS Mincho"/>
          <w:sz w:val="20"/>
          <w:szCs w:val="22"/>
          <w:lang w:val="en-GB" w:eastAsia="ja-JP"/>
        </w:rPr>
        <w:t>Iberian Peninsula</w:t>
      </w:r>
      <w:r w:rsidRPr="00C96521">
        <w:rPr>
          <w:rFonts w:eastAsia="MS Mincho"/>
          <w:sz w:val="20"/>
          <w:szCs w:val="22"/>
          <w:lang w:val="en-GB" w:eastAsia="ja-JP"/>
        </w:rPr>
        <w:t xml:space="preserve">, and birds breeding in the east of the country and Austria move down through Italy and Malta (Quillfeldt </w:t>
      </w:r>
      <w:r w:rsidRPr="00C96521">
        <w:rPr>
          <w:rFonts w:eastAsia="MS Mincho"/>
          <w:i/>
          <w:sz w:val="20"/>
          <w:szCs w:val="22"/>
          <w:lang w:val="en-GB" w:eastAsia="ja-JP"/>
        </w:rPr>
        <w:t>et al</w:t>
      </w:r>
      <w:r w:rsidRPr="00C96521">
        <w:rPr>
          <w:rFonts w:eastAsia="MS Mincho"/>
          <w:sz w:val="20"/>
          <w:szCs w:val="22"/>
          <w:lang w:val="en-GB" w:eastAsia="ja-JP"/>
        </w:rPr>
        <w:t xml:space="preserve"> 2014).</w:t>
      </w:r>
    </w:p>
    <w:p w14:paraId="186ED28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E8ED935"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breeding population in Luxembourg is very small at just 150-200 pairs (Lorgé </w:t>
      </w:r>
      <w:r w:rsidRPr="00C96521">
        <w:rPr>
          <w:rFonts w:eastAsia="MS Mincho"/>
          <w:i/>
          <w:sz w:val="20"/>
          <w:szCs w:val="22"/>
          <w:lang w:val="en-GB" w:eastAsia="ja-JP"/>
        </w:rPr>
        <w:t>et al</w:t>
      </w:r>
      <w:r w:rsidRPr="00C96521">
        <w:rPr>
          <w:rFonts w:eastAsia="MS Mincho"/>
          <w:sz w:val="20"/>
          <w:szCs w:val="22"/>
          <w:lang w:val="en-GB" w:eastAsia="ja-JP"/>
        </w:rPr>
        <w:t xml:space="preserve"> 2014). No population trend estimates are available, but the species was uplisted from Vulnerable in 2010 (Lorgé and Biver 2010) to Endangered in 2014 (Lorgé </w:t>
      </w:r>
      <w:r w:rsidRPr="00C96521">
        <w:rPr>
          <w:rFonts w:eastAsia="MS Mincho"/>
          <w:i/>
          <w:sz w:val="20"/>
          <w:szCs w:val="22"/>
          <w:lang w:val="en-GB" w:eastAsia="ja-JP"/>
        </w:rPr>
        <w:t>et al</w:t>
      </w:r>
      <w:r w:rsidRPr="00C96521">
        <w:rPr>
          <w:rFonts w:eastAsia="MS Mincho"/>
          <w:sz w:val="20"/>
          <w:szCs w:val="22"/>
          <w:lang w:val="en-GB" w:eastAsia="ja-JP"/>
        </w:rPr>
        <w:t xml:space="preserve"> 2014).</w:t>
      </w:r>
    </w:p>
    <w:p w14:paraId="792FBC7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75EF987" w14:textId="025F41A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the UK, the population underwent a decline of 93</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 xml:space="preserve">between 1995 and 2014 (Harris </w:t>
      </w:r>
      <w:r w:rsidRPr="00C96521">
        <w:rPr>
          <w:rFonts w:eastAsia="MS Mincho"/>
          <w:i/>
          <w:sz w:val="20"/>
          <w:szCs w:val="22"/>
          <w:lang w:val="en-GB" w:eastAsia="ja-JP"/>
        </w:rPr>
        <w:t>et al</w:t>
      </w:r>
      <w:r w:rsidRPr="00C96521">
        <w:rPr>
          <w:rFonts w:eastAsia="MS Mincho"/>
          <w:sz w:val="20"/>
          <w:szCs w:val="22"/>
          <w:lang w:val="en-GB" w:eastAsia="ja-JP"/>
        </w:rPr>
        <w:t xml:space="preserve"> 2016). Regionally the species declined by 92</w:t>
      </w:r>
      <w:r w:rsidR="00691BFF">
        <w:rPr>
          <w:rFonts w:eastAsia="MS Mincho"/>
          <w:sz w:val="20"/>
          <w:szCs w:val="22"/>
          <w:lang w:val="en-GB" w:eastAsia="ja-JP"/>
        </w:rPr>
        <w:t xml:space="preserve"> per cent</w:t>
      </w:r>
      <w:r w:rsidRPr="00C96521">
        <w:rPr>
          <w:rFonts w:eastAsia="MS Mincho"/>
          <w:sz w:val="20"/>
          <w:szCs w:val="22"/>
          <w:lang w:val="en-GB" w:eastAsia="ja-JP"/>
        </w:rPr>
        <w:t xml:space="preserve"> in the east of England (Bedfordshire, Cambridgeshire, Essex, Hertfordshire, Norfolk, Suffolk) and 94</w:t>
      </w:r>
      <w:r w:rsidR="00691BFF">
        <w:rPr>
          <w:rFonts w:eastAsia="MS Mincho"/>
          <w:sz w:val="20"/>
          <w:szCs w:val="22"/>
          <w:lang w:val="en-GB" w:eastAsia="ja-JP"/>
        </w:rPr>
        <w:t xml:space="preserve"> per cent</w:t>
      </w:r>
      <w:r w:rsidRPr="00C96521">
        <w:rPr>
          <w:rFonts w:eastAsia="MS Mincho"/>
          <w:sz w:val="20"/>
          <w:szCs w:val="22"/>
          <w:lang w:val="en-GB" w:eastAsia="ja-JP"/>
        </w:rPr>
        <w:t xml:space="preserve"> in the south</w:t>
      </w:r>
      <w:r w:rsidR="00691BFF">
        <w:rPr>
          <w:rFonts w:eastAsia="MS Mincho"/>
          <w:sz w:val="20"/>
          <w:szCs w:val="22"/>
          <w:lang w:val="en-GB" w:eastAsia="ja-JP"/>
        </w:rPr>
        <w:t>-</w:t>
      </w:r>
      <w:r w:rsidRPr="00C96521">
        <w:rPr>
          <w:rFonts w:eastAsia="MS Mincho"/>
          <w:sz w:val="20"/>
          <w:szCs w:val="22"/>
          <w:lang w:val="en-GB" w:eastAsia="ja-JP"/>
        </w:rPr>
        <w:t>east of England (Berkshire, Buckinghamshire, Hampshire, Isle of Wight, Kent, Oxfordshire, Surrey, Sussex). The range of the species in the UK retracted between the 1968-1972 and 2008-2011 atlases (BTO 2016). The species remains in the east and south-east of England, but has generally been lost from the south-west, Wales,</w:t>
      </w:r>
      <w:r w:rsidR="00691BFF">
        <w:rPr>
          <w:rFonts w:eastAsia="MS Mincho"/>
          <w:sz w:val="20"/>
          <w:szCs w:val="22"/>
          <w:lang w:val="en-GB" w:eastAsia="ja-JP"/>
        </w:rPr>
        <w:t xml:space="preserve"> the</w:t>
      </w:r>
      <w:r w:rsidRPr="00C96521">
        <w:rPr>
          <w:rFonts w:eastAsia="MS Mincho"/>
          <w:sz w:val="20"/>
          <w:szCs w:val="22"/>
          <w:lang w:val="en-GB" w:eastAsia="ja-JP"/>
        </w:rPr>
        <w:t xml:space="preserve"> Midlands and northern England. Based on the current rate of decline </w:t>
      </w:r>
      <w:r w:rsidR="00691BFF">
        <w:rPr>
          <w:rFonts w:eastAsia="MS Mincho"/>
          <w:sz w:val="20"/>
          <w:szCs w:val="22"/>
          <w:lang w:val="en-GB" w:eastAsia="ja-JP"/>
        </w:rPr>
        <w:t xml:space="preserve">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w:t>
      </w:r>
      <w:r w:rsidR="00691BFF" w:rsidRPr="00C96521">
        <w:rPr>
          <w:rFonts w:eastAsia="MS Mincho" w:cs="Arial"/>
          <w:sz w:val="20"/>
          <w:szCs w:val="22"/>
          <w:lang w:val="en-GB" w:eastAsia="ja-JP"/>
        </w:rPr>
        <w:t xml:space="preserve">ove </w:t>
      </w:r>
      <w:r w:rsidRPr="00C96521">
        <w:rPr>
          <w:rFonts w:eastAsia="MS Mincho"/>
          <w:sz w:val="20"/>
          <w:szCs w:val="22"/>
          <w:lang w:val="en-GB" w:eastAsia="ja-JP"/>
        </w:rPr>
        <w:t>may be lost as a breeding bird in the UK by 2021 (Dunn and Morris 2012).</w:t>
      </w:r>
    </w:p>
    <w:p w14:paraId="51977C1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B808C92"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Estonia/Finland/Latvia/Lithuania</w:t>
      </w:r>
    </w:p>
    <w:p w14:paraId="4D9D8D70"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3047D7B5" w14:textId="317F7F69"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 xml:space="preserve">Countries around the Baltic Sea have generally experienced a decline in </w:t>
      </w:r>
      <w:r w:rsidR="00691BFF" w:rsidRPr="005D6A2A">
        <w:rPr>
          <w:rFonts w:eastAsia="MS Mincho" w:cs="Arial"/>
          <w:i/>
          <w:sz w:val="20"/>
          <w:szCs w:val="22"/>
          <w:lang w:val="en-GB" w:eastAsia="ja-JP"/>
        </w:rPr>
        <w:t>Turtle Dove</w:t>
      </w:r>
      <w:r w:rsidR="00691BFF">
        <w:rPr>
          <w:rFonts w:eastAsia="MS Mincho" w:cs="Arial"/>
          <w:sz w:val="20"/>
          <w:szCs w:val="22"/>
          <w:lang w:val="en-GB" w:eastAsia="ja-JP"/>
        </w:rPr>
        <w:t xml:space="preserve"> </w:t>
      </w:r>
      <w:r w:rsidRPr="00C96521">
        <w:rPr>
          <w:rFonts w:eastAsia="MS Mincho"/>
          <w:i/>
          <w:sz w:val="20"/>
          <w:szCs w:val="22"/>
          <w:lang w:val="en-GB" w:eastAsia="ja-JP"/>
        </w:rPr>
        <w:t>numbers or range. The decline in Latvia between 1995 and 2014 was very strong, and the Lithuanian population declined at an average rate of about</w:t>
      </w:r>
      <w:r w:rsidR="00691BFF">
        <w:rPr>
          <w:rFonts w:eastAsia="MS Mincho"/>
          <w:i/>
          <w:sz w:val="20"/>
          <w:szCs w:val="22"/>
          <w:lang w:val="en-GB" w:eastAsia="ja-JP"/>
        </w:rPr>
        <w:t xml:space="preserve"> </w:t>
      </w:r>
      <w:r w:rsidRPr="00C96521">
        <w:rPr>
          <w:rFonts w:eastAsia="MS Mincho"/>
          <w:i/>
          <w:sz w:val="20"/>
          <w:szCs w:val="22"/>
          <w:lang w:val="en-GB" w:eastAsia="ja-JP"/>
        </w:rPr>
        <w:t>13</w:t>
      </w:r>
      <w:r w:rsidR="00691BFF">
        <w:rPr>
          <w:rFonts w:eastAsia="MS Mincho"/>
          <w:i/>
          <w:sz w:val="20"/>
          <w:szCs w:val="22"/>
          <w:lang w:val="en-GB" w:eastAsia="ja-JP"/>
        </w:rPr>
        <w:t xml:space="preserve"> per cent</w:t>
      </w:r>
      <w:r w:rsidRPr="00C96521">
        <w:rPr>
          <w:rFonts w:eastAsia="MS Mincho"/>
          <w:i/>
          <w:sz w:val="20"/>
          <w:szCs w:val="22"/>
          <w:lang w:val="en-GB" w:eastAsia="ja-JP"/>
        </w:rPr>
        <w:t xml:space="preserve"> per year between 1994 and 2013.</w:t>
      </w:r>
    </w:p>
    <w:p w14:paraId="4F2B024F"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40047C72" w14:textId="26F2DC4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Finland, comparison of the 1974-1979, 1986-1989 and 2006-2010 breeding atlases shows that there are fewer records of the species in the most recent atlas than in previous versions (Lehikoinen 2016). The species is found mainly in the south-east of the country where it breeds in agricultural areas. It was first recorded breeding in Finland in 1979, and the population size was estimated at 70 pairs in 1980-1990 but is now estimated to be 5 pairs. The number of atlas squares in which the species was recorded dropped from 130 in the 1970s, 90 in the 1980s, to 30 in the 2000s. If the decline continues, 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Dove </w:t>
      </w:r>
      <w:r w:rsidRPr="00C96521">
        <w:rPr>
          <w:rFonts w:eastAsia="MS Mincho"/>
          <w:sz w:val="20"/>
          <w:szCs w:val="22"/>
          <w:lang w:val="en-GB" w:eastAsia="ja-JP"/>
        </w:rPr>
        <w:t>will be lost as a breeding species. The population decline in Finland is thought to be related to broader declines across Europe.</w:t>
      </w:r>
    </w:p>
    <w:p w14:paraId="072702E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EA6F117" w14:textId="25C2BB1F"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w:t>
      </w:r>
      <w:r w:rsidR="00691BFF" w:rsidRPr="00C96521">
        <w:rPr>
          <w:rFonts w:eastAsia="MS Mincho" w:cs="Arial"/>
          <w:sz w:val="20"/>
          <w:szCs w:val="22"/>
          <w:lang w:val="en-GB" w:eastAsia="ja-JP"/>
        </w:rPr>
        <w:t xml:space="preserve">ove </w:t>
      </w:r>
      <w:r w:rsidRPr="00C96521">
        <w:rPr>
          <w:rFonts w:eastAsia="MS Mincho"/>
          <w:sz w:val="20"/>
          <w:szCs w:val="22"/>
          <w:lang w:val="en-GB" w:eastAsia="ja-JP"/>
        </w:rPr>
        <w:t xml:space="preserve">population in Estonia fluctuated greatly over the period 1983-2010 (Kuresoo </w:t>
      </w:r>
      <w:r w:rsidRPr="00C96521">
        <w:rPr>
          <w:rFonts w:eastAsia="MS Mincho"/>
          <w:i/>
          <w:sz w:val="20"/>
          <w:szCs w:val="22"/>
          <w:lang w:val="en-GB" w:eastAsia="ja-JP"/>
        </w:rPr>
        <w:t>et al</w:t>
      </w:r>
      <w:r w:rsidRPr="00C96521">
        <w:rPr>
          <w:rFonts w:eastAsia="MS Mincho"/>
          <w:sz w:val="20"/>
          <w:szCs w:val="22"/>
          <w:lang w:val="en-GB" w:eastAsia="ja-JP"/>
        </w:rPr>
        <w:t xml:space="preserve"> 2011). The species increased between the 1970s and 1990s (Rouxel 2000) but exhibited a sharp decline in 1996-1998. In the early 2000s, the species dropped to 1983 levels or below (Kuresoo </w:t>
      </w:r>
      <w:r w:rsidRPr="00C96521">
        <w:rPr>
          <w:rFonts w:eastAsia="MS Mincho"/>
          <w:i/>
          <w:sz w:val="20"/>
          <w:szCs w:val="22"/>
          <w:lang w:val="en-GB" w:eastAsia="ja-JP"/>
        </w:rPr>
        <w:t>et al</w:t>
      </w:r>
      <w:r w:rsidRPr="00C96521">
        <w:rPr>
          <w:rFonts w:eastAsia="MS Mincho"/>
          <w:sz w:val="20"/>
          <w:szCs w:val="22"/>
          <w:lang w:val="en-GB" w:eastAsia="ja-JP"/>
        </w:rPr>
        <w:t xml:space="preserve"> 2011).</w:t>
      </w:r>
    </w:p>
    <w:p w14:paraId="657C00C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135E0A0" w14:textId="345449D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According to the first 10 years of data collected as part of the Latvian Common Bird Monitoring Scheme, the population of turtle-dove decreased 87.9</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between 2005 and 2014 (Auniņš 2015). The trend between 1995 and 2014 was -82.0</w:t>
      </w:r>
      <w:r w:rsidR="00691BFF">
        <w:rPr>
          <w:rFonts w:eastAsia="MS Mincho"/>
          <w:sz w:val="20"/>
          <w:szCs w:val="22"/>
          <w:lang w:val="en-GB" w:eastAsia="ja-JP"/>
        </w:rPr>
        <w:t xml:space="preserve"> per cent</w:t>
      </w:r>
      <w:r w:rsidRPr="00C96521">
        <w:rPr>
          <w:rFonts w:eastAsia="MS Mincho"/>
          <w:sz w:val="20"/>
          <w:szCs w:val="22"/>
          <w:lang w:val="en-GB" w:eastAsia="ja-JP"/>
        </w:rPr>
        <w:t>. The average annual trend was estimated at -9.7 to -2.5</w:t>
      </w:r>
      <w:r w:rsidR="00691BFF">
        <w:rPr>
          <w:rFonts w:eastAsia="MS Mincho"/>
          <w:sz w:val="20"/>
          <w:szCs w:val="22"/>
          <w:lang w:val="en-GB" w:eastAsia="ja-JP"/>
        </w:rPr>
        <w:t xml:space="preserve"> per cent</w:t>
      </w:r>
      <w:r w:rsidRPr="00C96521">
        <w:rPr>
          <w:rFonts w:eastAsia="MS Mincho"/>
          <w:sz w:val="20"/>
          <w:szCs w:val="22"/>
          <w:lang w:val="en-GB" w:eastAsia="ja-JP"/>
        </w:rPr>
        <w:t xml:space="preserve">. The species is distributed across Latvia with slightly more records in the south than north of the country (Kerus 2005). In the past, the species was described as most common in the east of the country, but always at low densities (Rouxel 2000). The range of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Dove </w:t>
      </w:r>
      <w:r w:rsidRPr="00C96521">
        <w:rPr>
          <w:rFonts w:eastAsia="MS Mincho"/>
          <w:sz w:val="20"/>
          <w:szCs w:val="22"/>
          <w:lang w:val="en-GB" w:eastAsia="ja-JP"/>
        </w:rPr>
        <w:t>expanded northwards from the 1930s until at least the 1960s.</w:t>
      </w:r>
    </w:p>
    <w:p w14:paraId="6AF74545"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2B295E88" w14:textId="1E3BD41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Lithuania</w:t>
      </w:r>
      <w:r w:rsidR="00691BFF">
        <w:rPr>
          <w:rFonts w:eastAsia="MS Mincho"/>
          <w:sz w:val="20"/>
          <w:szCs w:val="22"/>
          <w:lang w:val="en-GB" w:eastAsia="ja-JP"/>
        </w:rPr>
        <w:t>,</w:t>
      </w:r>
      <w:r w:rsidRPr="00C96521">
        <w:rPr>
          <w:rFonts w:eastAsia="MS Mincho"/>
          <w:sz w:val="20"/>
          <w:szCs w:val="22"/>
          <w:lang w:val="en-GB" w:eastAsia="ja-JP"/>
        </w:rPr>
        <w:t xml:space="preserve"> 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Dove</w:t>
      </w:r>
      <w:r w:rsidR="00691BFF" w:rsidRPr="00C96521">
        <w:rPr>
          <w:rFonts w:eastAsia="MS Mincho" w:cs="Arial"/>
          <w:sz w:val="20"/>
          <w:szCs w:val="22"/>
          <w:lang w:val="en-GB" w:eastAsia="ja-JP"/>
        </w:rPr>
        <w:t xml:space="preserve"> </w:t>
      </w:r>
      <w:r w:rsidRPr="00C96521">
        <w:rPr>
          <w:rFonts w:eastAsia="MS Mincho"/>
          <w:sz w:val="20"/>
          <w:szCs w:val="22"/>
          <w:lang w:val="en-GB" w:eastAsia="ja-JP"/>
        </w:rPr>
        <w:t xml:space="preserve">is a widespread species, but the population abundance index for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w:t>
      </w:r>
      <w:r w:rsidR="00691BFF" w:rsidRPr="00C96521">
        <w:rPr>
          <w:rFonts w:eastAsia="MS Mincho" w:cs="Arial"/>
          <w:sz w:val="20"/>
          <w:szCs w:val="22"/>
          <w:lang w:val="en-GB" w:eastAsia="ja-JP"/>
        </w:rPr>
        <w:t xml:space="preserve">ove </w:t>
      </w:r>
      <w:r w:rsidRPr="00C96521">
        <w:rPr>
          <w:rFonts w:eastAsia="MS Mincho"/>
          <w:sz w:val="20"/>
          <w:szCs w:val="22"/>
          <w:lang w:val="en-GB" w:eastAsia="ja-JP"/>
        </w:rPr>
        <w:t>between 1994 and 2013 was 0.87 (standard error 0.03) signalling a statistically significant average rate of decline of roughly 13</w:t>
      </w:r>
      <w:r w:rsidR="00691BFF">
        <w:rPr>
          <w:rFonts w:eastAsia="MS Mincho"/>
          <w:sz w:val="20"/>
          <w:szCs w:val="22"/>
          <w:lang w:val="en-GB" w:eastAsia="ja-JP"/>
        </w:rPr>
        <w:t xml:space="preserve"> per cent</w:t>
      </w:r>
      <w:r w:rsidRPr="00C96521">
        <w:rPr>
          <w:rFonts w:eastAsia="MS Mincho"/>
          <w:sz w:val="20"/>
          <w:szCs w:val="22"/>
          <w:lang w:val="en-GB" w:eastAsia="ja-JP"/>
        </w:rPr>
        <w:t xml:space="preserve"> per year (</w:t>
      </w:r>
      <w:hyperlink r:id="rId47" w:history="1">
        <w:r w:rsidRPr="00C96521">
          <w:rPr>
            <w:rFonts w:eastAsia="MS Mincho"/>
            <w:sz w:val="20"/>
            <w:szCs w:val="22"/>
            <w:lang w:val="en-GB" w:eastAsia="ja-JP"/>
          </w:rPr>
          <w:t>Lietuvos Ornitologų Draugija</w:t>
        </w:r>
      </w:hyperlink>
      <w:r w:rsidRPr="00C96521">
        <w:rPr>
          <w:rFonts w:eastAsia="MS Mincho"/>
          <w:sz w:val="20"/>
          <w:szCs w:val="22"/>
          <w:lang w:val="en-GB" w:eastAsia="ja-JP"/>
        </w:rPr>
        <w:t xml:space="preserve"> 2013). The species also declined between 1970 and 1990 (Kurlavičius 2006). </w:t>
      </w:r>
    </w:p>
    <w:p w14:paraId="6D1C41A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00E7622"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Austria/Czech Republic/Hungary/Italy/Poland/Slovakia/Switzerland</w:t>
      </w:r>
    </w:p>
    <w:p w14:paraId="75D6DC7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4ED52456"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An overall population trend for this region is unclear. Several countries have reported stable populations (Italy and Hungary) while other national trends are decreasing (Austria, Czech Republic and Poland).</w:t>
      </w:r>
    </w:p>
    <w:p w14:paraId="61DFE65C"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65953F92" w14:textId="171A43D8"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Austria over the period 2010-2015, 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Dove </w:t>
      </w:r>
      <w:r w:rsidRPr="00C96521">
        <w:rPr>
          <w:rFonts w:eastAsia="MS Mincho"/>
          <w:sz w:val="20"/>
          <w:szCs w:val="22"/>
          <w:lang w:val="en-GB" w:eastAsia="ja-JP"/>
        </w:rPr>
        <w:t>underwent a strong decline of 40</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(annual decline of 9.8</w:t>
      </w:r>
      <w:r w:rsidR="00691BFF">
        <w:rPr>
          <w:rFonts w:eastAsia="MS Mincho"/>
          <w:sz w:val="20"/>
          <w:szCs w:val="22"/>
          <w:lang w:val="en-GB" w:eastAsia="ja-JP"/>
        </w:rPr>
        <w:t xml:space="preserve"> per cent</w:t>
      </w:r>
      <w:r w:rsidRPr="00C96521">
        <w:rPr>
          <w:rFonts w:eastAsia="MS Mincho"/>
          <w:sz w:val="20"/>
          <w:szCs w:val="22"/>
          <w:lang w:val="en-GB" w:eastAsia="ja-JP"/>
        </w:rPr>
        <w:t>) (Teufelbauer and Seaman 2016). Between 1998 and 2015, the species declined 54</w:t>
      </w:r>
      <w:r w:rsidR="00691BFF">
        <w:rPr>
          <w:rFonts w:eastAsia="MS Mincho"/>
          <w:sz w:val="20"/>
          <w:szCs w:val="22"/>
          <w:lang w:val="en-GB" w:eastAsia="ja-JP"/>
        </w:rPr>
        <w:t xml:space="preserve"> per cent</w:t>
      </w:r>
      <w:r w:rsidRPr="00C96521">
        <w:rPr>
          <w:rFonts w:eastAsia="MS Mincho"/>
          <w:sz w:val="20"/>
          <w:szCs w:val="22"/>
          <w:lang w:val="en-GB" w:eastAsia="ja-JP"/>
        </w:rPr>
        <w:t xml:space="preserve"> overall, with an annual decline of 4.7</w:t>
      </w:r>
      <w:r w:rsidR="00691BFF">
        <w:rPr>
          <w:rFonts w:eastAsia="MS Mincho"/>
          <w:sz w:val="20"/>
          <w:szCs w:val="22"/>
          <w:lang w:val="en-GB" w:eastAsia="ja-JP"/>
        </w:rPr>
        <w:t xml:space="preserve"> per cent</w:t>
      </w:r>
      <w:r w:rsidRPr="00C96521">
        <w:rPr>
          <w:rFonts w:eastAsia="MS Mincho"/>
          <w:sz w:val="20"/>
          <w:szCs w:val="22"/>
          <w:lang w:val="en-GB" w:eastAsia="ja-JP"/>
        </w:rPr>
        <w:t xml:space="preserve">. The species is mainly found in the east of the country (Dvorak </w:t>
      </w:r>
      <w:r w:rsidRPr="00C96521">
        <w:rPr>
          <w:rFonts w:eastAsia="MS Mincho"/>
          <w:i/>
          <w:sz w:val="20"/>
          <w:szCs w:val="22"/>
          <w:lang w:val="en-GB" w:eastAsia="ja-JP"/>
        </w:rPr>
        <w:t>et al</w:t>
      </w:r>
      <w:r w:rsidRPr="00C96521">
        <w:rPr>
          <w:rFonts w:eastAsia="MS Mincho"/>
          <w:sz w:val="20"/>
          <w:szCs w:val="22"/>
          <w:lang w:val="en-GB" w:eastAsia="ja-JP"/>
        </w:rPr>
        <w:t xml:space="preserve"> 1993).</w:t>
      </w:r>
    </w:p>
    <w:p w14:paraId="29B4B050"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13DCB299" w14:textId="71BD552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Considered a species of farmland in the Czech Republic, the population is undergoing a slight decrease (CSO/JPSP 2015). Over the period 1982-2005, the species had an average annual population change of -2.81</w:t>
      </w:r>
      <w:r w:rsidR="00FB0078">
        <w:rPr>
          <w:rFonts w:eastAsia="MS Mincho"/>
          <w:sz w:val="20"/>
          <w:szCs w:val="22"/>
          <w:lang w:val="en-GB" w:eastAsia="ja-JP"/>
        </w:rPr>
        <w:t xml:space="preserve"> per cent</w:t>
      </w:r>
      <w:r w:rsidR="00FB0078" w:rsidRPr="00C96521">
        <w:rPr>
          <w:rFonts w:eastAsia="MS Mincho"/>
          <w:sz w:val="20"/>
          <w:szCs w:val="22"/>
          <w:lang w:val="en-GB" w:eastAsia="ja-JP"/>
        </w:rPr>
        <w:t xml:space="preserve"> </w:t>
      </w:r>
      <w:r w:rsidRPr="00C96521">
        <w:rPr>
          <w:rFonts w:eastAsia="MS Mincho"/>
          <w:sz w:val="20"/>
          <w:szCs w:val="22"/>
          <w:lang w:val="en-GB" w:eastAsia="ja-JP"/>
        </w:rPr>
        <w:t xml:space="preserve">(lower limit of confidence interval 0.96, upper limit 0.98) which was considered a moderate decline (Reif </w:t>
      </w:r>
      <w:r w:rsidRPr="00C96521">
        <w:rPr>
          <w:rFonts w:eastAsia="MS Mincho"/>
          <w:i/>
          <w:sz w:val="20"/>
          <w:szCs w:val="22"/>
          <w:lang w:val="en-GB" w:eastAsia="ja-JP"/>
        </w:rPr>
        <w:t>et al</w:t>
      </w:r>
      <w:r w:rsidRPr="00C96521">
        <w:rPr>
          <w:rFonts w:eastAsia="MS Mincho"/>
          <w:sz w:val="20"/>
          <w:szCs w:val="22"/>
          <w:lang w:val="en-GB" w:eastAsia="ja-JP"/>
        </w:rPr>
        <w:t xml:space="preserve"> 2006). Comparison between the 1973-1977 and 1985-1989 breeding atlas shows that the number of squares occupied by the species remained similar in both periods (Štastný </w:t>
      </w:r>
      <w:r w:rsidRPr="00C96521">
        <w:rPr>
          <w:rFonts w:eastAsia="MS Mincho"/>
          <w:i/>
          <w:sz w:val="20"/>
          <w:szCs w:val="22"/>
          <w:lang w:val="en-GB" w:eastAsia="ja-JP"/>
        </w:rPr>
        <w:t>et al</w:t>
      </w:r>
      <w:r w:rsidRPr="00C96521">
        <w:rPr>
          <w:rFonts w:eastAsia="MS Mincho"/>
          <w:sz w:val="20"/>
          <w:szCs w:val="22"/>
          <w:lang w:val="en-GB" w:eastAsia="ja-JP"/>
        </w:rPr>
        <w:t xml:space="preserve"> 1997). The 2001-2003 breeding bird atlas data show that quadrat occupancy did not dropped below 90% on any mapping occasion (Štastný </w:t>
      </w:r>
      <w:r w:rsidRPr="00C96521">
        <w:rPr>
          <w:rFonts w:eastAsia="MS Mincho"/>
          <w:i/>
          <w:sz w:val="20"/>
          <w:szCs w:val="22"/>
          <w:lang w:val="en-GB" w:eastAsia="ja-JP"/>
        </w:rPr>
        <w:t>et al</w:t>
      </w:r>
      <w:r w:rsidRPr="00C96521">
        <w:rPr>
          <w:rFonts w:eastAsia="MS Mincho"/>
          <w:sz w:val="20"/>
          <w:szCs w:val="22"/>
          <w:lang w:val="en-GB" w:eastAsia="ja-JP"/>
        </w:rPr>
        <w:t xml:space="preserve"> 2006).</w:t>
      </w:r>
    </w:p>
    <w:p w14:paraId="14BC60A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9D42AE1" w14:textId="682EC21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Slovakia, the population trend for </w:t>
      </w:r>
      <w:r w:rsidR="00FB0078">
        <w:rPr>
          <w:rFonts w:eastAsia="MS Mincho"/>
          <w:sz w:val="20"/>
          <w:szCs w:val="22"/>
          <w:lang w:val="en-GB" w:eastAsia="ja-JP"/>
        </w:rPr>
        <w:t xml:space="preserve">the </w:t>
      </w:r>
      <w:r w:rsidR="00FB0078">
        <w:rPr>
          <w:rFonts w:eastAsia="MS Mincho" w:cs="Arial"/>
          <w:sz w:val="20"/>
          <w:szCs w:val="22"/>
          <w:lang w:val="en-GB" w:eastAsia="ja-JP"/>
        </w:rPr>
        <w:t>T</w:t>
      </w:r>
      <w:r w:rsidR="00FB0078" w:rsidRPr="00C96521">
        <w:rPr>
          <w:rFonts w:eastAsia="MS Mincho" w:cs="Arial"/>
          <w:sz w:val="20"/>
          <w:szCs w:val="22"/>
          <w:lang w:val="en-GB" w:eastAsia="ja-JP"/>
        </w:rPr>
        <w:t>urtle</w:t>
      </w:r>
      <w:r w:rsidR="00FB0078">
        <w:rPr>
          <w:rFonts w:eastAsia="MS Mincho" w:cs="Arial"/>
          <w:sz w:val="20"/>
          <w:szCs w:val="22"/>
          <w:lang w:val="en-GB" w:eastAsia="ja-JP"/>
        </w:rPr>
        <w:t xml:space="preserve"> D</w:t>
      </w:r>
      <w:r w:rsidR="00FB0078" w:rsidRPr="00C96521">
        <w:rPr>
          <w:rFonts w:eastAsia="MS Mincho" w:cs="Arial"/>
          <w:sz w:val="20"/>
          <w:szCs w:val="22"/>
          <w:lang w:val="en-GB" w:eastAsia="ja-JP"/>
        </w:rPr>
        <w:t xml:space="preserve">ove </w:t>
      </w:r>
      <w:r w:rsidRPr="00C96521">
        <w:rPr>
          <w:rFonts w:eastAsia="MS Mincho"/>
          <w:sz w:val="20"/>
          <w:szCs w:val="22"/>
          <w:lang w:val="en-GB" w:eastAsia="ja-JP"/>
        </w:rPr>
        <w:t xml:space="preserve">is unclear. Although the trends for 2000-2012 and 1980-2012 were reported to be stable in the European Red List of Birds (BirdLife International 2015), analysis of Common Bird Monitoring data for the period 2005-2009 shows that the trend classification was uncertain with a negative tendency (Slabeyová </w:t>
      </w:r>
      <w:r w:rsidRPr="00C96521">
        <w:rPr>
          <w:rFonts w:eastAsia="MS Mincho"/>
          <w:i/>
          <w:sz w:val="20"/>
          <w:szCs w:val="22"/>
          <w:lang w:val="en-GB" w:eastAsia="ja-JP"/>
        </w:rPr>
        <w:t>et al</w:t>
      </w:r>
      <w:r w:rsidRPr="00C96521">
        <w:rPr>
          <w:rFonts w:eastAsia="MS Mincho"/>
          <w:sz w:val="20"/>
          <w:szCs w:val="22"/>
          <w:lang w:val="en-GB" w:eastAsia="ja-JP"/>
        </w:rPr>
        <w:t xml:space="preserve"> 2009). The average annual population change during 2005-2009 was -3.22</w:t>
      </w:r>
      <w:r w:rsidR="00FB0078">
        <w:rPr>
          <w:rFonts w:eastAsia="MS Mincho"/>
          <w:sz w:val="20"/>
          <w:szCs w:val="22"/>
          <w:lang w:val="en-GB" w:eastAsia="ja-JP"/>
        </w:rPr>
        <w:t xml:space="preserve"> per cent</w:t>
      </w:r>
      <w:r w:rsidRPr="00C96521">
        <w:rPr>
          <w:rFonts w:eastAsia="MS Mincho"/>
          <w:sz w:val="20"/>
          <w:szCs w:val="22"/>
          <w:lang w:val="en-GB" w:eastAsia="ja-JP"/>
        </w:rPr>
        <w:t xml:space="preserve"> (confidence intervals of 0.86-1.07). The species breeds mainly in the lowlands and is found in high numbers in the south of the country (e</w:t>
      </w:r>
      <w:r w:rsidR="00FB0078">
        <w:rPr>
          <w:rFonts w:eastAsia="MS Mincho"/>
          <w:sz w:val="20"/>
          <w:szCs w:val="22"/>
          <w:lang w:val="en-GB" w:eastAsia="ja-JP"/>
        </w:rPr>
        <w:t>.</w:t>
      </w:r>
      <w:r w:rsidRPr="00C96521">
        <w:rPr>
          <w:rFonts w:eastAsia="MS Mincho"/>
          <w:sz w:val="20"/>
          <w:szCs w:val="22"/>
          <w:lang w:val="en-GB" w:eastAsia="ja-JP"/>
        </w:rPr>
        <w:t>g</w:t>
      </w:r>
      <w:r w:rsidR="00FB0078">
        <w:rPr>
          <w:rFonts w:eastAsia="MS Mincho"/>
          <w:sz w:val="20"/>
          <w:szCs w:val="22"/>
          <w:lang w:val="en-GB" w:eastAsia="ja-JP"/>
        </w:rPr>
        <w:t>.</w:t>
      </w:r>
      <w:r w:rsidRPr="00C96521">
        <w:rPr>
          <w:rFonts w:eastAsia="MS Mincho"/>
          <w:sz w:val="20"/>
          <w:szCs w:val="22"/>
          <w:lang w:val="en-GB" w:eastAsia="ja-JP"/>
        </w:rPr>
        <w:t xml:space="preserve"> in the Podunajsko region with records of 1.3-3.2 breeding pairs/10 ha in windbreaks) (Danko </w:t>
      </w:r>
      <w:r w:rsidRPr="00C96521">
        <w:rPr>
          <w:rFonts w:eastAsia="MS Mincho"/>
          <w:i/>
          <w:sz w:val="20"/>
          <w:szCs w:val="22"/>
          <w:lang w:val="en-GB" w:eastAsia="ja-JP"/>
        </w:rPr>
        <w:t>et al</w:t>
      </w:r>
      <w:r w:rsidRPr="00C96521">
        <w:rPr>
          <w:rFonts w:eastAsia="MS Mincho"/>
          <w:sz w:val="20"/>
          <w:szCs w:val="22"/>
          <w:lang w:val="en-GB" w:eastAsia="ja-JP"/>
        </w:rPr>
        <w:t xml:space="preserve"> 2002).</w:t>
      </w:r>
    </w:p>
    <w:p w14:paraId="7B7DAF2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FB5A54B" w14:textId="5774353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Hungary, the population is estimated to be stable, with an annual trend of -0.26</w:t>
      </w:r>
      <w:r w:rsidR="00FB0078">
        <w:rPr>
          <w:rFonts w:eastAsia="MS Mincho"/>
          <w:sz w:val="20"/>
          <w:szCs w:val="22"/>
          <w:lang w:val="en-GB" w:eastAsia="ja-JP"/>
        </w:rPr>
        <w:t xml:space="preserve"> per cent</w:t>
      </w:r>
      <w:r w:rsidRPr="00C96521">
        <w:rPr>
          <w:rFonts w:eastAsia="MS Mincho"/>
          <w:sz w:val="20"/>
          <w:szCs w:val="22"/>
          <w:lang w:val="en-GB" w:eastAsia="ja-JP"/>
        </w:rPr>
        <w:t xml:space="preserve"> (Mindennapi Madaraink Monitoringja 2016).</w:t>
      </w:r>
    </w:p>
    <w:p w14:paraId="1692E93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D09BAF3" w14:textId="5C5F0C3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Although the population for breeding </w:t>
      </w:r>
      <w:r w:rsidR="00FB0078">
        <w:rPr>
          <w:rFonts w:eastAsia="MS Mincho" w:cs="Arial"/>
          <w:sz w:val="20"/>
          <w:szCs w:val="22"/>
          <w:lang w:val="en-GB" w:eastAsia="ja-JP"/>
        </w:rPr>
        <w:t>T</w:t>
      </w:r>
      <w:r w:rsidR="00FB0078" w:rsidRPr="00C96521">
        <w:rPr>
          <w:rFonts w:eastAsia="MS Mincho" w:cs="Arial"/>
          <w:sz w:val="20"/>
          <w:szCs w:val="22"/>
          <w:lang w:val="en-GB" w:eastAsia="ja-JP"/>
        </w:rPr>
        <w:t>urtle</w:t>
      </w:r>
      <w:r w:rsidR="00FB0078">
        <w:rPr>
          <w:rFonts w:eastAsia="MS Mincho" w:cs="Arial"/>
          <w:sz w:val="20"/>
          <w:szCs w:val="22"/>
          <w:lang w:val="en-GB" w:eastAsia="ja-JP"/>
        </w:rPr>
        <w:t xml:space="preserve"> D</w:t>
      </w:r>
      <w:r w:rsidR="00FB0078" w:rsidRPr="00C96521">
        <w:rPr>
          <w:rFonts w:eastAsia="MS Mincho" w:cs="Arial"/>
          <w:sz w:val="20"/>
          <w:szCs w:val="22"/>
          <w:lang w:val="en-GB" w:eastAsia="ja-JP"/>
        </w:rPr>
        <w:t xml:space="preserve">oves </w:t>
      </w:r>
      <w:r w:rsidRPr="00C96521">
        <w:rPr>
          <w:rFonts w:eastAsia="MS Mincho"/>
          <w:sz w:val="20"/>
          <w:szCs w:val="22"/>
          <w:lang w:val="en-GB" w:eastAsia="ja-JP"/>
        </w:rPr>
        <w:t xml:space="preserve">in Italy is estimated to be stable by the MITO2000 project (Rete Rurale Nazionale and LIPU 2015, MITO2000 2016), when this information was considered for the Reporting of the Birds Directive (Nardelli </w:t>
      </w:r>
      <w:r w:rsidRPr="00C96521">
        <w:rPr>
          <w:rFonts w:eastAsia="MS Mincho"/>
          <w:i/>
          <w:sz w:val="20"/>
          <w:szCs w:val="22"/>
          <w:lang w:val="en-GB" w:eastAsia="ja-JP"/>
        </w:rPr>
        <w:t>et al</w:t>
      </w:r>
      <w:r w:rsidRPr="00C96521">
        <w:rPr>
          <w:rFonts w:eastAsia="MS Mincho"/>
          <w:sz w:val="20"/>
          <w:szCs w:val="22"/>
          <w:lang w:val="en-GB" w:eastAsia="ja-JP"/>
        </w:rPr>
        <w:t xml:space="preserve"> 2015), the Lega Italiana Protezione Uccelli and the Istituto Superiore per la Protezione e la Ricerca Ambientale decided to describe both the short- and long-term trends as unknown, due to insufficient data. According to the 1983-1987 Breeding Bird Atlas (Meschini and Frugis 1993) and Brichetti and Fracasso (2006) the species was distributed along the entire Italian peninsula with small exceptions in the far north (Alps) and south, where the species was either not present or present in small numbers.</w:t>
      </w:r>
    </w:p>
    <w:p w14:paraId="1955B93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AE807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Poland, the species underwent a moderate decline between 2000 and 2014 (Monitoring Ptaków Polski 2015). The population index in 2014 was 0.63 compared to 1 in 2000. The 1985-2004 Breeding Bird Atlas describes the species as very widespread (Sikora </w:t>
      </w:r>
      <w:r w:rsidRPr="00C96521">
        <w:rPr>
          <w:rFonts w:eastAsia="MS Mincho"/>
          <w:i/>
          <w:sz w:val="20"/>
          <w:szCs w:val="22"/>
          <w:lang w:val="en-GB" w:eastAsia="ja-JP"/>
        </w:rPr>
        <w:t>et al</w:t>
      </w:r>
      <w:r w:rsidRPr="00C96521">
        <w:rPr>
          <w:rFonts w:eastAsia="MS Mincho"/>
          <w:sz w:val="20"/>
          <w:szCs w:val="22"/>
          <w:lang w:val="en-GB" w:eastAsia="ja-JP"/>
        </w:rPr>
        <w:t xml:space="preserve"> 2007). In the 19</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century it was the most common dove species in Poland, but numbers have declined since then.</w:t>
      </w:r>
    </w:p>
    <w:p w14:paraId="298426A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DCAEBEB" w14:textId="53692ABB"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population in Switzerland fluctuated over the period 1990-2015, with the species generally in decline since about 1996, with a sharp decline exhibited in 2008 (Vogelwarte 2016a). However, from 1985 to the late 1990s the population increased (Schmid </w:t>
      </w:r>
      <w:r w:rsidRPr="00C96521">
        <w:rPr>
          <w:rFonts w:eastAsia="MS Mincho"/>
          <w:i/>
          <w:sz w:val="20"/>
          <w:szCs w:val="22"/>
          <w:lang w:val="en-GB" w:eastAsia="ja-JP"/>
        </w:rPr>
        <w:t>et al</w:t>
      </w:r>
      <w:r w:rsidRPr="00C96521">
        <w:rPr>
          <w:rFonts w:eastAsia="MS Mincho"/>
          <w:sz w:val="20"/>
          <w:szCs w:val="22"/>
          <w:lang w:val="en-GB" w:eastAsia="ja-JP"/>
        </w:rPr>
        <w:t xml:space="preserve"> 2001). Analysis of three atlas publications in Switzerland (1950-1959, 1972-1976 and 1993-1996) shows that the distribution of </w:t>
      </w:r>
      <w:r w:rsidR="00FB0078">
        <w:rPr>
          <w:rFonts w:eastAsia="MS Mincho"/>
          <w:sz w:val="20"/>
          <w:szCs w:val="22"/>
          <w:lang w:val="en-GB" w:eastAsia="ja-JP"/>
        </w:rPr>
        <w:t>T</w:t>
      </w:r>
      <w:r w:rsidRPr="00C96521">
        <w:rPr>
          <w:rFonts w:eastAsia="MS Mincho"/>
          <w:sz w:val="20"/>
          <w:szCs w:val="22"/>
          <w:lang w:val="en-GB" w:eastAsia="ja-JP"/>
        </w:rPr>
        <w:t>urtle</w:t>
      </w:r>
      <w:r w:rsidR="00FB0078">
        <w:rPr>
          <w:rFonts w:eastAsia="MS Mincho"/>
          <w:sz w:val="20"/>
          <w:szCs w:val="22"/>
          <w:lang w:val="en-GB" w:eastAsia="ja-JP"/>
        </w:rPr>
        <w:t xml:space="preserve"> D</w:t>
      </w:r>
      <w:r w:rsidRPr="00C96521">
        <w:rPr>
          <w:rFonts w:eastAsia="MS Mincho"/>
          <w:sz w:val="20"/>
          <w:szCs w:val="22"/>
          <w:lang w:val="en-GB" w:eastAsia="ja-JP"/>
        </w:rPr>
        <w:t>ove</w:t>
      </w:r>
      <w:r w:rsidR="00FB0078">
        <w:rPr>
          <w:rFonts w:eastAsia="MS Mincho"/>
          <w:sz w:val="20"/>
          <w:szCs w:val="22"/>
          <w:lang w:val="en-GB" w:eastAsia="ja-JP"/>
        </w:rPr>
        <w:t>s</w:t>
      </w:r>
      <w:r w:rsidRPr="00C96521">
        <w:rPr>
          <w:rFonts w:eastAsia="MS Mincho"/>
          <w:sz w:val="20"/>
          <w:szCs w:val="22"/>
          <w:lang w:val="en-GB" w:eastAsia="ja-JP"/>
        </w:rPr>
        <w:t xml:space="preserve"> remained generally similar over the whole period,</w:t>
      </w:r>
      <w:r w:rsidR="00FB0078">
        <w:rPr>
          <w:rFonts w:eastAsia="MS Mincho"/>
          <w:sz w:val="20"/>
          <w:szCs w:val="22"/>
          <w:lang w:val="en-GB" w:eastAsia="ja-JP"/>
        </w:rPr>
        <w:t xml:space="preserve"> </w:t>
      </w:r>
      <w:r w:rsidRPr="00C96521">
        <w:rPr>
          <w:rFonts w:eastAsia="MS Mincho"/>
          <w:sz w:val="20"/>
          <w:szCs w:val="22"/>
          <w:lang w:val="en-GB" w:eastAsia="ja-JP"/>
        </w:rPr>
        <w:t xml:space="preserve">with some losses in central Switzerland between the 1972-1976 atlas and the 1993-1996 atlas. In the 1950s, the </w:t>
      </w:r>
      <w:r w:rsidR="00FB0078">
        <w:rPr>
          <w:rFonts w:eastAsia="MS Mincho"/>
          <w:sz w:val="20"/>
          <w:szCs w:val="22"/>
          <w:lang w:val="en-GB" w:eastAsia="ja-JP"/>
        </w:rPr>
        <w:t>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ove</w:t>
      </w:r>
      <w:r w:rsidR="00FB0078">
        <w:rPr>
          <w:rFonts w:eastAsia="MS Mincho"/>
          <w:sz w:val="20"/>
          <w:szCs w:val="22"/>
          <w:lang w:val="en-GB" w:eastAsia="ja-JP"/>
        </w:rPr>
        <w:t>’s</w:t>
      </w:r>
      <w:r w:rsidR="00FB0078" w:rsidRPr="00C96521">
        <w:rPr>
          <w:rFonts w:eastAsia="MS Mincho"/>
          <w:sz w:val="20"/>
          <w:szCs w:val="22"/>
          <w:lang w:val="en-GB" w:eastAsia="ja-JP"/>
        </w:rPr>
        <w:t xml:space="preserve"> </w:t>
      </w:r>
      <w:r w:rsidRPr="00C96521">
        <w:rPr>
          <w:rFonts w:eastAsia="MS Mincho"/>
          <w:sz w:val="20"/>
          <w:szCs w:val="22"/>
          <w:lang w:val="en-GB" w:eastAsia="ja-JP"/>
        </w:rPr>
        <w:t xml:space="preserve">range was patchy, being found in areas with a mild climate in the west and south of the country. Numbers increased after the mid-1950s, particularly in the Plaine de l’Orbe in the Vaud canton as well as on the Rhône plain. In the 1993-1996 atlas, breeding was more irregular in eastern Switzerland with a slight negative trend (Schmid </w:t>
      </w:r>
      <w:r w:rsidRPr="00C96521">
        <w:rPr>
          <w:rFonts w:eastAsia="MS Mincho"/>
          <w:i/>
          <w:sz w:val="20"/>
          <w:szCs w:val="22"/>
          <w:lang w:val="en-GB" w:eastAsia="ja-JP"/>
        </w:rPr>
        <w:t>et al</w:t>
      </w:r>
      <w:r w:rsidRPr="00C96521">
        <w:rPr>
          <w:rFonts w:eastAsia="MS Mincho"/>
          <w:sz w:val="20"/>
          <w:szCs w:val="22"/>
          <w:lang w:val="en-GB" w:eastAsia="ja-JP"/>
        </w:rPr>
        <w:t xml:space="preserve"> 2001).</w:t>
      </w:r>
    </w:p>
    <w:p w14:paraId="7CC972C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74454E4" w14:textId="068D220E"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Albania, Bosnia and Herzegovina, Croatia, Greece, Kosovo</w:t>
      </w:r>
      <w:r w:rsidR="005D6A2A">
        <w:rPr>
          <w:rFonts w:eastAsia="MS Mincho"/>
          <w:b/>
          <w:sz w:val="20"/>
          <w:szCs w:val="22"/>
          <w:lang w:val="en-GB" w:eastAsia="ja-JP"/>
        </w:rPr>
        <w:t xml:space="preserve"> (UN Res 1244)</w:t>
      </w:r>
      <w:r w:rsidRPr="00C96521">
        <w:rPr>
          <w:rFonts w:eastAsia="MS Mincho"/>
          <w:b/>
          <w:sz w:val="20"/>
          <w:szCs w:val="22"/>
          <w:lang w:val="en-GB" w:eastAsia="ja-JP"/>
        </w:rPr>
        <w:t>, Montenegro, Serbia, Slovenia</w:t>
      </w:r>
      <w:r w:rsidR="00FB0078">
        <w:rPr>
          <w:rFonts w:eastAsia="MS Mincho"/>
          <w:b/>
          <w:sz w:val="20"/>
          <w:szCs w:val="22"/>
          <w:lang w:val="en-GB" w:eastAsia="ja-JP"/>
        </w:rPr>
        <w:t>, the FYR</w:t>
      </w:r>
      <w:r w:rsidR="00FB0078" w:rsidRPr="00FB0078">
        <w:rPr>
          <w:rFonts w:eastAsia="MS Mincho"/>
          <w:b/>
          <w:sz w:val="20"/>
          <w:szCs w:val="22"/>
          <w:lang w:val="en-GB" w:eastAsia="ja-JP"/>
        </w:rPr>
        <w:t xml:space="preserve"> </w:t>
      </w:r>
      <w:r w:rsidR="00FB0078" w:rsidRPr="00C96521">
        <w:rPr>
          <w:rFonts w:eastAsia="MS Mincho"/>
          <w:b/>
          <w:sz w:val="20"/>
          <w:szCs w:val="22"/>
          <w:lang w:val="en-GB" w:eastAsia="ja-JP"/>
        </w:rPr>
        <w:t>Macedonia</w:t>
      </w:r>
    </w:p>
    <w:p w14:paraId="7379958D"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1A6B438D"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 xml:space="preserve">Information on the population trend or distribution of the species in this group of countries is limited. The species has undergone a steep decline in Slovenia, but is considered Least Concern in Romania. In </w:t>
      </w:r>
      <w:r w:rsidRPr="00C96521">
        <w:rPr>
          <w:rFonts w:eastAsia="MS Mincho"/>
          <w:i/>
          <w:sz w:val="20"/>
          <w:szCs w:val="22"/>
          <w:lang w:val="en-GB" w:eastAsia="ja-JP"/>
        </w:rPr>
        <w:lastRenderedPageBreak/>
        <w:t>Greece it is a widespread breeding bird, but much commoner on passage, particularly during the spring when large numbers of birds stage on the Greek islands.</w:t>
      </w:r>
    </w:p>
    <w:p w14:paraId="200B3F7B"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6A8F218E" w14:textId="12592FA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w:t>
      </w:r>
      <w:r w:rsidR="00FB0078">
        <w:rPr>
          <w:rFonts w:eastAsia="MS Mincho"/>
          <w:sz w:val="20"/>
          <w:szCs w:val="22"/>
          <w:lang w:val="en-GB" w:eastAsia="ja-JP"/>
        </w:rPr>
        <w:t>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ove</w:t>
      </w:r>
      <w:r w:rsidR="00FB0078">
        <w:rPr>
          <w:rFonts w:eastAsia="MS Mincho"/>
          <w:sz w:val="20"/>
          <w:szCs w:val="22"/>
          <w:lang w:val="en-GB" w:eastAsia="ja-JP"/>
        </w:rPr>
        <w:t xml:space="preserve"> </w:t>
      </w:r>
      <w:r w:rsidRPr="00C96521">
        <w:rPr>
          <w:rFonts w:eastAsia="MS Mincho"/>
          <w:sz w:val="20"/>
          <w:szCs w:val="22"/>
          <w:lang w:val="en-GB" w:eastAsia="ja-JP"/>
        </w:rPr>
        <w:t>maintains high breeding densities in central Greece (Thessaly), and most of its breeding population in north-eastern Greece (Evros region) shows a stable and/or low (</w:t>
      </w:r>
      <w:r w:rsidRPr="00C96521">
        <w:rPr>
          <w:rFonts w:eastAsia="MS Mincho" w:cs="Arial"/>
          <w:sz w:val="20"/>
          <w:szCs w:val="22"/>
          <w:lang w:val="en-GB" w:eastAsia="ja-JP"/>
        </w:rPr>
        <w:t xml:space="preserve">±5) </w:t>
      </w:r>
      <w:r w:rsidRPr="00C96521">
        <w:rPr>
          <w:rFonts w:eastAsia="MS Mincho"/>
          <w:sz w:val="20"/>
          <w:szCs w:val="22"/>
          <w:lang w:val="en-GB" w:eastAsia="ja-JP"/>
        </w:rPr>
        <w:t xml:space="preserve">declining trend during the last 15 years (Dimitris Bakaloudis </w:t>
      </w:r>
      <w:r w:rsidRPr="00C96521">
        <w:rPr>
          <w:rFonts w:eastAsia="MS Mincho"/>
          <w:i/>
          <w:sz w:val="20"/>
          <w:szCs w:val="22"/>
          <w:lang w:val="en-GB" w:eastAsia="ja-JP"/>
        </w:rPr>
        <w:t>pers comm</w:t>
      </w:r>
      <w:r w:rsidRPr="00C96521">
        <w:rPr>
          <w:rFonts w:eastAsia="MS Mincho"/>
          <w:sz w:val="20"/>
          <w:szCs w:val="22"/>
          <w:lang w:val="en-GB" w:eastAsia="ja-JP"/>
        </w:rPr>
        <w:t>). It is reported to breed over much of the Greek mainland, being widespread and common in Macedonia and Thrace but more thinly distributed farther south and rather uncommon across much of the Peloponnese (Handrinos and Akriotis 1997). The species is much commoner on passage in Greece, particularly during spring migration. It moves on a broad front, but large numbers can be found along the coast, particularly in western Greece. In spring, birds pass through Zakynthos, Kefallinia and the Strofades islets, the first landing site after crossing the Mediterranean from more southerly wintering areas. Large numbers of birds have been recorded stopping on or passing over the Strofades in spring: an estimated 5,000 birds recorded on the main island in 1995 and a further 5,000 passing over the islands (Schogolev and Dimaki, in Handrinos and Akriotis 1997).</w:t>
      </w:r>
    </w:p>
    <w:p w14:paraId="1007368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FC4A39F"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Slovenia, the population underwent a steep decline with a multiplicative annual slope of 0.87 over the period 2008-2015 (Kmecl and Figelj 2015). However, in the 1995 Breeding Bird Atlas the species was described as common with a stable trend (Geister 1995). It is most common in the east of the country, especially Dolenjska, Bela Krajina, Kozjansko, and Prekmurje. It is also common in the south-western part of the county, especially in the Slovene part of Istria (Mihelič 2013). </w:t>
      </w:r>
    </w:p>
    <w:p w14:paraId="35C61A4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BE9DD19" w14:textId="3AD6F37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No population trend is available for Albania, Bosnia and Herzegovina, Croatia, Kosovo, Montenegro, Serbia</w:t>
      </w:r>
      <w:r w:rsidR="00FB0078">
        <w:rPr>
          <w:rFonts w:eastAsia="MS Mincho"/>
          <w:sz w:val="20"/>
          <w:szCs w:val="22"/>
          <w:lang w:val="en-GB" w:eastAsia="ja-JP"/>
        </w:rPr>
        <w:t xml:space="preserve"> or the FYR </w:t>
      </w:r>
      <w:r w:rsidR="00FB0078" w:rsidRPr="00C96521">
        <w:rPr>
          <w:rFonts w:eastAsia="MS Mincho"/>
          <w:sz w:val="20"/>
          <w:szCs w:val="22"/>
          <w:lang w:val="en-GB" w:eastAsia="ja-JP"/>
        </w:rPr>
        <w:t>Macedonia</w:t>
      </w:r>
      <w:r w:rsidRPr="00C96521">
        <w:rPr>
          <w:rFonts w:eastAsia="MS Mincho"/>
          <w:sz w:val="20"/>
          <w:szCs w:val="22"/>
          <w:lang w:val="en-GB" w:eastAsia="ja-JP"/>
        </w:rPr>
        <w:t xml:space="preserve">. However, it is considered Least Concern on the national Red List for Croatia (Tutiš </w:t>
      </w:r>
      <w:r w:rsidRPr="00C96521">
        <w:rPr>
          <w:rFonts w:eastAsia="MS Mincho"/>
          <w:i/>
          <w:sz w:val="20"/>
          <w:szCs w:val="22"/>
          <w:lang w:val="en-GB" w:eastAsia="ja-JP"/>
        </w:rPr>
        <w:t>et al</w:t>
      </w:r>
      <w:r w:rsidRPr="00C96521">
        <w:rPr>
          <w:rFonts w:eastAsia="MS Mincho"/>
          <w:sz w:val="20"/>
          <w:szCs w:val="22"/>
          <w:lang w:val="en-GB" w:eastAsia="ja-JP"/>
        </w:rPr>
        <w:t xml:space="preserve"> 2013). </w:t>
      </w:r>
    </w:p>
    <w:p w14:paraId="25D3C56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847BDAE" w14:textId="631CA7BE"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 xml:space="preserve">Armenia, Azerbaijan, Belarus, Bulgaria, Cyprus, Georgia, </w:t>
      </w:r>
      <w:r w:rsidR="00FB0078">
        <w:rPr>
          <w:rFonts w:eastAsia="MS Mincho"/>
          <w:b/>
          <w:sz w:val="20"/>
          <w:szCs w:val="22"/>
          <w:lang w:val="en-GB" w:eastAsia="ja-JP"/>
        </w:rPr>
        <w:t xml:space="preserve">Republic of </w:t>
      </w:r>
      <w:r w:rsidRPr="00C96521">
        <w:rPr>
          <w:rFonts w:eastAsia="MS Mincho"/>
          <w:b/>
          <w:sz w:val="20"/>
          <w:szCs w:val="22"/>
          <w:lang w:val="en-GB" w:eastAsia="ja-JP"/>
        </w:rPr>
        <w:t>Moldova, Romania, Russia</w:t>
      </w:r>
      <w:r w:rsidR="00FB0078">
        <w:rPr>
          <w:rFonts w:eastAsia="MS Mincho"/>
          <w:b/>
          <w:sz w:val="20"/>
          <w:szCs w:val="22"/>
          <w:lang w:val="en-GB" w:eastAsia="ja-JP"/>
        </w:rPr>
        <w:t>n Federation</w:t>
      </w:r>
      <w:r w:rsidRPr="00C96521">
        <w:rPr>
          <w:rFonts w:eastAsia="MS Mincho"/>
          <w:b/>
          <w:sz w:val="20"/>
          <w:szCs w:val="22"/>
          <w:lang w:val="en-GB" w:eastAsia="ja-JP"/>
        </w:rPr>
        <w:t xml:space="preserve">, Turkey, Ukraine </w:t>
      </w:r>
    </w:p>
    <w:p w14:paraId="034492D5"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78C1A7F4"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The overall picture for this region is unclear. The population in Bulgaria was stable from 2005 to 2015. Good information is lacking for a number of countries (Armenia, Azerbaijan, Belarus, Georgia, Russia and Ukraine) while the trend is uncertain for Cyprus. The Turkish population is apparently in decline while numbers in Moldova and Romania have increased.</w:t>
      </w:r>
    </w:p>
    <w:p w14:paraId="38552CC9"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36A3F03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population trend for the species in Bulgaria over the period 2005-2015 was stable (Hristov 2015), and the species has a broad distribution across the country (Iankov 2007). Historically, the species was described as widely distributed at the end of the 19</w:t>
      </w:r>
      <w:r w:rsidRPr="00C96521">
        <w:rPr>
          <w:rFonts w:eastAsia="MS Mincho"/>
          <w:sz w:val="20"/>
          <w:szCs w:val="22"/>
          <w:vertAlign w:val="superscript"/>
          <w:lang w:val="en-GB" w:eastAsia="ja-JP"/>
        </w:rPr>
        <w:t xml:space="preserve">th </w:t>
      </w:r>
      <w:r w:rsidRPr="00C96521">
        <w:rPr>
          <w:rFonts w:eastAsia="MS Mincho"/>
          <w:sz w:val="20"/>
          <w:szCs w:val="22"/>
          <w:lang w:val="en-GB" w:eastAsia="ja-JP"/>
        </w:rPr>
        <w:t>century, in the first half of the 20</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and at the middle of the 20</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century. During the second half of the 20</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century, the distribution was similar to that of the first half, but it is likely that there were some reductions in occupied territories in higher mountain areas. In terms of the national population trend, there is some evidence (based on the frequency of sightings) that the species may have decreased slightly over the period 1970-1990. However, the lack of data collected through coordinated national census work means that it is not possible to confirm this (Iankov 2007).</w:t>
      </w:r>
    </w:p>
    <w:p w14:paraId="4A43359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F6C9464" w14:textId="619FFBA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Cyprus, the overall trend for the species over the period 2006-2015 was uncertain with the population exhibiting increases, decreases, and periods of stability over the 10</w:t>
      </w:r>
      <w:r w:rsidR="00FB0078">
        <w:rPr>
          <w:rFonts w:eastAsia="MS Mincho"/>
          <w:sz w:val="20"/>
          <w:szCs w:val="22"/>
          <w:lang w:val="en-GB" w:eastAsia="ja-JP"/>
        </w:rPr>
        <w:t>-</w:t>
      </w:r>
      <w:r w:rsidRPr="00C96521">
        <w:rPr>
          <w:rFonts w:eastAsia="MS Mincho"/>
          <w:sz w:val="20"/>
          <w:szCs w:val="22"/>
          <w:lang w:val="en-GB" w:eastAsia="ja-JP"/>
        </w:rPr>
        <w:t>year period (Hellicar 2016). The trend for the species in farmland and forest habitats was equally uncertain.</w:t>
      </w:r>
    </w:p>
    <w:p w14:paraId="5385775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23F916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species is considered common in Moldova and in recent years the population has increased (Munteanu and Zubcov 2010). An ongoing monitoring programme is underway and will be completed in 2018, which will allow the population trend to be updated (Vitalie Grimalschi </w:t>
      </w:r>
      <w:r w:rsidRPr="00C96521">
        <w:rPr>
          <w:rFonts w:eastAsia="MS Mincho"/>
          <w:i/>
          <w:sz w:val="20"/>
          <w:szCs w:val="22"/>
          <w:lang w:val="en-GB" w:eastAsia="ja-JP"/>
        </w:rPr>
        <w:t>pers comm</w:t>
      </w:r>
      <w:r w:rsidRPr="00C96521">
        <w:rPr>
          <w:rFonts w:eastAsia="MS Mincho"/>
          <w:sz w:val="20"/>
          <w:szCs w:val="22"/>
          <w:lang w:val="en-GB" w:eastAsia="ja-JP"/>
        </w:rPr>
        <w:t>).</w:t>
      </w:r>
    </w:p>
    <w:p w14:paraId="1BBB007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00E2827" w14:textId="10306B4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Romania, the </w:t>
      </w:r>
      <w:r w:rsidR="00FB0078">
        <w:rPr>
          <w:rFonts w:eastAsia="MS Mincho"/>
          <w:sz w:val="20"/>
          <w:szCs w:val="22"/>
          <w:lang w:val="en-GB" w:eastAsia="ja-JP"/>
        </w:rPr>
        <w:t>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ove</w:t>
      </w:r>
      <w:r w:rsidR="00FB0078">
        <w:rPr>
          <w:rFonts w:eastAsia="MS Mincho"/>
          <w:sz w:val="20"/>
          <w:szCs w:val="22"/>
          <w:lang w:val="en-GB" w:eastAsia="ja-JP"/>
        </w:rPr>
        <w:t xml:space="preserve"> </w:t>
      </w:r>
      <w:r w:rsidRPr="00C96521">
        <w:rPr>
          <w:rFonts w:eastAsia="MS Mincho"/>
          <w:sz w:val="20"/>
          <w:szCs w:val="22"/>
          <w:lang w:val="en-GB" w:eastAsia="ja-JP"/>
        </w:rPr>
        <w:t xml:space="preserve">is described as present throughout the country, and the 2002 Breeding Bird Atlas states that the species underwent sharp declines in recent decades (Munteanu 2002). Post-1950, the species underwent continuous declines and is now less numerous in large wooded areas than in the </w:t>
      </w:r>
      <w:r w:rsidRPr="00C96521">
        <w:rPr>
          <w:rFonts w:eastAsia="MS Mincho"/>
          <w:sz w:val="20"/>
          <w:szCs w:val="22"/>
          <w:lang w:val="en-GB" w:eastAsia="ja-JP"/>
        </w:rPr>
        <w:lastRenderedPageBreak/>
        <w:t>first half of the 20</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century (Munteanu 2009). Nesting birds in parks and cities were lost in the 1940s-</w:t>
      </w:r>
      <w:r w:rsidR="00FB0078">
        <w:rPr>
          <w:rFonts w:eastAsia="MS Mincho"/>
          <w:sz w:val="20"/>
          <w:szCs w:val="22"/>
          <w:lang w:val="en-GB" w:eastAsia="ja-JP"/>
        </w:rPr>
        <w:t>‘</w:t>
      </w:r>
      <w:r w:rsidRPr="00C96521">
        <w:rPr>
          <w:rFonts w:eastAsia="MS Mincho"/>
          <w:sz w:val="20"/>
          <w:szCs w:val="22"/>
          <w:lang w:val="en-GB" w:eastAsia="ja-JP"/>
        </w:rPr>
        <w:t xml:space="preserve">50s due to the species being outcompeted by the </w:t>
      </w:r>
      <w:r w:rsidR="00FB0078">
        <w:rPr>
          <w:rFonts w:eastAsia="MS Mincho"/>
          <w:sz w:val="20"/>
          <w:szCs w:val="22"/>
          <w:lang w:val="en-GB" w:eastAsia="ja-JP"/>
        </w:rPr>
        <w:t>C</w:t>
      </w:r>
      <w:r w:rsidR="00FB0078" w:rsidRPr="00C96521">
        <w:rPr>
          <w:rFonts w:eastAsia="MS Mincho"/>
          <w:sz w:val="20"/>
          <w:szCs w:val="22"/>
          <w:lang w:val="en-GB" w:eastAsia="ja-JP"/>
        </w:rPr>
        <w:t xml:space="preserve">ollared </w:t>
      </w:r>
      <w:r w:rsidR="00FB0078">
        <w:rPr>
          <w:rFonts w:eastAsia="MS Mincho"/>
          <w:sz w:val="20"/>
          <w:szCs w:val="22"/>
          <w:lang w:val="en-GB" w:eastAsia="ja-JP"/>
        </w:rPr>
        <w:t>D</w:t>
      </w:r>
      <w:r w:rsidR="00FB0078" w:rsidRPr="00C96521">
        <w:rPr>
          <w:rFonts w:eastAsia="MS Mincho"/>
          <w:sz w:val="20"/>
          <w:szCs w:val="22"/>
          <w:lang w:val="en-GB" w:eastAsia="ja-JP"/>
        </w:rPr>
        <w:t xml:space="preserve">ove </w:t>
      </w:r>
      <w:r w:rsidRPr="00C96521">
        <w:rPr>
          <w:rFonts w:eastAsia="MS Mincho"/>
          <w:sz w:val="20"/>
          <w:szCs w:val="22"/>
          <w:lang w:val="en-GB" w:eastAsia="ja-JP"/>
        </w:rPr>
        <w:t>(</w:t>
      </w:r>
      <w:r w:rsidRPr="00C96521">
        <w:rPr>
          <w:rFonts w:eastAsia="MS Mincho"/>
          <w:i/>
          <w:sz w:val="20"/>
          <w:szCs w:val="22"/>
          <w:lang w:val="en-GB" w:eastAsia="ja-JP"/>
        </w:rPr>
        <w:t>Streptopelia decaocto</w:t>
      </w:r>
      <w:r w:rsidRPr="00C96521">
        <w:rPr>
          <w:rFonts w:eastAsia="MS Mincho"/>
          <w:sz w:val="20"/>
          <w:szCs w:val="22"/>
          <w:lang w:val="en-GB" w:eastAsia="ja-JP"/>
        </w:rPr>
        <w:t xml:space="preserve">) at least in Transylvania and Banat (Munteanu 2009). However, the population for </w:t>
      </w:r>
      <w:r w:rsidR="00FB0078">
        <w:rPr>
          <w:rFonts w:eastAsia="MS Mincho"/>
          <w:sz w:val="20"/>
          <w:szCs w:val="22"/>
          <w:lang w:val="en-GB" w:eastAsia="ja-JP"/>
        </w:rPr>
        <w:t>the 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 xml:space="preserve">ove </w:t>
      </w:r>
      <w:r w:rsidRPr="00C96521">
        <w:rPr>
          <w:rFonts w:eastAsia="MS Mincho"/>
          <w:sz w:val="20"/>
          <w:szCs w:val="22"/>
          <w:lang w:val="en-GB" w:eastAsia="ja-JP"/>
        </w:rPr>
        <w:t>is currently increasing (Petrovici 2015).</w:t>
      </w:r>
    </w:p>
    <w:p w14:paraId="6A27463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FBDBB77" w14:textId="748D1F3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Turkey, the population is apparently in decline (Kirwan </w:t>
      </w:r>
      <w:r w:rsidRPr="00C96521">
        <w:rPr>
          <w:rFonts w:eastAsia="MS Mincho"/>
          <w:i/>
          <w:sz w:val="20"/>
          <w:szCs w:val="22"/>
          <w:lang w:val="en-GB" w:eastAsia="ja-JP"/>
        </w:rPr>
        <w:t>et al</w:t>
      </w:r>
      <w:r w:rsidRPr="00C96521">
        <w:rPr>
          <w:rFonts w:eastAsia="MS Mincho"/>
          <w:sz w:val="20"/>
          <w:szCs w:val="22"/>
          <w:lang w:val="en-GB" w:eastAsia="ja-JP"/>
        </w:rPr>
        <w:t xml:space="preserve"> 2008). It is more common in the west of Turkey and locali</w:t>
      </w:r>
      <w:r w:rsidR="00FB0078">
        <w:rPr>
          <w:rFonts w:eastAsia="MS Mincho"/>
          <w:sz w:val="20"/>
          <w:szCs w:val="22"/>
          <w:lang w:val="en-GB" w:eastAsia="ja-JP"/>
        </w:rPr>
        <w:t>z</w:t>
      </w:r>
      <w:r w:rsidRPr="00C96521">
        <w:rPr>
          <w:rFonts w:eastAsia="MS Mincho"/>
          <w:sz w:val="20"/>
          <w:szCs w:val="22"/>
          <w:lang w:val="en-GB" w:eastAsia="ja-JP"/>
        </w:rPr>
        <w:t>ed in East Anatolia. The species is widespread on passage and can be found in large numbers. It is reported to be abundant on passage through the eastern third of the country, particularly the extreme north-east. There is no evidence of large-scale passage movements at the Bosphorus.</w:t>
      </w:r>
    </w:p>
    <w:p w14:paraId="2CCDBE5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C0CD29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the north of the Caucasus, the species is described as common. However, it does not breed in large numbers (Rouxel 2000).</w:t>
      </w:r>
    </w:p>
    <w:p w14:paraId="42F8F9A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48D3D46" w14:textId="06D8825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overall population estimate for </w:t>
      </w:r>
      <w:r w:rsidR="00FB0078">
        <w:rPr>
          <w:rFonts w:eastAsia="MS Mincho"/>
          <w:sz w:val="20"/>
          <w:szCs w:val="22"/>
          <w:lang w:val="en-GB" w:eastAsia="ja-JP"/>
        </w:rPr>
        <w:t>the 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 xml:space="preserve">ove </w:t>
      </w:r>
      <w:r w:rsidRPr="00C96521">
        <w:rPr>
          <w:rFonts w:eastAsia="MS Mincho"/>
          <w:sz w:val="20"/>
          <w:szCs w:val="22"/>
          <w:lang w:val="en-GB" w:eastAsia="ja-JP"/>
        </w:rPr>
        <w:t>in European Russia decreased from 1</w:t>
      </w:r>
      <w:r w:rsidR="00FB0078">
        <w:rPr>
          <w:rFonts w:eastAsia="MS Mincho"/>
          <w:sz w:val="20"/>
          <w:szCs w:val="22"/>
          <w:lang w:val="en-GB" w:eastAsia="ja-JP"/>
        </w:rPr>
        <w:t xml:space="preserve"> million</w:t>
      </w:r>
      <w:r w:rsidRPr="00C96521">
        <w:rPr>
          <w:rFonts w:eastAsia="MS Mincho"/>
          <w:sz w:val="20"/>
          <w:szCs w:val="22"/>
          <w:lang w:val="en-GB" w:eastAsia="ja-JP"/>
        </w:rPr>
        <w:t>-2.5 million pairs in 2000 (Mischenko 2004) to 30</w:t>
      </w:r>
      <w:r w:rsidR="00FB0078">
        <w:rPr>
          <w:rFonts w:eastAsia="MS Mincho"/>
          <w:sz w:val="20"/>
          <w:szCs w:val="22"/>
          <w:lang w:val="en-GB" w:eastAsia="ja-JP"/>
        </w:rPr>
        <w:t>,000</w:t>
      </w:r>
      <w:r w:rsidRPr="00C96521">
        <w:rPr>
          <w:rFonts w:eastAsia="MS Mincho"/>
          <w:sz w:val="20"/>
          <w:szCs w:val="22"/>
          <w:lang w:val="en-GB" w:eastAsia="ja-JP"/>
        </w:rPr>
        <w:t xml:space="preserve">-80,000 pairs in 2012 (Mischenko </w:t>
      </w:r>
      <w:r w:rsidRPr="00C96521">
        <w:rPr>
          <w:rFonts w:eastAsia="MS Mincho"/>
          <w:i/>
          <w:sz w:val="20"/>
          <w:szCs w:val="22"/>
          <w:lang w:val="en-GB" w:eastAsia="ja-JP"/>
        </w:rPr>
        <w:t>in press</w:t>
      </w:r>
      <w:r w:rsidRPr="00C96521">
        <w:rPr>
          <w:rFonts w:eastAsia="MS Mincho"/>
          <w:sz w:val="20"/>
          <w:szCs w:val="22"/>
          <w:lang w:val="en-GB" w:eastAsia="ja-JP"/>
        </w:rPr>
        <w:t xml:space="preserve">). Fluctuations were recorded in the Kaliningrad population and a decline was detected in the 1930s. However, by the late 1990s it was thought to have stabilised (Rouxel 2000). Karelia represents the northern limit of the species’ distribution in north-west Russia (Rouxel 2000). Production of a European Russian Breeding Atlas is currently underway (Luomus 2016) using data collected from 2005 to 2017 (Zoological Museum of Moscow University 2016), and so more information on the species in </w:t>
      </w:r>
      <w:r w:rsidR="00FB0078">
        <w:rPr>
          <w:rFonts w:eastAsia="MS Mincho"/>
          <w:sz w:val="20"/>
          <w:szCs w:val="22"/>
          <w:lang w:val="en-GB" w:eastAsia="ja-JP"/>
        </w:rPr>
        <w:t xml:space="preserve">the </w:t>
      </w:r>
      <w:r w:rsidRPr="00C96521">
        <w:rPr>
          <w:rFonts w:eastAsia="MS Mincho"/>
          <w:sz w:val="20"/>
          <w:szCs w:val="22"/>
          <w:lang w:val="en-GB" w:eastAsia="ja-JP"/>
        </w:rPr>
        <w:t>Russia</w:t>
      </w:r>
      <w:r w:rsidR="00FB0078">
        <w:rPr>
          <w:rFonts w:eastAsia="MS Mincho"/>
          <w:sz w:val="20"/>
          <w:szCs w:val="22"/>
          <w:lang w:val="en-GB" w:eastAsia="ja-JP"/>
        </w:rPr>
        <w:t>n Federation</w:t>
      </w:r>
      <w:r w:rsidRPr="00C96521">
        <w:rPr>
          <w:rFonts w:eastAsia="MS Mincho"/>
          <w:sz w:val="20"/>
          <w:szCs w:val="22"/>
          <w:lang w:val="en-GB" w:eastAsia="ja-JP"/>
        </w:rPr>
        <w:t xml:space="preserve"> will become available.</w:t>
      </w:r>
    </w:p>
    <w:p w14:paraId="1974919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801AADE" w14:textId="5610FFE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the west of Ukraine, declines of around 20-50</w:t>
      </w:r>
      <w:r w:rsidR="00FB0078">
        <w:rPr>
          <w:rFonts w:eastAsia="MS Mincho"/>
          <w:sz w:val="20"/>
          <w:szCs w:val="22"/>
          <w:lang w:val="en-GB" w:eastAsia="ja-JP"/>
        </w:rPr>
        <w:t xml:space="preserve"> per cent</w:t>
      </w:r>
      <w:r w:rsidR="00FB0078" w:rsidRPr="00C96521">
        <w:rPr>
          <w:rFonts w:eastAsia="MS Mincho"/>
          <w:sz w:val="20"/>
          <w:szCs w:val="22"/>
          <w:lang w:val="en-GB" w:eastAsia="ja-JP"/>
        </w:rPr>
        <w:t xml:space="preserve"> </w:t>
      </w:r>
      <w:r w:rsidRPr="00C96521">
        <w:rPr>
          <w:rFonts w:eastAsia="MS Mincho"/>
          <w:sz w:val="20"/>
          <w:szCs w:val="22"/>
          <w:lang w:val="en-GB" w:eastAsia="ja-JP"/>
        </w:rPr>
        <w:t>were recorded in the late 1990s (Rouxel 2000). However, no more recent population information is available.</w:t>
      </w:r>
    </w:p>
    <w:p w14:paraId="6304C0C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86503C9" w14:textId="1171BB4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No population trend information is available for Armenia, Azerbaijan, Belarus or Georgia. However, the species is described as uncommon in Armenia (Adamian and Klem 1997). It is not present in all habitats in Crimea and is rare in the west of Ukraine, but is noted as a common breeder in the north of the Azov Sea (Rouxel 2000). It is a common in Belarus (Rouxel 2000). Azerbaijan holds about 7</w:t>
      </w:r>
      <w:r w:rsidR="00FB0078">
        <w:rPr>
          <w:rFonts w:eastAsia="MS Mincho"/>
          <w:sz w:val="20"/>
          <w:szCs w:val="22"/>
          <w:lang w:val="en-GB" w:eastAsia="ja-JP"/>
        </w:rPr>
        <w:t xml:space="preserve"> per cent</w:t>
      </w:r>
      <w:r w:rsidR="00FB0078" w:rsidRPr="00C96521">
        <w:rPr>
          <w:rFonts w:eastAsia="MS Mincho"/>
          <w:sz w:val="20"/>
          <w:szCs w:val="22"/>
          <w:lang w:val="en-GB" w:eastAsia="ja-JP"/>
        </w:rPr>
        <w:t xml:space="preserve"> </w:t>
      </w:r>
      <w:r w:rsidRPr="00C96521">
        <w:rPr>
          <w:rFonts w:eastAsia="MS Mincho"/>
          <w:sz w:val="20"/>
          <w:szCs w:val="22"/>
          <w:lang w:val="en-GB" w:eastAsia="ja-JP"/>
        </w:rPr>
        <w:t>of the European breeding population (BirdLife International 2015) and it is a very common nesting species and migrant (Patrikeev 2004), although quantitative trend information is unavailable. Work is underway to collect data on bird distribution and abundance for the second European Breeding Bird Atlas (Gorban 2016) and more information on the species in Ukraine will be available.</w:t>
      </w:r>
    </w:p>
    <w:p w14:paraId="664F204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495C04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FFE02A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br w:type="page"/>
      </w:r>
    </w:p>
    <w:p w14:paraId="4EB9074D"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23" w:name="_Toc478646908"/>
      <w:r w:rsidRPr="00C96521">
        <w:rPr>
          <w:rFonts w:eastAsia="MS Gothic"/>
          <w:b/>
          <w:bCs/>
          <w:color w:val="365F91"/>
          <w:sz w:val="32"/>
          <w:szCs w:val="28"/>
          <w:lang w:val="en-GB" w:eastAsia="ja-JP"/>
        </w:rPr>
        <w:lastRenderedPageBreak/>
        <w:t>Annex 2: PROBLEM ANALYSIS</w:t>
      </w:r>
      <w:bookmarkEnd w:id="23"/>
    </w:p>
    <w:p w14:paraId="2B5A033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739500F"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4" w:name="_Toc478646909"/>
      <w:r w:rsidRPr="00C96521">
        <w:rPr>
          <w:rFonts w:ascii="Cambria" w:eastAsia="MS Gothic" w:hAnsi="Cambria"/>
          <w:b/>
          <w:bCs/>
          <w:color w:val="4F81BD"/>
          <w:sz w:val="26"/>
          <w:szCs w:val="26"/>
          <w:lang w:val="en-GB" w:eastAsia="ja-JP"/>
        </w:rPr>
        <w:t>General overview</w:t>
      </w:r>
      <w:bookmarkEnd w:id="24"/>
    </w:p>
    <w:p w14:paraId="2CC1207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069CD2" w14:textId="0FA8D96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Relative importance of threats is hard to determine as empirical data on the likely drivers of decline is limited for a large number of Range States. However, questionnaires for the development of the Species Status Report (Fisher </w:t>
      </w:r>
      <w:r w:rsidRPr="00C96521">
        <w:rPr>
          <w:rFonts w:eastAsia="MS Mincho"/>
          <w:i/>
          <w:sz w:val="20"/>
          <w:szCs w:val="22"/>
          <w:lang w:val="en-GB" w:eastAsia="ja-JP"/>
        </w:rPr>
        <w:t>et al</w:t>
      </w:r>
      <w:r w:rsidRPr="00C96521">
        <w:rPr>
          <w:rFonts w:eastAsia="MS Mincho"/>
          <w:sz w:val="20"/>
          <w:szCs w:val="22"/>
          <w:lang w:val="en-GB" w:eastAsia="ja-JP"/>
        </w:rPr>
        <w:t xml:space="preserve"> 2016a), expert opinion at the two workshops, and comments on draft documents have indicated that the main threat for the turtle-dove is loss of one or more of food, water and habitat (nesting or roosting during winter), brought about through habitat loss or modification. This is assessed as a Critical threat (</w:t>
      </w:r>
      <w:r w:rsidRPr="00C96521">
        <w:rPr>
          <w:rFonts w:eastAsia="MS Mincho" w:cs="Arial"/>
          <w:sz w:val="20"/>
          <w:szCs w:val="22"/>
          <w:lang w:val="en-GB" w:eastAsia="ja-JP"/>
        </w:rPr>
        <w:t>causing or likely to cause very rapid declines, &gt;30</w:t>
      </w:r>
      <w:r w:rsidR="00FB0078">
        <w:rPr>
          <w:rFonts w:eastAsia="MS Mincho" w:cs="Arial"/>
          <w:sz w:val="20"/>
          <w:szCs w:val="22"/>
          <w:lang w:val="en-GB" w:eastAsia="ja-JP"/>
        </w:rPr>
        <w:t xml:space="preserve"> per cent</w:t>
      </w:r>
      <w:r w:rsidR="00FB0078" w:rsidRPr="00C96521">
        <w:rPr>
          <w:rFonts w:eastAsia="MS Mincho" w:cs="Arial"/>
          <w:sz w:val="20"/>
          <w:szCs w:val="22"/>
          <w:lang w:val="en-GB" w:eastAsia="ja-JP"/>
        </w:rPr>
        <w:t xml:space="preserve"> </w:t>
      </w:r>
      <w:r w:rsidRPr="00C96521">
        <w:rPr>
          <w:rFonts w:eastAsia="MS Mincho" w:cs="Arial"/>
          <w:sz w:val="20"/>
          <w:szCs w:val="22"/>
          <w:lang w:val="en-GB" w:eastAsia="ja-JP"/>
        </w:rPr>
        <w:t>over 10 years</w:t>
      </w:r>
      <w:r w:rsidRPr="00C96521">
        <w:rPr>
          <w:rFonts w:eastAsia="MS Mincho"/>
          <w:sz w:val="20"/>
          <w:szCs w:val="22"/>
          <w:lang w:val="en-GB" w:eastAsia="ja-JP"/>
        </w:rPr>
        <w:t>) on the breeding grounds, and High (</w:t>
      </w:r>
      <w:r w:rsidRPr="00C96521">
        <w:rPr>
          <w:rFonts w:eastAsia="MS Mincho" w:cs="Arial"/>
          <w:sz w:val="20"/>
          <w:szCs w:val="22"/>
          <w:lang w:val="en-GB" w:eastAsia="ja-JP"/>
        </w:rPr>
        <w:t>causing or likely to cause rapid declines, 20-30</w:t>
      </w:r>
      <w:r w:rsidR="00FB0078">
        <w:rPr>
          <w:rFonts w:eastAsia="MS Mincho" w:cs="Arial"/>
          <w:sz w:val="20"/>
          <w:szCs w:val="22"/>
          <w:lang w:val="en-GB" w:eastAsia="ja-JP"/>
        </w:rPr>
        <w:t xml:space="preserve"> per cent</w:t>
      </w:r>
      <w:r w:rsidRPr="00C96521">
        <w:rPr>
          <w:rFonts w:eastAsia="MS Mincho" w:cs="Arial"/>
          <w:sz w:val="20"/>
          <w:szCs w:val="22"/>
          <w:lang w:val="en-GB" w:eastAsia="ja-JP"/>
        </w:rPr>
        <w:t xml:space="preserve"> over 10 years) </w:t>
      </w:r>
      <w:r w:rsidRPr="00C96521">
        <w:rPr>
          <w:rFonts w:eastAsia="MS Mincho"/>
          <w:sz w:val="20"/>
          <w:szCs w:val="22"/>
          <w:lang w:val="en-GB" w:eastAsia="ja-JP"/>
        </w:rPr>
        <w:t>for passage/wintering.</w:t>
      </w:r>
    </w:p>
    <w:p w14:paraId="00BACAE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905E21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Illegal killing is also assessed as Critical, with large numbers of birds being killed or taken each year, and little information available for many Range States.</w:t>
      </w:r>
    </w:p>
    <w:p w14:paraId="11C08493"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1AABB0E"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Unsustainable hunting pressure on turtle-doves, especially with falling populations across much of its range, is ranked as High. Additional threats have been identified, such as disease, pesticide use, and competition, but either knowledge is limited, or the degree of impact is small compared to habitat change, illegal killing, and hunting.</w:t>
      </w:r>
    </w:p>
    <w:p w14:paraId="2DD6DA6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6852FC5"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5" w:name="_Toc478646910"/>
      <w:r w:rsidRPr="00C96521">
        <w:rPr>
          <w:rFonts w:ascii="Cambria" w:eastAsia="MS Gothic" w:hAnsi="Cambria"/>
          <w:b/>
          <w:bCs/>
          <w:color w:val="4F81BD"/>
          <w:sz w:val="26"/>
          <w:szCs w:val="26"/>
          <w:lang w:val="en-GB" w:eastAsia="ja-JP"/>
        </w:rPr>
        <w:t>Habitat loss/modification</w:t>
      </w:r>
      <w:bookmarkEnd w:id="25"/>
    </w:p>
    <w:p w14:paraId="5E8656F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2C250D9" w14:textId="183AE648"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Europe, changes in habitat have been linked to the falling breeding numbers in most countries. Turtle-doves nest in bushes/trees in mosaic habitats, where undergrowth is not too thick and food is plentiful. Since the 1960s, </w:t>
      </w:r>
      <w:r w:rsidR="00FB0078" w:rsidRPr="00C96521">
        <w:rPr>
          <w:rFonts w:eastAsia="MS Mincho" w:cs="Arial"/>
          <w:sz w:val="20"/>
          <w:szCs w:val="22"/>
          <w:lang w:val="en-GB" w:eastAsia="ja-JP"/>
        </w:rPr>
        <w:t>mechani</w:t>
      </w:r>
      <w:r w:rsidR="00FB0078">
        <w:rPr>
          <w:rFonts w:eastAsia="MS Mincho" w:cs="Arial"/>
          <w:sz w:val="20"/>
          <w:szCs w:val="22"/>
          <w:lang w:val="en-GB" w:eastAsia="ja-JP"/>
        </w:rPr>
        <w:t>z</w:t>
      </w:r>
      <w:r w:rsidR="00FB0078" w:rsidRPr="00C96521">
        <w:rPr>
          <w:rFonts w:eastAsia="MS Mincho" w:cs="Arial"/>
          <w:sz w:val="20"/>
          <w:szCs w:val="22"/>
          <w:lang w:val="en-GB" w:eastAsia="ja-JP"/>
        </w:rPr>
        <w:t>ation</w:t>
      </w:r>
      <w:r w:rsidRPr="00C96521">
        <w:rPr>
          <w:rFonts w:eastAsia="MS Mincho" w:cs="Arial"/>
          <w:sz w:val="20"/>
          <w:szCs w:val="22"/>
          <w:lang w:val="en-GB" w:eastAsia="ja-JP"/>
        </w:rPr>
        <w:t>, land reform, and intensification have led to a reduction in hedgerows and margins across Europe (e</w:t>
      </w:r>
      <w:r w:rsidR="00FB0078">
        <w:rPr>
          <w:rFonts w:eastAsia="MS Mincho" w:cs="Arial"/>
          <w:sz w:val="20"/>
          <w:szCs w:val="22"/>
          <w:lang w:val="en-GB" w:eastAsia="ja-JP"/>
        </w:rPr>
        <w:t>.</w:t>
      </w:r>
      <w:r w:rsidRPr="00C96521">
        <w:rPr>
          <w:rFonts w:eastAsia="MS Mincho" w:cs="Arial"/>
          <w:sz w:val="20"/>
          <w:szCs w:val="22"/>
          <w:lang w:val="en-GB" w:eastAsia="ja-JP"/>
        </w:rPr>
        <w:t>g</w:t>
      </w:r>
      <w:r w:rsidR="00FB0078">
        <w:rPr>
          <w:rFonts w:eastAsia="MS Mincho" w:cs="Arial"/>
          <w:sz w:val="20"/>
          <w:szCs w:val="22"/>
          <w:lang w:val="en-GB" w:eastAsia="ja-JP"/>
        </w:rPr>
        <w:t>.</w:t>
      </w:r>
      <w:r w:rsidRPr="00C96521">
        <w:rPr>
          <w:rFonts w:eastAsia="MS Mincho" w:cs="Arial"/>
          <w:sz w:val="20"/>
          <w:szCs w:val="22"/>
          <w:lang w:val="en-GB" w:eastAsia="ja-JP"/>
        </w:rPr>
        <w:t xml:space="preserve"> Barr and Gillespie 2000), although the transformation in central and eastern States has been less, perhaps accounting for stable populations or slower declines. </w:t>
      </w:r>
    </w:p>
    <w:p w14:paraId="53A48F9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B247561" w14:textId="269EC92B"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Rocha and Hidalgo (2002a) showed that the decline of </w:t>
      </w:r>
      <w:r w:rsidR="00FB0078">
        <w:rPr>
          <w:rFonts w:eastAsia="MS Mincho"/>
          <w:sz w:val="20"/>
          <w:szCs w:val="22"/>
          <w:lang w:val="en-GB" w:eastAsia="ja-JP"/>
        </w:rPr>
        <w:t>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 xml:space="preserve">ove </w:t>
      </w:r>
      <w:r w:rsidRPr="00C96521">
        <w:rPr>
          <w:rFonts w:eastAsia="MS Mincho" w:cs="Arial"/>
          <w:sz w:val="20"/>
          <w:szCs w:val="22"/>
          <w:lang w:val="en-GB" w:eastAsia="ja-JP"/>
        </w:rPr>
        <w:t xml:space="preserve">populations in Extremadura, Spain could be directly linked to the decrease in the agricultural area of cereals over the last decades (many of the Iberian cereals lost would have been low input), and that the density of nests is 3.5 times less in areas where herbicides are used than in areas without herbicides. In Spain, </w:t>
      </w:r>
      <w:r w:rsidRPr="00C96521">
        <w:rPr>
          <w:rFonts w:eastAsia="MS Mincho"/>
          <w:sz w:val="20"/>
          <w:szCs w:val="22"/>
          <w:lang w:val="en-GB" w:eastAsia="ja-JP"/>
        </w:rPr>
        <w:t xml:space="preserve">habitat degradation owing to loss of hedgerows, riparian forests and the landscape mosaic, increasing use of herbicides leading to loss of weeds, intensification of olive groves, reduction in the area of sunflower crops (leading to loss of food), loss of poplars to cropland, and increasing area of conifer plantations were all listed as threats in the 2004 Red List of Birds of Spain (Madroño </w:t>
      </w:r>
      <w:r w:rsidRPr="00C96521">
        <w:rPr>
          <w:rFonts w:eastAsia="MS Mincho"/>
          <w:i/>
          <w:sz w:val="20"/>
          <w:szCs w:val="22"/>
          <w:lang w:val="en-GB" w:eastAsia="ja-JP"/>
        </w:rPr>
        <w:t>et al</w:t>
      </w:r>
      <w:r w:rsidRPr="00C96521">
        <w:rPr>
          <w:rFonts w:eastAsia="MS Mincho"/>
          <w:sz w:val="20"/>
          <w:szCs w:val="22"/>
          <w:lang w:val="en-GB" w:eastAsia="ja-JP"/>
        </w:rPr>
        <w:t xml:space="preserve"> 2004).</w:t>
      </w:r>
      <w:r w:rsidRPr="00C96521">
        <w:rPr>
          <w:rFonts w:eastAsia="MS Mincho" w:cs="Arial"/>
          <w:sz w:val="20"/>
          <w:szCs w:val="22"/>
          <w:lang w:val="en-GB" w:eastAsia="ja-JP"/>
        </w:rPr>
        <w:t xml:space="preserve"> In addition, in Portugal, habitat loss and degradation due to replacement of traditional orchards by intensive irrigated orchards, large wildfires, reduction in the number of conifer patches, and forest management neglect, particularly in the interior of the country, can also be considered relevant threats (Dias 2016). </w:t>
      </w:r>
    </w:p>
    <w:p w14:paraId="70B803E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5E7B4DF9" w14:textId="78911DF5"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Cyprus, abandonment of small-scale agriculture in mountainous and rural areas </w:t>
      </w:r>
      <w:r w:rsidRPr="00C96521">
        <w:rPr>
          <w:rFonts w:eastAsia="MS Mincho"/>
          <w:sz w:val="20"/>
          <w:szCs w:val="22"/>
          <w:lang w:val="en-GB" w:eastAsia="ja-JP"/>
        </w:rPr>
        <w:t xml:space="preserve">and changes in cultivated crops are believed to threaten the turtle-dove population (Nicos Kassinis </w:t>
      </w:r>
      <w:r w:rsidRPr="00C96521">
        <w:rPr>
          <w:rFonts w:eastAsia="MS Mincho"/>
          <w:i/>
          <w:sz w:val="20"/>
          <w:szCs w:val="22"/>
          <w:lang w:val="en-GB" w:eastAsia="ja-JP"/>
        </w:rPr>
        <w:t>unpublished</w:t>
      </w:r>
      <w:r w:rsidRPr="00C96521">
        <w:rPr>
          <w:rFonts w:eastAsia="MS Mincho"/>
          <w:sz w:val="20"/>
          <w:szCs w:val="22"/>
          <w:lang w:val="en-GB" w:eastAsia="ja-JP"/>
        </w:rPr>
        <w:t>). Of key concern is suitable crop availability, particularly the traditional crop varieties that are important food sources for turtle-doves, such as legumes (</w:t>
      </w:r>
      <w:r w:rsidRPr="00C96521">
        <w:rPr>
          <w:rFonts w:eastAsia="MS Mincho"/>
          <w:i/>
          <w:sz w:val="20"/>
          <w:szCs w:val="22"/>
          <w:lang w:val="en-GB" w:eastAsia="ja-JP"/>
        </w:rPr>
        <w:t>Fabaceae</w:t>
      </w:r>
      <w:r w:rsidRPr="00C96521">
        <w:rPr>
          <w:rFonts w:eastAsia="MS Mincho"/>
          <w:sz w:val="20"/>
          <w:szCs w:val="22"/>
          <w:lang w:val="en-GB" w:eastAsia="ja-JP"/>
        </w:rPr>
        <w:t>), vetches (</w:t>
      </w:r>
      <w:r w:rsidRPr="00C96521">
        <w:rPr>
          <w:rFonts w:eastAsia="MS Mincho"/>
          <w:i/>
          <w:sz w:val="20"/>
          <w:szCs w:val="22"/>
          <w:lang w:val="en-GB" w:eastAsia="ja-JP"/>
        </w:rPr>
        <w:t>Vicia</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and sesame (</w:t>
      </w:r>
      <w:r w:rsidRPr="00C96521">
        <w:rPr>
          <w:rFonts w:eastAsia="MS Mincho"/>
          <w:i/>
          <w:sz w:val="20"/>
          <w:szCs w:val="22"/>
          <w:lang w:val="en-GB" w:eastAsia="ja-JP"/>
        </w:rPr>
        <w:t>Sesamum indicum</w:t>
      </w:r>
      <w:r w:rsidRPr="00C96521">
        <w:rPr>
          <w:rFonts w:eastAsia="MS Mincho"/>
          <w:sz w:val="20"/>
          <w:szCs w:val="22"/>
          <w:lang w:val="en-GB" w:eastAsia="ja-JP"/>
        </w:rPr>
        <w:t xml:space="preserve">) (Panicos Panayides </w:t>
      </w:r>
      <w:r w:rsidRPr="00C96521">
        <w:rPr>
          <w:rFonts w:eastAsia="MS Mincho"/>
          <w:i/>
          <w:sz w:val="20"/>
          <w:szCs w:val="22"/>
          <w:lang w:val="en-GB" w:eastAsia="ja-JP"/>
        </w:rPr>
        <w:t>pers comm</w:t>
      </w:r>
      <w:r w:rsidRPr="00C96521">
        <w:rPr>
          <w:rFonts w:eastAsia="MS Mincho"/>
          <w:sz w:val="20"/>
          <w:szCs w:val="22"/>
          <w:lang w:val="en-GB" w:eastAsia="ja-JP"/>
        </w:rPr>
        <w:t xml:space="preserve">). Many of these crop varieties have largely decreased over the years throughout Europe. </w:t>
      </w:r>
      <w:r w:rsidRPr="00C96521">
        <w:rPr>
          <w:rFonts w:eastAsia="MS Mincho" w:cs="Arial"/>
          <w:sz w:val="20"/>
          <w:szCs w:val="22"/>
          <w:lang w:val="en-GB" w:eastAsia="ja-JP"/>
        </w:rPr>
        <w:t>In Cyprus, cultivated legumes decreased by 50.3</w:t>
      </w:r>
      <w:r w:rsidR="00FB0078">
        <w:rPr>
          <w:rFonts w:eastAsia="MS Mincho" w:cs="Arial"/>
          <w:sz w:val="20"/>
          <w:szCs w:val="22"/>
          <w:lang w:val="en-GB" w:eastAsia="ja-JP"/>
        </w:rPr>
        <w:t xml:space="preserve"> per cent</w:t>
      </w:r>
      <w:r w:rsidR="00FB0078" w:rsidRPr="00C96521">
        <w:rPr>
          <w:rFonts w:eastAsia="MS Mincho" w:cs="Arial"/>
          <w:sz w:val="20"/>
          <w:szCs w:val="22"/>
          <w:lang w:val="en-GB" w:eastAsia="ja-JP"/>
        </w:rPr>
        <w:t xml:space="preserve"> </w:t>
      </w:r>
      <w:r w:rsidRPr="00C96521">
        <w:rPr>
          <w:rFonts w:eastAsia="MS Mincho" w:cs="Arial"/>
          <w:sz w:val="20"/>
          <w:szCs w:val="22"/>
          <w:lang w:val="en-GB" w:eastAsia="ja-JP"/>
        </w:rPr>
        <w:t>between 1960 and 1994, and more specialised nutritious crops like vetches, chickling vetches (</w:t>
      </w:r>
      <w:r w:rsidRPr="00C96521">
        <w:rPr>
          <w:rFonts w:eastAsia="MS Mincho" w:cs="Arial"/>
          <w:i/>
          <w:sz w:val="20"/>
          <w:szCs w:val="22"/>
          <w:lang w:val="en-GB" w:eastAsia="ja-JP"/>
        </w:rPr>
        <w:t>Lathyrus sp</w:t>
      </w:r>
      <w:r w:rsidRPr="00C96521">
        <w:rPr>
          <w:rFonts w:eastAsia="MS Mincho" w:cs="Arial"/>
          <w:sz w:val="20"/>
          <w:szCs w:val="22"/>
          <w:lang w:val="en-GB" w:eastAsia="ja-JP"/>
        </w:rPr>
        <w:t>), and sesame decreased by 84-94</w:t>
      </w:r>
      <w:r w:rsidR="00FB0078">
        <w:rPr>
          <w:rFonts w:eastAsia="MS Mincho" w:cs="Arial"/>
          <w:sz w:val="20"/>
          <w:szCs w:val="22"/>
          <w:lang w:val="en-GB" w:eastAsia="ja-JP"/>
        </w:rPr>
        <w:t xml:space="preserve"> per cent</w:t>
      </w:r>
      <w:r w:rsidRPr="00C96521">
        <w:rPr>
          <w:rFonts w:eastAsia="MS Mincho" w:cs="Arial"/>
          <w:sz w:val="20"/>
          <w:szCs w:val="22"/>
          <w:lang w:val="en-GB" w:eastAsia="ja-JP"/>
        </w:rPr>
        <w:t xml:space="preserve"> over the same period (Panayides 2005). </w:t>
      </w:r>
      <w:r w:rsidRPr="00C96521">
        <w:rPr>
          <w:rFonts w:eastAsia="MS Mincho"/>
          <w:sz w:val="20"/>
          <w:szCs w:val="22"/>
          <w:lang w:val="en-GB" w:eastAsia="ja-JP"/>
        </w:rPr>
        <w:t>Habitat loss owing to urban expansion is also a problem. T</w:t>
      </w:r>
      <w:r w:rsidRPr="00C96521">
        <w:rPr>
          <w:rFonts w:eastAsia="MS Mincho" w:cs="Arial"/>
          <w:sz w:val="20"/>
          <w:szCs w:val="22"/>
          <w:lang w:val="en-GB" w:eastAsia="ja-JP"/>
        </w:rPr>
        <w:t>he land taken up by urban centres increased fourfold between 1963 and 1993, while suburbani</w:t>
      </w:r>
      <w:r w:rsidR="00FB0078">
        <w:rPr>
          <w:rFonts w:eastAsia="MS Mincho" w:cs="Arial"/>
          <w:sz w:val="20"/>
          <w:szCs w:val="22"/>
          <w:lang w:val="en-GB" w:eastAsia="ja-JP"/>
        </w:rPr>
        <w:t>z</w:t>
      </w:r>
      <w:r w:rsidRPr="00C96521">
        <w:rPr>
          <w:rFonts w:eastAsia="MS Mincho" w:cs="Arial"/>
          <w:sz w:val="20"/>
          <w:szCs w:val="22"/>
          <w:lang w:val="en-GB" w:eastAsia="ja-JP"/>
        </w:rPr>
        <w:t xml:space="preserve">ation with scattered housing affects even more land (Panayides 2005). Habitat </w:t>
      </w:r>
      <w:r w:rsidRPr="00C96521">
        <w:rPr>
          <w:rFonts w:eastAsia="MS Mincho" w:cs="Arial"/>
          <w:sz w:val="20"/>
          <w:szCs w:val="22"/>
          <w:lang w:val="en-GB" w:eastAsia="ja-JP"/>
        </w:rPr>
        <w:lastRenderedPageBreak/>
        <w:t>fragmentation by road construction increased from an average of 0.64km length of road / km</w:t>
      </w:r>
      <w:r w:rsidRPr="00C96521">
        <w:rPr>
          <w:rFonts w:eastAsia="MS Mincho" w:cs="Arial"/>
          <w:sz w:val="20"/>
          <w:szCs w:val="22"/>
          <w:vertAlign w:val="superscript"/>
          <w:lang w:val="en-GB" w:eastAsia="ja-JP"/>
        </w:rPr>
        <w:t>2</w:t>
      </w:r>
      <w:r w:rsidRPr="00C96521">
        <w:rPr>
          <w:rFonts w:eastAsia="MS Mincho" w:cs="Arial"/>
          <w:sz w:val="20"/>
          <w:szCs w:val="22"/>
          <w:lang w:val="en-GB" w:eastAsia="ja-JP"/>
        </w:rPr>
        <w:t xml:space="preserve"> in 1960 to 1.9km of road length / km</w:t>
      </w:r>
      <w:r w:rsidRPr="00C96521">
        <w:rPr>
          <w:rFonts w:eastAsia="MS Mincho" w:cs="Arial"/>
          <w:sz w:val="20"/>
          <w:szCs w:val="22"/>
          <w:vertAlign w:val="superscript"/>
          <w:lang w:val="en-GB" w:eastAsia="ja-JP"/>
        </w:rPr>
        <w:t>2</w:t>
      </w:r>
      <w:r w:rsidRPr="00C96521">
        <w:rPr>
          <w:rFonts w:eastAsia="MS Mincho" w:cs="Arial"/>
          <w:sz w:val="20"/>
          <w:szCs w:val="22"/>
          <w:lang w:val="en-GB" w:eastAsia="ja-JP"/>
        </w:rPr>
        <w:t xml:space="preserve"> in 1999 (Panayides 2005). </w:t>
      </w:r>
    </w:p>
    <w:p w14:paraId="3B6B302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A24560A" w14:textId="69BC3FCF"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the wider Mediterranean region, lack of management in conifer plantations results in the rapid development of dense under-storey vegetation, rendering these habitats unsuitable for </w:t>
      </w:r>
      <w:r w:rsidR="00FB0078">
        <w:rPr>
          <w:rFonts w:eastAsia="MS Mincho"/>
          <w:sz w:val="20"/>
          <w:szCs w:val="22"/>
          <w:lang w:val="en-GB" w:eastAsia="ja-JP"/>
        </w:rPr>
        <w:t>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ove</w:t>
      </w:r>
      <w:r w:rsidR="00FB0078">
        <w:rPr>
          <w:rFonts w:eastAsia="MS Mincho"/>
          <w:sz w:val="20"/>
          <w:szCs w:val="22"/>
          <w:lang w:val="en-GB" w:eastAsia="ja-JP"/>
        </w:rPr>
        <w:t>s</w:t>
      </w:r>
      <w:r w:rsidR="00FB0078" w:rsidRPr="00C96521">
        <w:rPr>
          <w:rFonts w:eastAsia="MS Mincho"/>
          <w:sz w:val="20"/>
          <w:szCs w:val="22"/>
          <w:lang w:val="en-GB" w:eastAsia="ja-JP"/>
        </w:rPr>
        <w:t xml:space="preserve"> </w:t>
      </w:r>
      <w:r w:rsidRPr="00C96521">
        <w:rPr>
          <w:rFonts w:eastAsia="MS Mincho"/>
          <w:sz w:val="20"/>
          <w:szCs w:val="22"/>
          <w:lang w:val="en-GB" w:eastAsia="ja-JP"/>
        </w:rPr>
        <w:t xml:space="preserve">(Dias </w:t>
      </w:r>
      <w:r w:rsidRPr="00C96521">
        <w:rPr>
          <w:rFonts w:eastAsia="MS Mincho"/>
          <w:i/>
          <w:sz w:val="20"/>
          <w:szCs w:val="22"/>
          <w:lang w:val="en-GB" w:eastAsia="ja-JP"/>
        </w:rPr>
        <w:t>et al</w:t>
      </w:r>
      <w:r w:rsidRPr="00C96521">
        <w:rPr>
          <w:rFonts w:eastAsia="MS Mincho"/>
          <w:sz w:val="20"/>
          <w:szCs w:val="22"/>
          <w:lang w:val="en-GB" w:eastAsia="ja-JP"/>
        </w:rPr>
        <w:t xml:space="preserve"> 2013). In Bulgaria, the intensification of agriculture, particularly the large-scale removal of mature scrub and field margins driven by Rural Development Programme subsidies, may have had a strong negative impact on turtle-dove. Conversion of large areas of abandoned, low productivity farmland to more intensive production also poses a threat. However, the species remains quite abundant in these areas and specific surveys would be needed to estimate the real impact on the population. The Bulgarian Common Bird Monitoring scheme would not be able to detect the impacts until it is possibly too late to counteract declines.</w:t>
      </w:r>
    </w:p>
    <w:p w14:paraId="7F0584B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1C22EF7" w14:textId="77777777" w:rsidR="00C96521" w:rsidRPr="00C96521" w:rsidRDefault="00C96521" w:rsidP="00C96521">
      <w:pPr>
        <w:widowControl/>
        <w:autoSpaceDE/>
        <w:autoSpaceDN/>
        <w:adjustRightInd/>
        <w:spacing w:line="276" w:lineRule="auto"/>
        <w:rPr>
          <w:rFonts w:eastAsia="MS Mincho"/>
          <w:b/>
          <w:bCs/>
          <w:sz w:val="20"/>
          <w:szCs w:val="22"/>
          <w:lang w:val="en-GB" w:eastAsia="ja-JP"/>
        </w:rPr>
      </w:pPr>
      <w:r w:rsidRPr="00C96521">
        <w:rPr>
          <w:rFonts w:eastAsia="MS Mincho"/>
          <w:sz w:val="20"/>
          <w:szCs w:val="22"/>
          <w:lang w:val="en-GB" w:eastAsia="ja-JP"/>
        </w:rPr>
        <w:t xml:space="preserve">In Central Europe, land abandonment and agricultural intensification are both issues. Lack of early-season wild seeds is of concern for some countries, and intensification may mean that the seeds are not available as they are buried in the soil. Abandonment prevents the birds from accessing seeds on the ground, a large issue in Croatia, but probably not such a priority for Hungary where changes are occurring in the early (Sanja Barišić </w:t>
      </w:r>
      <w:r w:rsidRPr="00C96521">
        <w:rPr>
          <w:rFonts w:eastAsia="MS Mincho"/>
          <w:i/>
          <w:sz w:val="20"/>
          <w:szCs w:val="22"/>
          <w:lang w:val="en-GB" w:eastAsia="ja-JP"/>
        </w:rPr>
        <w:t>pers comm</w:t>
      </w:r>
      <w:r w:rsidRPr="00C96521">
        <w:rPr>
          <w:rFonts w:eastAsia="MS Mincho"/>
          <w:sz w:val="20"/>
          <w:szCs w:val="22"/>
          <w:lang w:val="en-GB" w:eastAsia="ja-JP"/>
        </w:rPr>
        <w:t xml:space="preserve">, Béla Tokody </w:t>
      </w:r>
      <w:r w:rsidRPr="00C96521">
        <w:rPr>
          <w:rFonts w:eastAsia="MS Mincho"/>
          <w:i/>
          <w:sz w:val="20"/>
          <w:szCs w:val="22"/>
          <w:lang w:val="en-GB" w:eastAsia="ja-JP"/>
        </w:rPr>
        <w:t>pers comm</w:t>
      </w:r>
      <w:r w:rsidRPr="00C96521">
        <w:rPr>
          <w:rFonts w:eastAsia="MS Mincho"/>
          <w:sz w:val="20"/>
          <w:szCs w:val="22"/>
          <w:lang w:val="en-GB" w:eastAsia="ja-JP"/>
        </w:rPr>
        <w:t>, Vesna Tuti</w:t>
      </w:r>
      <w:r w:rsidRPr="00C96521">
        <w:rPr>
          <w:rFonts w:eastAsia="MS Mincho" w:cs="Arial"/>
          <w:sz w:val="20"/>
          <w:szCs w:val="22"/>
          <w:lang w:val="en-GB" w:eastAsia="ja-JP"/>
        </w:rPr>
        <w:t>š</w:t>
      </w:r>
      <w:r w:rsidRPr="00C96521">
        <w:rPr>
          <w:rFonts w:eastAsia="MS Mincho"/>
          <w:sz w:val="20"/>
          <w:szCs w:val="22"/>
          <w:lang w:val="en-GB" w:eastAsia="ja-JP"/>
        </w:rPr>
        <w:t xml:space="preserve"> </w:t>
      </w:r>
      <w:r w:rsidRPr="00C96521">
        <w:rPr>
          <w:rFonts w:eastAsia="MS Mincho"/>
          <w:i/>
          <w:sz w:val="20"/>
          <w:szCs w:val="22"/>
          <w:lang w:val="en-GB" w:eastAsia="ja-JP"/>
        </w:rPr>
        <w:t>pers comm</w:t>
      </w:r>
      <w:r w:rsidRPr="00C96521">
        <w:rPr>
          <w:rFonts w:eastAsia="MS Mincho"/>
          <w:sz w:val="20"/>
          <w:szCs w:val="22"/>
          <w:lang w:val="en-GB" w:eastAsia="ja-JP"/>
        </w:rPr>
        <w:t>). Food availability is likely to reduce in the future, and is extremely variable across the region.</w:t>
      </w:r>
    </w:p>
    <w:p w14:paraId="6190673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BD46645" w14:textId="4C2AE7C3"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Flanders, Belgium where the population decreased by at least 70</w:t>
      </w:r>
      <w:r w:rsidR="00FB0078">
        <w:rPr>
          <w:rFonts w:eastAsia="MS Mincho" w:cs="Arial"/>
          <w:sz w:val="20"/>
          <w:szCs w:val="22"/>
          <w:lang w:val="en-GB" w:eastAsia="ja-JP"/>
        </w:rPr>
        <w:t xml:space="preserve"> per cent</w:t>
      </w:r>
      <w:r w:rsidR="00FB0078"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between the 1970s and 2000-2002, factors on the breeding grounds contributing to the decline were identified as agricultural intensification, a loss of copses, hedgerows and mature woodlands as well as declines in the number of seed-producing herbs (Vermeersch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2004). In Wallonia, the drivers behind the declines lie in agricultural intensification (Jacob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2010). Factors include changes that have reduced available food sources: increasing pesticide applications, concreting of rural tracks, and loss of weed-rich field margins. In the Netherlands, activities contributing to population declines include the degradation of breeding habitat, such as replacement of cereals by green maize and the use of herbicides (SOVON 2002). Similarly</w:t>
      </w:r>
      <w:r w:rsidR="00FB0078">
        <w:rPr>
          <w:rFonts w:eastAsia="MS Mincho" w:cs="Arial"/>
          <w:sz w:val="20"/>
          <w:szCs w:val="22"/>
          <w:lang w:val="en-GB" w:eastAsia="ja-JP"/>
        </w:rPr>
        <w:t>,</w:t>
      </w:r>
      <w:r w:rsidRPr="00C96521">
        <w:rPr>
          <w:rFonts w:eastAsia="MS Mincho" w:cs="Arial"/>
          <w:sz w:val="20"/>
          <w:szCs w:val="22"/>
          <w:lang w:val="en-GB" w:eastAsia="ja-JP"/>
        </w:rPr>
        <w:t xml:space="preserve"> in Switzerland and France, habitat loss, pesticide use, and agricultural intensification have been identified as threats (Schmid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2001, Issa and Boutin 2015 in Issa and Muller 2015), leading also to hedgerow and woodlot destruction. It is unknown whether the introduction of ecological compensation measures have benefited the species (Schmid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2001). In Slovenia, the main threat is the agricultural intensification that has caused the loss of mosaic fields, fallow land and hedges (Kmecl and Figelj 2015). In Romania, deforestation and removal of tall shrubs (nesting habitat), modification, fragmentation and loss of habitat, increased herbicide use (loss of weeds), and possible ingestion of grain treated with rodenticide have all been identified as threats on the breeding grounds (Munteanu 2009, Petrovici 2015). Important conservation actions identified for the species in Romania include a number related to habitat/loss modification: preventing urban developments in important forest habitats and preventing deforestation; ensuring forestry operations are carried out at times that minimise disturbance to the species; maintaining and increasing the area of native forest; maintaining and increasing a mosaic of habitats at the landscape scale; and connecting existing habitats (Petrovici 2015). Removal of alluvial forests and margins is considered a localised problem in Central Europe, for example in Slovakia and Croatia (Sanja Barišić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Ivana Czocherova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w:t>
      </w:r>
      <w:r w:rsidRPr="00C96521">
        <w:rPr>
          <w:rFonts w:eastAsia="MS Mincho"/>
          <w:sz w:val="20"/>
          <w:szCs w:val="22"/>
          <w:lang w:val="en-GB" w:eastAsia="ja-JP"/>
        </w:rPr>
        <w:t>Vesna Tuti</w:t>
      </w:r>
      <w:r w:rsidRPr="00C96521">
        <w:rPr>
          <w:rFonts w:eastAsia="MS Mincho" w:cs="Arial"/>
          <w:sz w:val="20"/>
          <w:szCs w:val="22"/>
          <w:lang w:val="en-GB" w:eastAsia="ja-JP"/>
        </w:rPr>
        <w:t>š</w:t>
      </w:r>
      <w:r w:rsidRPr="00C96521">
        <w:rPr>
          <w:rFonts w:eastAsia="MS Mincho"/>
          <w:sz w:val="20"/>
          <w:szCs w:val="22"/>
          <w:lang w:val="en-GB" w:eastAsia="ja-JP"/>
        </w:rPr>
        <w:t xml:space="preserve"> </w:t>
      </w:r>
      <w:r w:rsidRPr="00C96521">
        <w:rPr>
          <w:rFonts w:eastAsia="MS Mincho"/>
          <w:i/>
          <w:sz w:val="20"/>
          <w:szCs w:val="22"/>
          <w:lang w:val="en-GB" w:eastAsia="ja-JP"/>
        </w:rPr>
        <w:t>pers comm)</w:t>
      </w:r>
      <w:r w:rsidRPr="00C96521">
        <w:rPr>
          <w:rFonts w:eastAsia="MS Mincho" w:cs="Arial"/>
          <w:sz w:val="20"/>
          <w:szCs w:val="22"/>
          <w:lang w:val="en-GB" w:eastAsia="ja-JP"/>
        </w:rPr>
        <w:t>.</w:t>
      </w:r>
    </w:p>
    <w:p w14:paraId="1E64553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A26B57E" w14:textId="05E17484"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the UK, declines in habitat area and food supply have been suggested as causes for population declines (Hodge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2006). Changes to the farmed environment appear to have had a strong impact on the turtle-dove. Woodland habitats were found to support 6.5 times more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 xml:space="preserve"> </w:t>
      </w:r>
      <w:r w:rsidRPr="00C96521">
        <w:rPr>
          <w:rFonts w:eastAsia="MS Mincho" w:cs="Arial"/>
          <w:sz w:val="20"/>
          <w:szCs w:val="22"/>
          <w:lang w:val="en-GB" w:eastAsia="ja-JP"/>
        </w:rPr>
        <w:t xml:space="preserve">territories than on farmland in the UK (Browne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2004). Farmland habitat diversity decreased due to simplifications in crop rotations and loss of non-arable habitats. Between the 1960s and 1980s, farmland plots lost hedgerows, scrub and woodland, but after the mid-1980s the measure of ‘hedginess’ increased. Habitat diversity increased in woodland plots as vegetation clearance increased the number of habitats found within the woodland group, causing a small decrease in the amount of available nesting habitat. In the UK, turtle-dove territories were more likely to be retained and were more abundant in areas with a greater area of established scrub and more hedgerows (Dunn and Morris 2012). Turtle</w:t>
      </w:r>
      <w:r w:rsidR="000C4731">
        <w:rPr>
          <w:rFonts w:eastAsia="MS Mincho" w:cs="Arial"/>
          <w:sz w:val="20"/>
          <w:szCs w:val="22"/>
          <w:lang w:val="en-GB" w:eastAsia="ja-JP"/>
        </w:rPr>
        <w:t xml:space="preserve"> D</w:t>
      </w:r>
      <w:r w:rsidRPr="00C96521">
        <w:rPr>
          <w:rFonts w:eastAsia="MS Mincho" w:cs="Arial"/>
          <w:sz w:val="20"/>
          <w:szCs w:val="22"/>
          <w:lang w:val="en-GB" w:eastAsia="ja-JP"/>
        </w:rPr>
        <w:t xml:space="preserve">ove diet changed </w:t>
      </w:r>
      <w:r w:rsidRPr="00C96521">
        <w:rPr>
          <w:rFonts w:eastAsia="MS Mincho" w:cs="Arial"/>
          <w:sz w:val="20"/>
          <w:szCs w:val="22"/>
          <w:lang w:val="en-GB" w:eastAsia="ja-JP"/>
        </w:rPr>
        <w:lastRenderedPageBreak/>
        <w:t>between the 1950s/</w:t>
      </w:r>
      <w:r w:rsidR="000C4731">
        <w:rPr>
          <w:rFonts w:eastAsia="MS Mincho" w:cs="Arial"/>
          <w:sz w:val="20"/>
          <w:szCs w:val="22"/>
          <w:lang w:val="en-GB" w:eastAsia="ja-JP"/>
        </w:rPr>
        <w:t>’</w:t>
      </w:r>
      <w:r w:rsidRPr="00C96521">
        <w:rPr>
          <w:rFonts w:eastAsia="MS Mincho" w:cs="Arial"/>
          <w:sz w:val="20"/>
          <w:szCs w:val="22"/>
          <w:lang w:val="en-GB" w:eastAsia="ja-JP"/>
        </w:rPr>
        <w:t>60s and late 1990s, with far fewer weed seeds now present in the species’ diet both as nestlings and as adults. The species’ favoured feeding sites in the 1950s/</w:t>
      </w:r>
      <w:r w:rsidR="000C4731">
        <w:rPr>
          <w:rFonts w:eastAsia="MS Mincho" w:cs="Arial"/>
          <w:sz w:val="20"/>
          <w:szCs w:val="22"/>
          <w:lang w:val="en-GB" w:eastAsia="ja-JP"/>
        </w:rPr>
        <w:t>’</w:t>
      </w:r>
      <w:r w:rsidRPr="00C96521">
        <w:rPr>
          <w:rFonts w:eastAsia="MS Mincho" w:cs="Arial"/>
          <w:sz w:val="20"/>
          <w:szCs w:val="22"/>
          <w:lang w:val="en-GB" w:eastAsia="ja-JP"/>
        </w:rPr>
        <w:t xml:space="preserve">60s consisted of hayfields, clover leys and haystooks, whereas in the late 1990s the species was not recorded on these habitats at all, mostly because these habitats have almost entirely disappeared (Browne and Aebischer 2003a). Naturally regenerated fallow rotational set-aside in the summer was found to have a small benefit to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compared to conventional farmed arable land, whereas set-aside sown with crops for wild birds and long-term set-aside more than two years old or younger set-aside sown with a grass mix did not benefit the species (Hodge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2006). A widespread loss of weeds across France and Spain has been well-documented, and could have contributed to reduced food availability for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w:t>
      </w:r>
      <w:r w:rsidR="000C4731">
        <w:rPr>
          <w:rFonts w:eastAsia="MS Mincho" w:cs="Arial"/>
          <w:sz w:val="20"/>
          <w:szCs w:val="22"/>
          <w:lang w:val="en-GB" w:eastAsia="ja-JP"/>
        </w:rPr>
        <w:t xml:space="preserve"> </w:t>
      </w:r>
    </w:p>
    <w:p w14:paraId="0A0D5C5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D9B7C72" w14:textId="3F619F41"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Set-aside created under the Single Payment Scheme (introduced in 2005) was predicted to have no difference in terms of biodiversity benefit to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compared to set-aside under the Arable Area Payment Scheme. However, reversion of set-aside land under the Single Payment Scheme to arable was predicted to have a small negative impact on turtle-dove (Hodge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2006). In 2008, around eight million hectares of former set-aside land re-entered mainstream agricultural production when set-aside policy in the EU was abolished (Allen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2014). Agri-environment measures have been introduced in the UK with the aim of improving foraging and nesting habitat for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One option under Environmental Stewardship, arable margin management (creating grass margins), was shown to be positively associated with turtle-dove population growth rates (Baker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2012). However, options under Higher Level Stewardship failed to impact abundance of turtle-doves on surveyed farms (Bright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2015). The Operation Turtle</w:t>
      </w:r>
      <w:r w:rsidR="00D95FF4">
        <w:rPr>
          <w:rFonts w:eastAsia="MS Mincho" w:cs="Arial"/>
          <w:sz w:val="20"/>
          <w:szCs w:val="22"/>
          <w:lang w:val="en-GB" w:eastAsia="ja-JP"/>
        </w:rPr>
        <w:t xml:space="preserve"> D</w:t>
      </w:r>
      <w:r w:rsidRPr="00C96521">
        <w:rPr>
          <w:rFonts w:eastAsia="MS Mincho" w:cs="Arial"/>
          <w:sz w:val="20"/>
          <w:szCs w:val="22"/>
          <w:lang w:val="en-GB" w:eastAsia="ja-JP"/>
        </w:rPr>
        <w:t>ove partnership in the UK has developed a Turtle</w:t>
      </w:r>
      <w:r w:rsidR="00D95FF4">
        <w:rPr>
          <w:rFonts w:eastAsia="MS Mincho" w:cs="Arial"/>
          <w:sz w:val="20"/>
          <w:szCs w:val="22"/>
          <w:lang w:val="en-GB" w:eastAsia="ja-JP"/>
        </w:rPr>
        <w:t xml:space="preserve"> D</w:t>
      </w:r>
      <w:r w:rsidRPr="00C96521">
        <w:rPr>
          <w:rFonts w:eastAsia="MS Mincho" w:cs="Arial"/>
          <w:sz w:val="20"/>
          <w:szCs w:val="22"/>
          <w:lang w:val="en-GB" w:eastAsia="ja-JP"/>
        </w:rPr>
        <w:t xml:space="preserve">ove Package (Annex 3), which consists of a suite of options designed to support the needs of breeding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The measures include accessible seed-rich foraging habitat close to suitably managed scrub and hedgerows providing safe nesting habitat. Initial survey work suggests that one to two years after implementation there was some evidence that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 xml:space="preserve"> </w:t>
      </w:r>
      <w:r w:rsidRPr="00C96521">
        <w:rPr>
          <w:rFonts w:eastAsia="MS Mincho" w:cs="Arial"/>
          <w:sz w:val="20"/>
          <w:szCs w:val="22"/>
          <w:lang w:val="en-GB" w:eastAsia="ja-JP"/>
        </w:rPr>
        <w:t>occupancy and abundance were positively associated with agreements containing some foraging habitat (Walker and Morris 2016). However, in most cases the conditions for foraging were not optimal.</w:t>
      </w:r>
    </w:p>
    <w:p w14:paraId="1102064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5B74B47" w14:textId="00ABBBC9"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Reduced water availability has been suggested as a problem for the species both on the breeding and passage/wintering grounds, although the scientific evidence for this is limited. It is not clear whether there has been a significant reduction in water supply on the breeding grounds, particularly with the expansion of irrigated agriculture, but water does appear to play a role in site selection for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In the UK, areas that retain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have water supplies (Tony Morris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In Spain, there is a correlation between turtle-dove productivity and presence of water supply, and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avoid breeding in areas without water supplies (Rocha and Hidalgo de Trucios 2002a). Intensive dam construction in Cyprus is affecting ecosystems by altering water flow and exacerbating drying of natural springs during hot weather (Panayides 2005).</w:t>
      </w:r>
    </w:p>
    <w:p w14:paraId="33CF9DD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EE6F9AD" w14:textId="64D8E0D0"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 reduction in the number of nesting locations may also be impacting the species. Although the area of forest habitats may be increasing across Europe, quality of nesting habitat may be decreasing. A study in the west of France found that in areas where hedgerows had been cut on both sides, the number of singing male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has reduced (Hervé Lormée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w:t>
      </w:r>
    </w:p>
    <w:p w14:paraId="3E05410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A9BB76D" w14:textId="47DFF9BE"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European Russia, the turtle-dove breeds in the forest and steppe zones. The main threat in the former is likely to be pesticides. In the forest zone, particularly in the northern part of the turtle-dove’s range in European Russia, most of the farmland consists of grasslands and meadows used for haymaking and grazing, while the area of arable land for cereals is small. Abandonment of farmland began in the early 1990s and continues today. Large-scale abandonment of farmlands, primarily cereals and grasslands, and their overgrowth by tall dense weeds, bushes and young forest is an important negative factor in available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 xml:space="preserve">ove </w:t>
      </w:r>
      <w:r w:rsidRPr="00C96521">
        <w:rPr>
          <w:rFonts w:eastAsia="MS Mincho" w:cs="Arial"/>
          <w:sz w:val="20"/>
          <w:szCs w:val="22"/>
          <w:lang w:val="en-GB" w:eastAsia="ja-JP"/>
        </w:rPr>
        <w:t xml:space="preserve">breeding areas within the forest zone, leading to a loss of feeding habitat (Alexander Mischenko </w:t>
      </w:r>
      <w:r w:rsidRPr="00C96521">
        <w:rPr>
          <w:rFonts w:eastAsia="MS Mincho" w:cs="Arial"/>
          <w:i/>
          <w:sz w:val="20"/>
          <w:szCs w:val="22"/>
          <w:lang w:val="en-GB" w:eastAsia="ja-JP"/>
        </w:rPr>
        <w:t>pers comm</w:t>
      </w:r>
      <w:r w:rsidRPr="00C96521">
        <w:rPr>
          <w:rFonts w:eastAsia="MS Mincho" w:cs="Arial"/>
          <w:sz w:val="20"/>
          <w:szCs w:val="22"/>
          <w:lang w:val="en-GB" w:eastAsia="ja-JP"/>
        </w:rPr>
        <w:t>). Huge areas of farmland have been abandoned, up to 80</w:t>
      </w:r>
      <w:r w:rsidR="000C4731">
        <w:rPr>
          <w:rFonts w:eastAsia="MS Mincho" w:cs="Arial"/>
          <w:sz w:val="20"/>
          <w:szCs w:val="22"/>
          <w:lang w:val="en-GB" w:eastAsia="ja-JP"/>
        </w:rPr>
        <w:t xml:space="preserve"> per cent</w:t>
      </w:r>
      <w:r w:rsidR="000C4731"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of the total farmland area in some regions (Ljuri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2010). This loss of feeding habitat is aggravated by spring fires over large areas. </w:t>
      </w:r>
    </w:p>
    <w:p w14:paraId="72D8B84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F23246E" w14:textId="58745D05"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lastRenderedPageBreak/>
        <w:t xml:space="preserve">In West Africa, the increasing human population has caused significant changes to the natural environment with increased cultivation of the Sahel and Sudan zone, overgrazing and cutting of trees, notably in Senegal and </w:t>
      </w:r>
      <w:r w:rsidR="000C4731">
        <w:rPr>
          <w:rFonts w:eastAsia="MS Mincho" w:cs="Arial"/>
          <w:sz w:val="20"/>
          <w:szCs w:val="22"/>
          <w:lang w:val="en-GB" w:eastAsia="ja-JP"/>
        </w:rPr>
        <w:t>t</w:t>
      </w:r>
      <w:r w:rsidRPr="00C96521">
        <w:rPr>
          <w:rFonts w:eastAsia="MS Mincho" w:cs="Arial"/>
          <w:sz w:val="20"/>
          <w:szCs w:val="22"/>
          <w:lang w:val="en-GB" w:eastAsia="ja-JP"/>
        </w:rPr>
        <w:t xml:space="preserve">he Gambia (Jarry 1994). Wood cutting at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 xml:space="preserve"> </w:t>
      </w:r>
      <w:r w:rsidRPr="00C96521">
        <w:rPr>
          <w:rFonts w:eastAsia="MS Mincho" w:cs="Arial"/>
          <w:sz w:val="20"/>
          <w:szCs w:val="22"/>
          <w:lang w:val="en-GB" w:eastAsia="ja-JP"/>
        </w:rPr>
        <w:t xml:space="preserve">roost sites in south-east Senegal has been recorded (Malang Sarr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Such modification of habitats has led to the disappearance or deterioration of important roosting sites, but may also have had an impact on the feeding opportunities for wintering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High annual survival in a population of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in France coincided with years of high cereal production in western Africa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Isolated wetlands in Niger are under pressure from a range of human activities including: livestock grazing; hunting; and agriculture that can result in loss of trees, trampling of vegetation by grazing animals and disturbance (Brouwer 2014). Such human pressure around isolated wetlands will increase into the future (Brouwer 2014). Following the Sahel droughts of 1968-1997, the region experienced a very rapid loss of natural non-forest vegetation through increased agricultural activity (Walther 2016). The diversity, abundance and distribution of woody plant species declined strongly post-drought, brought about by a number of factors: overharvesting of woody material (for timber, firewood and livestock feed); overgrazing; intensification of agriculture leading to a decline in rotational cropping, fallows and semi-natural habitats; increased fire frequency; replacement of natural habitats with forest monocultures or invasive species (Walther 2016). The soil has also been subject to wind and water erosion. A large literature review suggests that the rapid conversion of the Sahel to a human-dominated landscape is likely the most important long-term cause of population declines in migratory species in the Sahel region (Walther 2016).</w:t>
      </w:r>
    </w:p>
    <w:p w14:paraId="023994A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608E53E" w14:textId="067F14C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Additional habitat-related threats have been identified as: the increased use of plastic and other covering in fields in Switzerland (Raffael Ayé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rapid ploughing and re-cropping of cereal fields after harvest, leading to poor availability of grains and weeds in France (Hervé Lormée </w:t>
      </w:r>
      <w:r w:rsidRPr="00C96521">
        <w:rPr>
          <w:rFonts w:eastAsia="MS Mincho" w:cs="Arial"/>
          <w:i/>
          <w:sz w:val="20"/>
          <w:szCs w:val="22"/>
          <w:lang w:val="en-GB" w:eastAsia="ja-JP"/>
        </w:rPr>
        <w:t>pers comm</w:t>
      </w:r>
      <w:r w:rsidRPr="00C96521">
        <w:rPr>
          <w:rFonts w:eastAsia="MS Mincho" w:cs="Arial"/>
          <w:sz w:val="20"/>
          <w:szCs w:val="22"/>
          <w:lang w:val="en-GB" w:eastAsia="ja-JP"/>
        </w:rPr>
        <w:t>); monocultures, loss of meadow to arable land, and urbani</w:t>
      </w:r>
      <w:r w:rsidR="000C4731">
        <w:rPr>
          <w:rFonts w:eastAsia="MS Mincho" w:cs="Arial"/>
          <w:sz w:val="20"/>
          <w:szCs w:val="22"/>
          <w:lang w:val="en-GB" w:eastAsia="ja-JP"/>
        </w:rPr>
        <w:t>z</w:t>
      </w:r>
      <w:r w:rsidRPr="00C96521">
        <w:rPr>
          <w:rFonts w:eastAsia="MS Mincho" w:cs="Arial"/>
          <w:sz w:val="20"/>
          <w:szCs w:val="22"/>
          <w:lang w:val="en-GB" w:eastAsia="ja-JP"/>
        </w:rPr>
        <w:t>ation of agricultural habitats in Lithuania (</w:t>
      </w:r>
      <w:r w:rsidRPr="00C96521">
        <w:rPr>
          <w:rFonts w:cs="Arial"/>
          <w:sz w:val="20"/>
          <w:szCs w:val="20"/>
          <w:lang w:val="en-GB" w:eastAsia="en-GB"/>
        </w:rPr>
        <w:t xml:space="preserve">Liutauras Raudonikis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and in Portugal, particularly in the coastal regions (Susana Dias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reseeding of grassland and intensive grassland management, increased use of pesticides, and high predator densities in Estonia (Jaanus Elts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changes in crop rotation and uncontrolled forest cutting in Ukraine (Tetiana Kuzmenko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and the decline of wooded semi-natural pastures because of under-grazing in Turkey (Itri Levent Erkol </w:t>
      </w:r>
      <w:r w:rsidRPr="00C96521">
        <w:rPr>
          <w:rFonts w:eastAsia="MS Mincho" w:cs="Arial"/>
          <w:i/>
          <w:sz w:val="20"/>
          <w:szCs w:val="22"/>
          <w:lang w:val="en-GB" w:eastAsia="ja-JP"/>
        </w:rPr>
        <w:t>pers comm</w:t>
      </w:r>
      <w:r w:rsidRPr="00C96521">
        <w:rPr>
          <w:rFonts w:eastAsia="MS Mincho" w:cs="Arial"/>
          <w:sz w:val="20"/>
          <w:szCs w:val="22"/>
          <w:lang w:val="en-GB" w:eastAsia="ja-JP"/>
        </w:rPr>
        <w:t>).</w:t>
      </w:r>
      <w:r w:rsidRPr="00C96521">
        <w:rPr>
          <w:rFonts w:eastAsia="MS Mincho"/>
          <w:sz w:val="20"/>
          <w:szCs w:val="22"/>
          <w:lang w:val="en-GB" w:eastAsia="ja-JP"/>
        </w:rPr>
        <w:t xml:space="preserve"> In the Mediterranean region, increasing frequency and intensity of wildfires may threaten suitable habitat (conifer plantations with low cover of under-storey shrubs) (Dias </w:t>
      </w:r>
      <w:r w:rsidRPr="00C96521">
        <w:rPr>
          <w:rFonts w:eastAsia="MS Mincho"/>
          <w:i/>
          <w:sz w:val="20"/>
          <w:szCs w:val="22"/>
          <w:lang w:val="en-GB" w:eastAsia="ja-JP"/>
        </w:rPr>
        <w:t>et al</w:t>
      </w:r>
      <w:r w:rsidRPr="00C96521">
        <w:rPr>
          <w:rFonts w:eastAsia="MS Mincho"/>
          <w:sz w:val="20"/>
          <w:szCs w:val="22"/>
          <w:lang w:val="en-GB" w:eastAsia="ja-JP"/>
        </w:rPr>
        <w:t xml:space="preserve"> 2013).</w:t>
      </w:r>
    </w:p>
    <w:p w14:paraId="4E4F712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58B5298E"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6" w:name="_Toc478646911"/>
      <w:r w:rsidRPr="00C96521">
        <w:rPr>
          <w:rFonts w:ascii="Cambria" w:eastAsia="MS Gothic" w:hAnsi="Cambria"/>
          <w:b/>
          <w:bCs/>
          <w:color w:val="4F81BD"/>
          <w:sz w:val="26"/>
          <w:szCs w:val="26"/>
          <w:lang w:val="en-GB" w:eastAsia="ja-JP"/>
        </w:rPr>
        <w:t>Illegal killing</w:t>
      </w:r>
      <w:bookmarkEnd w:id="26"/>
    </w:p>
    <w:p w14:paraId="3908097F" w14:textId="77777777" w:rsidR="00C96521" w:rsidRPr="00F64924" w:rsidRDefault="00C96521" w:rsidP="00C96521">
      <w:pPr>
        <w:widowControl/>
        <w:autoSpaceDE/>
        <w:autoSpaceDN/>
        <w:adjustRightInd/>
        <w:spacing w:line="276" w:lineRule="auto"/>
        <w:rPr>
          <w:rFonts w:eastAsia="MS Mincho" w:cs="Arial"/>
          <w:sz w:val="20"/>
          <w:szCs w:val="22"/>
          <w:lang w:val="en-GB" w:eastAsia="ja-JP"/>
        </w:rPr>
      </w:pPr>
    </w:p>
    <w:p w14:paraId="04612FF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the context of this Action Plan, illegal killing is defined as catching, trapping and/or killing outside of the hunting season.</w:t>
      </w:r>
    </w:p>
    <w:p w14:paraId="1F7A06F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76A5C0B" w14:textId="5170A754"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Estimates of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 xml:space="preserve">ove </w:t>
      </w:r>
      <w:r w:rsidRPr="00C96521">
        <w:rPr>
          <w:rFonts w:eastAsia="MS Mincho" w:cs="Arial"/>
          <w:sz w:val="20"/>
          <w:szCs w:val="22"/>
          <w:lang w:val="en-GB" w:eastAsia="ja-JP"/>
        </w:rPr>
        <w:t xml:space="preserve">mortality due to illegal activities have proven to be complex and challenging to develop. </w:t>
      </w:r>
      <w:r w:rsidRPr="00C96521">
        <w:rPr>
          <w:rFonts w:eastAsia="MS Mincho"/>
          <w:sz w:val="20"/>
          <w:szCs w:val="22"/>
          <w:lang w:val="en-GB" w:eastAsia="ja-JP"/>
        </w:rPr>
        <w:t xml:space="preserve">In most countries, verifiable numbers are lacking or data on officially disclosed cases of illegal killing are limited. Brochet </w:t>
      </w:r>
      <w:r w:rsidRPr="00C96521">
        <w:rPr>
          <w:rFonts w:eastAsia="MS Mincho"/>
          <w:i/>
          <w:sz w:val="20"/>
          <w:szCs w:val="22"/>
          <w:lang w:val="en-GB" w:eastAsia="ja-JP"/>
        </w:rPr>
        <w:t>et al</w:t>
      </w:r>
      <w:r w:rsidRPr="00C96521">
        <w:rPr>
          <w:rFonts w:eastAsia="MS Mincho"/>
          <w:sz w:val="20"/>
          <w:szCs w:val="22"/>
          <w:lang w:val="en-GB" w:eastAsia="ja-JP"/>
        </w:rPr>
        <w:t xml:space="preserve"> (2016) estimate the number of turtle-doves killed illegally in the Mediterranean at 602,599 individuals annually (336,014-869,183). Libya, </w:t>
      </w:r>
      <w:r w:rsidR="000C4731">
        <w:rPr>
          <w:rFonts w:eastAsia="MS Mincho"/>
          <w:sz w:val="20"/>
          <w:szCs w:val="22"/>
          <w:lang w:val="en-GB" w:eastAsia="ja-JP"/>
        </w:rPr>
        <w:t xml:space="preserve">the </w:t>
      </w:r>
      <w:r w:rsidRPr="00C96521">
        <w:rPr>
          <w:rFonts w:eastAsia="MS Mincho"/>
          <w:sz w:val="20"/>
          <w:szCs w:val="22"/>
          <w:lang w:val="en-GB" w:eastAsia="ja-JP"/>
        </w:rPr>
        <w:t>Syria</w:t>
      </w:r>
      <w:r w:rsidR="000C4731">
        <w:rPr>
          <w:rFonts w:eastAsia="MS Mincho"/>
          <w:sz w:val="20"/>
          <w:szCs w:val="22"/>
          <w:lang w:val="en-GB" w:eastAsia="ja-JP"/>
        </w:rPr>
        <w:t>n Arab Republic</w:t>
      </w:r>
      <w:r w:rsidRPr="00C96521">
        <w:rPr>
          <w:rFonts w:eastAsia="MS Mincho"/>
          <w:sz w:val="20"/>
          <w:szCs w:val="22"/>
          <w:lang w:val="en-GB" w:eastAsia="ja-JP"/>
        </w:rPr>
        <w:t xml:space="preserve"> and Greece were the countries where the largest number of birds were killed each year. </w:t>
      </w:r>
      <w:r w:rsidR="000C4731">
        <w:rPr>
          <w:rFonts w:eastAsia="MS Mincho"/>
          <w:sz w:val="20"/>
          <w:szCs w:val="22"/>
          <w:lang w:val="en-GB" w:eastAsia="ja-JP"/>
        </w:rPr>
        <w:t>The 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is traded legally in significant numbers (for example, as a hunting trophy), but it is also traded illegally in large numbers in Europe (TRAFFIC 2008). </w:t>
      </w:r>
      <w:r w:rsidRPr="00C96521">
        <w:rPr>
          <w:rFonts w:eastAsia="MS Mincho"/>
          <w:sz w:val="20"/>
          <w:szCs w:val="22"/>
          <w:lang w:val="en-GB" w:eastAsia="ja-JP"/>
        </w:rPr>
        <w:t xml:space="preserve">Illegal killing of birds is prevalent on the Ionian Islands of Greece, with an estimated 69,000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sz w:val="20"/>
          <w:szCs w:val="22"/>
          <w:lang w:val="en-GB" w:eastAsia="ja-JP"/>
        </w:rPr>
        <w:t xml:space="preserve">illegally shot every spring (LIPU/SEO/HOS 2015). </w:t>
      </w:r>
      <w:r w:rsidRPr="00C96521">
        <w:rPr>
          <w:rFonts w:eastAsia="MS Mincho" w:cs="Arial"/>
          <w:sz w:val="20"/>
          <w:szCs w:val="22"/>
          <w:lang w:val="en-GB" w:eastAsia="ja-JP"/>
        </w:rPr>
        <w:t xml:space="preserve">The species is illegally killed in Egypt during autumn migration, where an estimated 34,534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are caught annually along the North Sinai coastline (Eason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 Some of these birds may be sold in local markets. </w:t>
      </w:r>
      <w:r w:rsidR="000C4731">
        <w:rPr>
          <w:rFonts w:eastAsia="MS Mincho" w:cs="Arial"/>
          <w:sz w:val="20"/>
          <w:szCs w:val="22"/>
          <w:lang w:val="en-GB" w:eastAsia="ja-JP"/>
        </w:rPr>
        <w:t xml:space="preserve"> </w:t>
      </w:r>
    </w:p>
    <w:p w14:paraId="3659E6D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1F8AB14" w14:textId="5F831564"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Cyprus, hunters illegally put down food to attract </w:t>
      </w:r>
      <w:r w:rsidR="000C4731">
        <w:rPr>
          <w:rFonts w:eastAsia="MS Mincho" w:cs="Arial"/>
          <w:sz w:val="20"/>
          <w:szCs w:val="22"/>
          <w:lang w:val="en-GB" w:eastAsia="ja-JP"/>
        </w:rPr>
        <w:t>W</w:t>
      </w:r>
      <w:r w:rsidRPr="00C96521">
        <w:rPr>
          <w:rFonts w:eastAsia="MS Mincho" w:cs="Arial"/>
          <w:sz w:val="20"/>
          <w:szCs w:val="22"/>
          <w:lang w:val="en-GB" w:eastAsia="ja-JP"/>
        </w:rPr>
        <w:t xml:space="preserve">ood </w:t>
      </w:r>
      <w:r w:rsidR="000C4731">
        <w:rPr>
          <w:rFonts w:eastAsia="MS Mincho" w:cs="Arial"/>
          <w:sz w:val="20"/>
          <w:szCs w:val="22"/>
          <w:lang w:val="en-GB" w:eastAsia="ja-JP"/>
        </w:rPr>
        <w:t>P</w:t>
      </w:r>
      <w:r w:rsidRPr="00C96521">
        <w:rPr>
          <w:rFonts w:eastAsia="MS Mincho" w:cs="Arial"/>
          <w:sz w:val="20"/>
          <w:szCs w:val="22"/>
          <w:lang w:val="en-GB" w:eastAsia="ja-JP"/>
        </w:rPr>
        <w:t>igeon (</w:t>
      </w:r>
      <w:r w:rsidRPr="00C96521">
        <w:rPr>
          <w:rFonts w:eastAsia="MS Mincho" w:cs="Arial"/>
          <w:i/>
          <w:sz w:val="20"/>
          <w:szCs w:val="22"/>
          <w:lang w:val="en-GB" w:eastAsia="ja-JP"/>
        </w:rPr>
        <w:t>Columba palumbus</w:t>
      </w:r>
      <w:r w:rsidRPr="00C96521">
        <w:rPr>
          <w:rFonts w:eastAsia="MS Mincho" w:cs="Arial"/>
          <w:sz w:val="20"/>
          <w:szCs w:val="22"/>
          <w:lang w:val="en-GB" w:eastAsia="ja-JP"/>
        </w:rPr>
        <w:t xml:space="preserve">) and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Pr="00C96521">
        <w:rPr>
          <w:rFonts w:eastAsia="MS Mincho" w:cs="Arial"/>
          <w:sz w:val="20"/>
          <w:szCs w:val="22"/>
          <w:lang w:val="en-GB" w:eastAsia="ja-JP"/>
        </w:rPr>
        <w:t>, which are then shot in large numbers. As it has not been possible to control this practice to</w:t>
      </w:r>
      <w:r w:rsidR="000C4731">
        <w:rPr>
          <w:rFonts w:eastAsia="MS Mincho" w:cs="Arial"/>
          <w:sz w:val="20"/>
          <w:szCs w:val="22"/>
          <w:lang w:val="en-GB" w:eastAsia="ja-JP"/>
        </w:rPr>
        <w:t xml:space="preserve"> </w:t>
      </w:r>
      <w:r w:rsidRPr="00C96521">
        <w:rPr>
          <w:rFonts w:eastAsia="MS Mincho" w:cs="Arial"/>
          <w:sz w:val="20"/>
          <w:szCs w:val="22"/>
          <w:lang w:val="en-GB" w:eastAsia="ja-JP"/>
        </w:rPr>
        <w:t>date, the legali</w:t>
      </w:r>
      <w:r w:rsidR="000C4731">
        <w:rPr>
          <w:rFonts w:eastAsia="MS Mincho" w:cs="Arial"/>
          <w:sz w:val="20"/>
          <w:szCs w:val="22"/>
          <w:lang w:val="en-GB" w:eastAsia="ja-JP"/>
        </w:rPr>
        <w:t>z</w:t>
      </w:r>
      <w:r w:rsidRPr="00C96521">
        <w:rPr>
          <w:rFonts w:eastAsia="MS Mincho" w:cs="Arial"/>
          <w:sz w:val="20"/>
          <w:szCs w:val="22"/>
          <w:lang w:val="en-GB" w:eastAsia="ja-JP"/>
        </w:rPr>
        <w:t xml:space="preserve">ation of the practice of ‘feeding’ (τάϊσμα/taisma) has been tabled by the Game and Fauna Service </w:t>
      </w:r>
      <w:r w:rsidRPr="00C96521">
        <w:rPr>
          <w:rFonts w:eastAsia="MS Mincho" w:cs="Arial"/>
          <w:sz w:val="20"/>
          <w:szCs w:val="22"/>
          <w:lang w:val="en-GB" w:eastAsia="ja-JP"/>
        </w:rPr>
        <w:lastRenderedPageBreak/>
        <w:t>under the proposed amendment of the Hunting Law (Protection and Management of Wild Birds and Game Law Ν152(Ι)/2003) to mitigate the impacts by increasing the geographic spread and reducing the proportion of the populations affected at each site. However, BirdLife Cyprus oppose</w:t>
      </w:r>
      <w:r w:rsidR="000C4731">
        <w:rPr>
          <w:rFonts w:eastAsia="MS Mincho" w:cs="Arial"/>
          <w:sz w:val="20"/>
          <w:szCs w:val="22"/>
          <w:lang w:val="en-GB" w:eastAsia="ja-JP"/>
        </w:rPr>
        <w:t>s</w:t>
      </w:r>
      <w:r w:rsidRPr="00C96521">
        <w:rPr>
          <w:rFonts w:eastAsia="MS Mincho" w:cs="Arial"/>
          <w:sz w:val="20"/>
          <w:szCs w:val="22"/>
          <w:lang w:val="en-GB" w:eastAsia="ja-JP"/>
        </w:rPr>
        <w:t xml:space="preserve"> this legali</w:t>
      </w:r>
      <w:r w:rsidR="000C4731">
        <w:rPr>
          <w:rFonts w:eastAsia="MS Mincho" w:cs="Arial"/>
          <w:sz w:val="20"/>
          <w:szCs w:val="22"/>
          <w:lang w:val="en-GB" w:eastAsia="ja-JP"/>
        </w:rPr>
        <w:t>z</w:t>
      </w:r>
      <w:r w:rsidRPr="00C96521">
        <w:rPr>
          <w:rFonts w:eastAsia="MS Mincho" w:cs="Arial"/>
          <w:sz w:val="20"/>
          <w:szCs w:val="22"/>
          <w:lang w:val="en-GB" w:eastAsia="ja-JP"/>
        </w:rPr>
        <w:t xml:space="preserve">ation (BirdLife Cyprus 2016). </w:t>
      </w:r>
    </w:p>
    <w:p w14:paraId="2BC7FF3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2970932" w14:textId="43E7134D" w:rsidR="00C96521" w:rsidRPr="00C96521" w:rsidRDefault="00C96521" w:rsidP="00C96521">
      <w:pPr>
        <w:widowControl/>
        <w:autoSpaceDE/>
        <w:autoSpaceDN/>
        <w:adjustRightInd/>
        <w:spacing w:line="276" w:lineRule="auto"/>
        <w:rPr>
          <w:rFonts w:eastAsia="MS Mincho" w:cs="Arial"/>
          <w:color w:val="FF0000"/>
          <w:sz w:val="20"/>
          <w:szCs w:val="22"/>
          <w:lang w:val="en-GB" w:eastAsia="ja-JP"/>
        </w:rPr>
      </w:pPr>
      <w:r w:rsidRPr="00C96521">
        <w:rPr>
          <w:rFonts w:eastAsia="MS Mincho"/>
          <w:sz w:val="20"/>
          <w:szCs w:val="22"/>
          <w:lang w:val="en-GB" w:eastAsia="ja-JP"/>
        </w:rPr>
        <w:t>Work is underway to implement the Tunis Action Plan 2013-2020 for the eradication of illegal killing, trapping and trade of wild birds (Golovkin 2016), and there are some national initiatives. For example, t</w:t>
      </w:r>
      <w:r w:rsidRPr="00C96521">
        <w:rPr>
          <w:rFonts w:eastAsia="MS Mincho" w:cs="Arial"/>
          <w:sz w:val="20"/>
          <w:szCs w:val="22"/>
          <w:lang w:val="en-GB" w:eastAsia="ja-JP"/>
        </w:rPr>
        <w:t xml:space="preserve">he Italian Ministry of the Environment is in the process of </w:t>
      </w:r>
      <w:r w:rsidR="000C4731" w:rsidRPr="00C96521">
        <w:rPr>
          <w:rFonts w:eastAsia="MS Mincho" w:cs="Arial"/>
          <w:sz w:val="20"/>
          <w:szCs w:val="22"/>
          <w:lang w:val="en-GB" w:eastAsia="ja-JP"/>
        </w:rPr>
        <w:t>finali</w:t>
      </w:r>
      <w:r w:rsidR="000C4731">
        <w:rPr>
          <w:rFonts w:eastAsia="MS Mincho" w:cs="Arial"/>
          <w:sz w:val="20"/>
          <w:szCs w:val="22"/>
          <w:lang w:val="en-GB" w:eastAsia="ja-JP"/>
        </w:rPr>
        <w:t>z</w:t>
      </w:r>
      <w:r w:rsidR="000C4731" w:rsidRPr="00C96521">
        <w:rPr>
          <w:rFonts w:eastAsia="MS Mincho" w:cs="Arial"/>
          <w:sz w:val="20"/>
          <w:szCs w:val="22"/>
          <w:lang w:val="en-GB" w:eastAsia="ja-JP"/>
        </w:rPr>
        <w:t xml:space="preserve">ing </w:t>
      </w:r>
      <w:r w:rsidRPr="00C96521">
        <w:rPr>
          <w:rFonts w:eastAsia="MS Mincho" w:cs="Arial"/>
          <w:sz w:val="20"/>
          <w:szCs w:val="22"/>
          <w:lang w:val="en-GB" w:eastAsia="ja-JP"/>
        </w:rPr>
        <w:t>a National Action Plan on Illegal Killing, Trapping and Trade of Wild Birds, which will be a step towards reducing illegal harvesting both during and outside the formal hunting season. However, there is little information from large areas of the species' range, and expert opinion is that illegal take is having a critical impact on the population size of turtle-doves in some regions.</w:t>
      </w:r>
    </w:p>
    <w:p w14:paraId="674894A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67CEF63"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7" w:name="_Toc478646912"/>
      <w:r w:rsidRPr="00C96521">
        <w:rPr>
          <w:rFonts w:ascii="Cambria" w:eastAsia="MS Gothic" w:hAnsi="Cambria"/>
          <w:b/>
          <w:bCs/>
          <w:color w:val="4F81BD"/>
          <w:sz w:val="26"/>
          <w:szCs w:val="26"/>
          <w:lang w:val="en-GB" w:eastAsia="ja-JP"/>
        </w:rPr>
        <w:t>Hunting</w:t>
      </w:r>
      <w:bookmarkEnd w:id="27"/>
    </w:p>
    <w:p w14:paraId="61F8A5C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AFD4E1D" w14:textId="306BDB5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Hunting of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is permitted in ten EU Member States (Austria, Bulgaria, Cyprus, France, Greece, Italy, Malta, Portugal, Romania and Spain) </w:t>
      </w:r>
      <w:r w:rsidRPr="00C96521">
        <w:rPr>
          <w:rFonts w:eastAsia="MS Mincho"/>
          <w:sz w:val="20"/>
          <w:szCs w:val="22"/>
          <w:lang w:val="en-GB" w:eastAsia="ja-JP"/>
        </w:rPr>
        <w:t>by Article 7 in relation to Annex II-B of the Birds Directive</w:t>
      </w:r>
      <w:r w:rsidRPr="00C96521">
        <w:rPr>
          <w:rFonts w:eastAsia="MS Mincho" w:cs="Arial"/>
          <w:sz w:val="20"/>
          <w:szCs w:val="22"/>
          <w:lang w:val="en-GB" w:eastAsia="ja-JP"/>
        </w:rPr>
        <w:t xml:space="preserve">. </w:t>
      </w:r>
      <w:r w:rsidRPr="00C96521">
        <w:rPr>
          <w:rFonts w:eastAsia="MS Mincho"/>
          <w:sz w:val="20"/>
          <w:szCs w:val="22"/>
          <w:lang w:val="en-GB" w:eastAsia="ja-JP"/>
        </w:rPr>
        <w:t xml:space="preserve">In these countries, hunting is regulated by national legislation, although each Member State must ensure that the hunting of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sz w:val="20"/>
          <w:szCs w:val="22"/>
          <w:lang w:val="en-GB" w:eastAsia="ja-JP"/>
        </w:rPr>
        <w:t>does not jeopardi</w:t>
      </w:r>
      <w:r w:rsidR="000C4731">
        <w:rPr>
          <w:rFonts w:eastAsia="MS Mincho"/>
          <w:sz w:val="20"/>
          <w:szCs w:val="22"/>
          <w:lang w:val="en-GB" w:eastAsia="ja-JP"/>
        </w:rPr>
        <w:t>z</w:t>
      </w:r>
      <w:r w:rsidRPr="00C96521">
        <w:rPr>
          <w:rFonts w:eastAsia="MS Mincho"/>
          <w:sz w:val="20"/>
          <w:szCs w:val="22"/>
          <w:lang w:val="en-GB" w:eastAsia="ja-JP"/>
        </w:rPr>
        <w:t>e conservation efforts in their distribution area. Malta further allows another hunting season during the pre-nuptial migration of the species, applied via a derogation from the Birds Directive.</w:t>
      </w:r>
      <w:r w:rsidR="000C4731">
        <w:rPr>
          <w:rFonts w:eastAsia="MS Mincho"/>
          <w:sz w:val="20"/>
          <w:szCs w:val="22"/>
          <w:lang w:val="en-GB" w:eastAsia="ja-JP"/>
        </w:rPr>
        <w:t xml:space="preserve"> </w:t>
      </w:r>
    </w:p>
    <w:p w14:paraId="02AA818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2390850" w14:textId="2A43C4C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sz w:val="20"/>
          <w:szCs w:val="22"/>
          <w:lang w:val="en-GB" w:eastAsia="ja-JP"/>
        </w:rPr>
        <w:t>The hunting pressure on the species has been described as generally high by multiple authors (e</w:t>
      </w:r>
      <w:r w:rsidR="000C4731">
        <w:rPr>
          <w:rFonts w:eastAsia="MS Mincho"/>
          <w:sz w:val="20"/>
          <w:szCs w:val="22"/>
          <w:lang w:val="en-GB" w:eastAsia="ja-JP"/>
        </w:rPr>
        <w:t>.</w:t>
      </w:r>
      <w:r w:rsidRPr="00C96521">
        <w:rPr>
          <w:rFonts w:eastAsia="MS Mincho"/>
          <w:sz w:val="20"/>
          <w:szCs w:val="22"/>
          <w:lang w:val="en-GB" w:eastAsia="ja-JP"/>
        </w:rPr>
        <w:t>g</w:t>
      </w:r>
      <w:r w:rsidR="000C4731">
        <w:rPr>
          <w:rFonts w:eastAsia="MS Mincho"/>
          <w:sz w:val="20"/>
          <w:szCs w:val="22"/>
          <w:lang w:val="en-GB" w:eastAsia="ja-JP"/>
        </w:rPr>
        <w:t>.</w:t>
      </w:r>
      <w:r w:rsidRPr="00C96521">
        <w:rPr>
          <w:rFonts w:eastAsia="MS Mincho"/>
          <w:sz w:val="20"/>
          <w:szCs w:val="22"/>
          <w:lang w:val="en-GB" w:eastAsia="ja-JP"/>
        </w:rPr>
        <w:t xml:space="preserve"> between </w:t>
      </w:r>
      <w:r w:rsidR="000C4731">
        <w:rPr>
          <w:rFonts w:eastAsia="MS Mincho"/>
          <w:sz w:val="20"/>
          <w:szCs w:val="22"/>
          <w:lang w:val="en-GB" w:eastAsia="ja-JP"/>
        </w:rPr>
        <w:t>2 million</w:t>
      </w:r>
      <w:r w:rsidR="000C4731" w:rsidRPr="00C96521">
        <w:rPr>
          <w:rFonts w:eastAsia="MS Mincho"/>
          <w:sz w:val="20"/>
          <w:szCs w:val="22"/>
          <w:lang w:val="en-GB" w:eastAsia="ja-JP"/>
        </w:rPr>
        <w:t xml:space="preserve"> </w:t>
      </w:r>
      <w:r w:rsidRPr="00C96521">
        <w:rPr>
          <w:rFonts w:eastAsia="MS Mincho"/>
          <w:sz w:val="20"/>
          <w:szCs w:val="22"/>
          <w:lang w:val="en-GB" w:eastAsia="ja-JP"/>
        </w:rPr>
        <w:t xml:space="preserve">and </w:t>
      </w:r>
      <w:r w:rsidR="000C4731">
        <w:rPr>
          <w:rFonts w:eastAsia="MS Mincho"/>
          <w:sz w:val="20"/>
          <w:szCs w:val="22"/>
          <w:lang w:val="en-GB" w:eastAsia="ja-JP"/>
        </w:rPr>
        <w:t>4</w:t>
      </w:r>
      <w:r w:rsidR="000C4731" w:rsidRPr="00C96521">
        <w:rPr>
          <w:rFonts w:eastAsia="MS Mincho"/>
          <w:sz w:val="20"/>
          <w:szCs w:val="22"/>
          <w:lang w:val="en-GB" w:eastAsia="ja-JP"/>
        </w:rPr>
        <w:t xml:space="preserve"> </w:t>
      </w:r>
      <w:r w:rsidRPr="00C96521">
        <w:rPr>
          <w:rFonts w:eastAsia="MS Mincho"/>
          <w:sz w:val="20"/>
          <w:szCs w:val="22"/>
          <w:lang w:val="en-GB" w:eastAsia="ja-JP"/>
        </w:rPr>
        <w:t xml:space="preserve">million birds shot annually, Boutin </w:t>
      </w:r>
      <w:r w:rsidRPr="00C96521">
        <w:rPr>
          <w:rFonts w:eastAsia="MS Mincho"/>
          <w:i/>
          <w:sz w:val="20"/>
          <w:szCs w:val="22"/>
          <w:lang w:val="en-GB" w:eastAsia="ja-JP"/>
        </w:rPr>
        <w:t>et al</w:t>
      </w:r>
      <w:r w:rsidRPr="00C96521">
        <w:rPr>
          <w:rFonts w:eastAsia="MS Mincho"/>
          <w:sz w:val="20"/>
          <w:szCs w:val="22"/>
          <w:lang w:val="en-GB" w:eastAsia="ja-JP"/>
        </w:rPr>
        <w:t xml:space="preserve">. 2001, </w:t>
      </w:r>
      <w:r w:rsidRPr="00C96521">
        <w:rPr>
          <w:rFonts w:eastAsia="MS Mincho" w:cs="Arial"/>
          <w:sz w:val="20"/>
          <w:szCs w:val="22"/>
          <w:lang w:val="en-GB" w:eastAsia="ja-JP"/>
        </w:rPr>
        <w:t>Hirschfeld and Heyd 2005</w:t>
      </w:r>
      <w:r w:rsidRPr="00C96521">
        <w:rPr>
          <w:rFonts w:eastAsia="MS Mincho"/>
          <w:sz w:val="20"/>
          <w:szCs w:val="22"/>
          <w:lang w:val="en-GB" w:eastAsia="ja-JP"/>
        </w:rPr>
        <w:t xml:space="preserve">), but there are disagreements about the accuracy of estimates for various countries. </w:t>
      </w:r>
      <w:r w:rsidRPr="00C96521">
        <w:rPr>
          <w:rFonts w:eastAsia="MS Mincho" w:cs="Arial"/>
          <w:sz w:val="20"/>
          <w:szCs w:val="22"/>
          <w:lang w:val="en-GB" w:eastAsia="ja-JP"/>
        </w:rPr>
        <w:t xml:space="preserve">Data on hunting bags, particularly where self-reported and not necessarily verified, may be subject to both under- and over-estimation but it is not known to what degree. Some populations may have to cross several countries where the species is huntable before reaching their breeding/passage/wintering grounds. </w:t>
      </w:r>
    </w:p>
    <w:p w14:paraId="4100DC33"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590C7A0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Table 4 shows the available data on hunting bag statistics provided by the European Federation of Associations for Hunting and Conservation (FACE) and others.</w:t>
      </w:r>
    </w:p>
    <w:p w14:paraId="4EB22EC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4B9E9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B4C39D1" w14:textId="77777777" w:rsidR="00C96521" w:rsidRPr="00C96521" w:rsidRDefault="00C96521" w:rsidP="00C96521">
      <w:pPr>
        <w:widowControl/>
        <w:autoSpaceDE/>
        <w:autoSpaceDN/>
        <w:adjustRightInd/>
        <w:rPr>
          <w:rFonts w:eastAsia="MS Mincho" w:cs="Arial"/>
          <w:i/>
          <w:sz w:val="20"/>
          <w:szCs w:val="20"/>
          <w:lang w:val="en-GB" w:eastAsia="ja-JP"/>
        </w:rPr>
        <w:sectPr w:rsidR="00C96521" w:rsidRPr="00C96521" w:rsidSect="00C96521">
          <w:pgSz w:w="11920" w:h="16840"/>
          <w:pgMar w:top="1276" w:right="1300" w:bottom="920" w:left="1300" w:header="730" w:footer="738" w:gutter="0"/>
          <w:cols w:space="720"/>
          <w:docGrid w:linePitch="299"/>
        </w:sectPr>
      </w:pPr>
    </w:p>
    <w:p w14:paraId="0652CB90" w14:textId="77777777" w:rsidR="00C96521" w:rsidRPr="00C96521" w:rsidRDefault="00C96521" w:rsidP="00C96521">
      <w:pPr>
        <w:widowControl/>
        <w:autoSpaceDE/>
        <w:autoSpaceDN/>
        <w:adjustRightInd/>
        <w:rPr>
          <w:rFonts w:eastAsia="MS Mincho" w:cs="Arial"/>
          <w:i/>
          <w:sz w:val="20"/>
          <w:szCs w:val="20"/>
          <w:lang w:val="en-GB" w:eastAsia="ja-JP"/>
        </w:rPr>
      </w:pPr>
      <w:r w:rsidRPr="00C96521">
        <w:rPr>
          <w:rFonts w:eastAsia="MS Mincho" w:cs="Arial"/>
          <w:i/>
          <w:sz w:val="20"/>
          <w:szCs w:val="20"/>
          <w:lang w:val="en-GB" w:eastAsia="ja-JP"/>
        </w:rPr>
        <w:lastRenderedPageBreak/>
        <w:t xml:space="preserve">Table 4. Turtle-dove bag numbers and protection/hunting details across range states within Europe, Central Asia and Africa. </w:t>
      </w:r>
      <w:r w:rsidRPr="00C96521">
        <w:rPr>
          <w:rFonts w:eastAsia="MS Mincho" w:cs="Arial"/>
          <w:i/>
          <w:sz w:val="20"/>
          <w:szCs w:val="22"/>
          <w:lang w:val="en-GB" w:eastAsia="ja-JP"/>
        </w:rPr>
        <w:t>Countries are only included where information is available.</w:t>
      </w:r>
    </w:p>
    <w:p w14:paraId="3158157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tbl>
      <w:tblPr>
        <w:tblStyle w:val="TableGrid"/>
        <w:tblW w:w="5000" w:type="pct"/>
        <w:tblLayout w:type="fixed"/>
        <w:tblLook w:val="04A0" w:firstRow="1" w:lastRow="0" w:firstColumn="1" w:lastColumn="0" w:noHBand="0" w:noVBand="1"/>
      </w:tblPr>
      <w:tblGrid>
        <w:gridCol w:w="2558"/>
        <w:gridCol w:w="1771"/>
        <w:gridCol w:w="10306"/>
      </w:tblGrid>
      <w:tr w:rsidR="00C96521" w:rsidRPr="00965D7D" w14:paraId="155203F0" w14:textId="77777777" w:rsidTr="00C96521">
        <w:trPr>
          <w:tblHeader/>
        </w:trPr>
        <w:tc>
          <w:tcPr>
            <w:tcW w:w="874" w:type="pct"/>
            <w:shd w:val="clear" w:color="auto" w:fill="D9D9D9"/>
          </w:tcPr>
          <w:p w14:paraId="1B3CABB6" w14:textId="77777777" w:rsidR="00C96521" w:rsidRPr="00B70B7A" w:rsidRDefault="00C96521" w:rsidP="00C96521">
            <w:pPr>
              <w:widowControl/>
              <w:autoSpaceDE/>
              <w:autoSpaceDN/>
              <w:adjustRightInd/>
              <w:rPr>
                <w:rFonts w:ascii="Arial" w:hAnsi="Arial" w:cs="Arial"/>
                <w:b/>
                <w:sz w:val="20"/>
                <w:szCs w:val="20"/>
                <w:lang w:val="en-GB"/>
              </w:rPr>
            </w:pPr>
            <w:r w:rsidRPr="00B70B7A">
              <w:rPr>
                <w:rFonts w:ascii="Arial" w:hAnsi="Arial" w:cs="Arial"/>
                <w:b/>
                <w:sz w:val="20"/>
                <w:szCs w:val="20"/>
                <w:lang w:val="en-GB"/>
              </w:rPr>
              <w:t>Country</w:t>
            </w:r>
          </w:p>
        </w:tc>
        <w:tc>
          <w:tcPr>
            <w:tcW w:w="605" w:type="pct"/>
            <w:shd w:val="clear" w:color="auto" w:fill="D9D9D9"/>
          </w:tcPr>
          <w:p w14:paraId="0194160D" w14:textId="77777777" w:rsidR="00C96521" w:rsidRPr="00B70B7A" w:rsidRDefault="00C96521" w:rsidP="00C96521">
            <w:pPr>
              <w:widowControl/>
              <w:autoSpaceDE/>
              <w:autoSpaceDN/>
              <w:adjustRightInd/>
              <w:rPr>
                <w:rFonts w:ascii="Arial" w:hAnsi="Arial" w:cs="Arial"/>
                <w:b/>
                <w:sz w:val="20"/>
                <w:szCs w:val="20"/>
                <w:lang w:val="en-GB"/>
              </w:rPr>
            </w:pPr>
            <w:r w:rsidRPr="00B70B7A">
              <w:rPr>
                <w:rFonts w:ascii="Arial" w:hAnsi="Arial" w:cs="Arial"/>
                <w:b/>
                <w:sz w:val="20"/>
                <w:szCs w:val="20"/>
                <w:lang w:val="en-GB"/>
              </w:rPr>
              <w:t>Birds bagged</w:t>
            </w:r>
          </w:p>
        </w:tc>
        <w:tc>
          <w:tcPr>
            <w:tcW w:w="3521" w:type="pct"/>
            <w:shd w:val="clear" w:color="auto" w:fill="D9D9D9"/>
          </w:tcPr>
          <w:p w14:paraId="291E954A" w14:textId="77777777" w:rsidR="00C96521" w:rsidRPr="00965D7D" w:rsidRDefault="00C96521" w:rsidP="00C96521">
            <w:pPr>
              <w:widowControl/>
              <w:autoSpaceDE/>
              <w:autoSpaceDN/>
              <w:adjustRightInd/>
              <w:rPr>
                <w:rFonts w:ascii="Arial" w:hAnsi="Arial" w:cs="Arial"/>
                <w:b/>
                <w:sz w:val="20"/>
                <w:szCs w:val="20"/>
                <w:lang w:val="en-GB"/>
              </w:rPr>
            </w:pPr>
            <w:r w:rsidRPr="00965D7D">
              <w:rPr>
                <w:rFonts w:ascii="Arial" w:hAnsi="Arial" w:cs="Arial"/>
                <w:b/>
                <w:sz w:val="20"/>
                <w:szCs w:val="20"/>
                <w:lang w:val="en-GB"/>
              </w:rPr>
              <w:t>Protection/hunting details</w:t>
            </w:r>
          </w:p>
        </w:tc>
      </w:tr>
      <w:tr w:rsidR="00C96521" w:rsidRPr="00965D7D" w14:paraId="6FBD80EC" w14:textId="77777777" w:rsidTr="00C96521">
        <w:tc>
          <w:tcPr>
            <w:tcW w:w="874" w:type="pct"/>
            <w:shd w:val="clear" w:color="auto" w:fill="auto"/>
          </w:tcPr>
          <w:p w14:paraId="066DDB2E"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Albania</w:t>
            </w:r>
          </w:p>
        </w:tc>
        <w:tc>
          <w:tcPr>
            <w:tcW w:w="605" w:type="pct"/>
            <w:shd w:val="clear" w:color="auto" w:fill="auto"/>
          </w:tcPr>
          <w:p w14:paraId="3F7E2C65" w14:textId="77777777" w:rsidR="00C96521" w:rsidRPr="00965D7D" w:rsidRDefault="00C96521" w:rsidP="00C96521">
            <w:pPr>
              <w:widowControl/>
              <w:autoSpaceDE/>
              <w:autoSpaceDN/>
              <w:adjustRightInd/>
              <w:rPr>
                <w:rFonts w:ascii="Arial" w:hAnsi="Arial" w:cs="Arial"/>
                <w:sz w:val="20"/>
                <w:szCs w:val="20"/>
                <w:lang w:val="en-GB"/>
              </w:rPr>
            </w:pPr>
          </w:p>
        </w:tc>
        <w:tc>
          <w:tcPr>
            <w:tcW w:w="3521" w:type="pct"/>
          </w:tcPr>
          <w:p w14:paraId="6679F51F" w14:textId="77777777" w:rsidR="00C96521" w:rsidRPr="00965D7D" w:rsidRDefault="00C96521" w:rsidP="00C96521">
            <w:pPr>
              <w:widowControl/>
              <w:autoSpaceDE/>
              <w:autoSpaceDN/>
              <w:adjustRightInd/>
              <w:rPr>
                <w:rFonts w:ascii="Arial" w:hAnsi="Arial" w:cs="Arial"/>
                <w:sz w:val="20"/>
                <w:szCs w:val="20"/>
                <w:lang w:val="en-GB"/>
              </w:rPr>
            </w:pPr>
            <w:r w:rsidRPr="00965D7D">
              <w:rPr>
                <w:rFonts w:ascii="Arial" w:hAnsi="Arial" w:cs="Arial"/>
                <w:color w:val="000000"/>
                <w:sz w:val="20"/>
                <w:szCs w:val="20"/>
                <w:lang w:val="en-GB"/>
              </w:rPr>
              <w:t xml:space="preserve">Complete ban (Brochet </w:t>
            </w:r>
            <w:r w:rsidRPr="00965D7D">
              <w:rPr>
                <w:rFonts w:ascii="Arial" w:hAnsi="Arial" w:cs="Arial"/>
                <w:i/>
                <w:color w:val="000000"/>
                <w:sz w:val="20"/>
                <w:szCs w:val="20"/>
                <w:lang w:val="en-GB"/>
              </w:rPr>
              <w:t>et al</w:t>
            </w:r>
            <w:r w:rsidRPr="00965D7D">
              <w:rPr>
                <w:rFonts w:ascii="Arial" w:hAnsi="Arial" w:cs="Arial"/>
                <w:color w:val="000000"/>
                <w:sz w:val="20"/>
                <w:szCs w:val="20"/>
                <w:lang w:val="en-GB"/>
              </w:rPr>
              <w:t xml:space="preserve"> 2016, Birdlife International 2014a).</w:t>
            </w:r>
          </w:p>
        </w:tc>
      </w:tr>
      <w:tr w:rsidR="00C96521" w:rsidRPr="008C00B8" w14:paraId="500404E0" w14:textId="77777777" w:rsidTr="00C96521">
        <w:tc>
          <w:tcPr>
            <w:tcW w:w="874" w:type="pct"/>
            <w:shd w:val="clear" w:color="auto" w:fill="auto"/>
          </w:tcPr>
          <w:p w14:paraId="5407D5B2"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Algeria</w:t>
            </w:r>
          </w:p>
        </w:tc>
        <w:tc>
          <w:tcPr>
            <w:tcW w:w="605" w:type="pct"/>
            <w:shd w:val="clear" w:color="auto" w:fill="auto"/>
          </w:tcPr>
          <w:p w14:paraId="4B9DE029"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02AD5E37" w14:textId="77777777" w:rsidR="00C96521" w:rsidRPr="00B70B7A" w:rsidRDefault="00C96521" w:rsidP="00C96521">
            <w:pPr>
              <w:widowControl/>
              <w:autoSpaceDE/>
              <w:autoSpaceDN/>
              <w:adjustRightInd/>
              <w:rPr>
                <w:rFonts w:ascii="Arial" w:hAnsi="Arial" w:cs="Arial"/>
                <w:color w:val="000000"/>
                <w:sz w:val="20"/>
                <w:szCs w:val="20"/>
                <w:lang w:val="fr-FR"/>
              </w:rPr>
            </w:pPr>
            <w:r w:rsidRPr="00B70B7A">
              <w:rPr>
                <w:rFonts w:ascii="Arial" w:hAnsi="Arial" w:cs="Arial"/>
                <w:color w:val="000000"/>
                <w:sz w:val="20"/>
                <w:szCs w:val="20"/>
                <w:lang w:val="fr-FR"/>
              </w:rPr>
              <w:t xml:space="preserve">Complete ban (Brochet </w:t>
            </w:r>
            <w:r w:rsidRPr="00B70B7A">
              <w:rPr>
                <w:rFonts w:ascii="Arial" w:hAnsi="Arial" w:cs="Arial"/>
                <w:i/>
                <w:color w:val="000000"/>
                <w:sz w:val="20"/>
                <w:szCs w:val="20"/>
                <w:lang w:val="fr-FR"/>
              </w:rPr>
              <w:t>et al</w:t>
            </w:r>
            <w:r w:rsidRPr="00B70B7A">
              <w:rPr>
                <w:rFonts w:ascii="Arial" w:hAnsi="Arial" w:cs="Arial"/>
                <w:color w:val="000000"/>
                <w:sz w:val="20"/>
                <w:szCs w:val="20"/>
                <w:lang w:val="fr-FR"/>
              </w:rPr>
              <w:t xml:space="preserve"> 2016).</w:t>
            </w:r>
          </w:p>
        </w:tc>
      </w:tr>
      <w:tr w:rsidR="00C96521" w:rsidRPr="00B70B7A" w14:paraId="6A58F5C5" w14:textId="77777777" w:rsidTr="00C96521">
        <w:tc>
          <w:tcPr>
            <w:tcW w:w="874" w:type="pct"/>
            <w:shd w:val="clear" w:color="auto" w:fill="auto"/>
          </w:tcPr>
          <w:p w14:paraId="453BD540"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Austria</w:t>
            </w:r>
          </w:p>
          <w:p w14:paraId="2370DADC" w14:textId="77777777" w:rsidR="00C96521" w:rsidRPr="00B70B7A" w:rsidRDefault="00C96521" w:rsidP="00C96521">
            <w:pPr>
              <w:widowControl/>
              <w:autoSpaceDE/>
              <w:autoSpaceDN/>
              <w:adjustRightInd/>
              <w:rPr>
                <w:rFonts w:ascii="Arial" w:hAnsi="Arial" w:cs="Arial"/>
                <w:sz w:val="20"/>
                <w:szCs w:val="20"/>
                <w:lang w:val="en-GB"/>
              </w:rPr>
            </w:pPr>
          </w:p>
        </w:tc>
        <w:tc>
          <w:tcPr>
            <w:tcW w:w="605" w:type="pct"/>
            <w:shd w:val="clear" w:color="auto" w:fill="auto"/>
          </w:tcPr>
          <w:p w14:paraId="3B88DEE6"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sz w:val="20"/>
                <w:szCs w:val="20"/>
                <w:lang w:val="en-GB"/>
              </w:rPr>
              <w:t xml:space="preserve">&lt;7,800 </w:t>
            </w:r>
            <w:r w:rsidRPr="00B70B7A">
              <w:rPr>
                <w:rFonts w:ascii="Arial" w:hAnsi="Arial" w:cs="Arial"/>
                <w:i/>
                <w:sz w:val="20"/>
                <w:szCs w:val="20"/>
                <w:lang w:val="en-GB"/>
              </w:rPr>
              <w:t>annually</w:t>
            </w:r>
          </w:p>
        </w:tc>
        <w:tc>
          <w:tcPr>
            <w:tcW w:w="3521" w:type="pct"/>
          </w:tcPr>
          <w:p w14:paraId="0CDBE125" w14:textId="42F07DE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 xml:space="preserve">Covered by EU Birds Directive. Seasons differ between regions: </w:t>
            </w:r>
            <w:r w:rsidRPr="00B70B7A">
              <w:rPr>
                <w:rFonts w:ascii="Arial" w:hAnsi="Arial" w:cs="Arial"/>
                <w:sz w:val="20"/>
                <w:szCs w:val="20"/>
                <w:lang w:val="en-GB"/>
              </w:rPr>
              <w:t xml:space="preserve">31 Jul to 31 Oct Burgenland, 15 Sep to 31 Jan </w:t>
            </w:r>
            <w:r w:rsidR="00B70B7A" w:rsidRPr="00B70B7A">
              <w:rPr>
                <w:rFonts w:ascii="Arial" w:hAnsi="Arial" w:cs="Arial"/>
                <w:sz w:val="20"/>
                <w:szCs w:val="20"/>
                <w:lang w:val="en-GB"/>
              </w:rPr>
              <w:t>Lower Austria</w:t>
            </w:r>
            <w:r w:rsidRPr="00B70B7A">
              <w:rPr>
                <w:rFonts w:ascii="Arial" w:hAnsi="Arial" w:cs="Arial"/>
                <w:sz w:val="20"/>
                <w:szCs w:val="20"/>
                <w:lang w:val="en-GB"/>
              </w:rPr>
              <w:t xml:space="preserve">, 1 Sep to 10Apr </w:t>
            </w:r>
            <w:r w:rsidR="00B70B7A" w:rsidRPr="00B70B7A">
              <w:rPr>
                <w:rFonts w:ascii="Arial" w:hAnsi="Arial" w:cs="Arial"/>
                <w:sz w:val="20"/>
                <w:szCs w:val="20"/>
                <w:lang w:val="en-GB"/>
              </w:rPr>
              <w:t>Vienna</w:t>
            </w:r>
            <w:r w:rsidRPr="00B70B7A">
              <w:rPr>
                <w:rFonts w:ascii="Arial" w:hAnsi="Arial" w:cs="Arial"/>
                <w:sz w:val="20"/>
                <w:szCs w:val="20"/>
                <w:lang w:val="en-GB"/>
              </w:rPr>
              <w:t xml:space="preserve"> </w:t>
            </w:r>
            <w:r w:rsidRPr="00B70B7A">
              <w:rPr>
                <w:rFonts w:ascii="Arial" w:hAnsi="Arial" w:cs="Arial"/>
                <w:color w:val="000000"/>
                <w:sz w:val="20"/>
                <w:szCs w:val="20"/>
                <w:lang w:val="en-GB"/>
              </w:rPr>
              <w:t>Burgenland and Lower Austria hold about 95% of the national turtle-dove population.  (</w:t>
            </w:r>
            <w:r w:rsidRPr="00B70B7A">
              <w:rPr>
                <w:rFonts w:ascii="Arial" w:hAnsi="Arial" w:cs="Arial"/>
                <w:sz w:val="20"/>
                <w:szCs w:val="20"/>
                <w:lang w:val="en-GB" w:eastAsia="en-GB"/>
              </w:rPr>
              <w:t xml:space="preserve">Zentralstelle Österreichischer Landesjagdverbände </w:t>
            </w:r>
            <w:r w:rsidRPr="00B70B7A">
              <w:rPr>
                <w:rFonts w:ascii="Arial" w:hAnsi="Arial" w:cs="Arial"/>
                <w:i/>
                <w:sz w:val="20"/>
                <w:szCs w:val="20"/>
                <w:lang w:val="en-GB" w:eastAsia="en-GB"/>
              </w:rPr>
              <w:t>pers comm</w:t>
            </w:r>
            <w:r w:rsidRPr="00B70B7A">
              <w:rPr>
                <w:rFonts w:ascii="Arial" w:hAnsi="Arial" w:cs="Arial"/>
                <w:sz w:val="20"/>
                <w:szCs w:val="20"/>
                <w:lang w:val="en-GB" w:eastAsia="en-GB"/>
              </w:rPr>
              <w:t>).</w:t>
            </w:r>
          </w:p>
        </w:tc>
      </w:tr>
      <w:tr w:rsidR="00C96521" w:rsidRPr="00B70B7A" w14:paraId="1BB36A2B" w14:textId="77777777" w:rsidTr="00C96521">
        <w:tc>
          <w:tcPr>
            <w:tcW w:w="874" w:type="pct"/>
            <w:shd w:val="clear" w:color="auto" w:fill="auto"/>
          </w:tcPr>
          <w:p w14:paraId="71D982A5"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Azerbaijan</w:t>
            </w:r>
          </w:p>
        </w:tc>
        <w:tc>
          <w:tcPr>
            <w:tcW w:w="605" w:type="pct"/>
            <w:shd w:val="clear" w:color="auto" w:fill="auto"/>
          </w:tcPr>
          <w:p w14:paraId="4075EC5A"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06F90EA4"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No regulation.</w:t>
            </w:r>
          </w:p>
        </w:tc>
      </w:tr>
      <w:tr w:rsidR="00C96521" w:rsidRPr="00B70B7A" w14:paraId="68E722B3" w14:textId="77777777" w:rsidTr="00C96521">
        <w:tc>
          <w:tcPr>
            <w:tcW w:w="874" w:type="pct"/>
            <w:shd w:val="clear" w:color="auto" w:fill="auto"/>
          </w:tcPr>
          <w:p w14:paraId="4CFCBD20"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Belarus</w:t>
            </w:r>
          </w:p>
        </w:tc>
        <w:tc>
          <w:tcPr>
            <w:tcW w:w="605" w:type="pct"/>
            <w:shd w:val="clear" w:color="auto" w:fill="auto"/>
          </w:tcPr>
          <w:p w14:paraId="16F055BC"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1D15D05C"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Protected from killing.</w:t>
            </w:r>
          </w:p>
        </w:tc>
      </w:tr>
      <w:tr w:rsidR="00C96521" w:rsidRPr="00B70B7A" w14:paraId="63BB30D9" w14:textId="77777777" w:rsidTr="00C96521">
        <w:tc>
          <w:tcPr>
            <w:tcW w:w="874" w:type="pct"/>
            <w:shd w:val="clear" w:color="auto" w:fill="auto"/>
          </w:tcPr>
          <w:p w14:paraId="062B1F99"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Belgium</w:t>
            </w:r>
          </w:p>
        </w:tc>
        <w:tc>
          <w:tcPr>
            <w:tcW w:w="605" w:type="pct"/>
            <w:shd w:val="clear" w:color="auto" w:fill="auto"/>
          </w:tcPr>
          <w:p w14:paraId="3F67D9A5"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0E15571A"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Covered by EU Birds Directive. No hunting.</w:t>
            </w:r>
          </w:p>
        </w:tc>
      </w:tr>
      <w:tr w:rsidR="00C96521" w:rsidRPr="00B70B7A" w14:paraId="61CB283D" w14:textId="77777777" w:rsidTr="00C96521">
        <w:tc>
          <w:tcPr>
            <w:tcW w:w="874" w:type="pct"/>
            <w:shd w:val="clear" w:color="auto" w:fill="auto"/>
          </w:tcPr>
          <w:p w14:paraId="1F4DDBB6"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Bosnia and Herzegovina</w:t>
            </w:r>
          </w:p>
        </w:tc>
        <w:tc>
          <w:tcPr>
            <w:tcW w:w="605" w:type="pct"/>
            <w:shd w:val="clear" w:color="auto" w:fill="auto"/>
          </w:tcPr>
          <w:p w14:paraId="08F297A8"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5DB0C6E5" w14:textId="19F20411"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Federation of Bosnia and Herzegovina season from 1 Aug to 31 Dec, and Republika Srpska 1 Aug to 31 Jan (BirdLife International 2014b).</w:t>
            </w:r>
          </w:p>
        </w:tc>
      </w:tr>
      <w:tr w:rsidR="00C96521" w:rsidRPr="00B70B7A" w14:paraId="54C0BE22" w14:textId="77777777" w:rsidTr="00C96521">
        <w:tc>
          <w:tcPr>
            <w:tcW w:w="874" w:type="pct"/>
            <w:shd w:val="clear" w:color="auto" w:fill="auto"/>
          </w:tcPr>
          <w:p w14:paraId="49D39F53"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Bulgaria</w:t>
            </w:r>
          </w:p>
        </w:tc>
        <w:tc>
          <w:tcPr>
            <w:tcW w:w="605" w:type="pct"/>
            <w:shd w:val="clear" w:color="auto" w:fill="auto"/>
          </w:tcPr>
          <w:p w14:paraId="569413F5" w14:textId="77777777" w:rsidR="00C96521" w:rsidRPr="00B70B7A" w:rsidRDefault="00C96521" w:rsidP="00C96521">
            <w:pPr>
              <w:widowControl/>
              <w:autoSpaceDE/>
              <w:autoSpaceDN/>
              <w:adjustRightInd/>
              <w:jc w:val="both"/>
              <w:rPr>
                <w:rFonts w:ascii="Arial" w:hAnsi="Arial" w:cs="Arial"/>
                <w:i/>
                <w:sz w:val="20"/>
                <w:szCs w:val="20"/>
                <w:lang w:val="en-GB"/>
              </w:rPr>
            </w:pPr>
            <w:r w:rsidRPr="00B70B7A">
              <w:rPr>
                <w:rFonts w:ascii="Arial" w:hAnsi="Arial" w:cs="Arial"/>
                <w:sz w:val="20"/>
                <w:szCs w:val="20"/>
                <w:lang w:val="en-GB"/>
              </w:rPr>
              <w:t xml:space="preserve">145,672 </w:t>
            </w:r>
            <w:r w:rsidRPr="00B70B7A">
              <w:rPr>
                <w:rFonts w:ascii="Arial" w:hAnsi="Arial" w:cs="Arial"/>
                <w:i/>
                <w:sz w:val="20"/>
                <w:szCs w:val="20"/>
                <w:lang w:val="en-GB"/>
              </w:rPr>
              <w:t>2014-15</w:t>
            </w:r>
          </w:p>
        </w:tc>
        <w:tc>
          <w:tcPr>
            <w:tcW w:w="3521" w:type="pct"/>
          </w:tcPr>
          <w:p w14:paraId="09CE91EC" w14:textId="3A856C98"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Covered by EU Birds Directive. Second Saturday in Aug to 30 Nov; daily limit of 10 per Bulgarian hunter, and 30 for organi</w:t>
            </w:r>
            <w:r w:rsidR="000C4731" w:rsidRPr="00B70B7A">
              <w:rPr>
                <w:rFonts w:ascii="Arial" w:hAnsi="Arial" w:cs="Arial"/>
                <w:color w:val="000000"/>
                <w:sz w:val="20"/>
                <w:szCs w:val="20"/>
                <w:lang w:val="en-GB"/>
              </w:rPr>
              <w:t>z</w:t>
            </w:r>
            <w:r w:rsidRPr="00B70B7A">
              <w:rPr>
                <w:rFonts w:ascii="Arial" w:hAnsi="Arial" w:cs="Arial"/>
                <w:color w:val="000000"/>
                <w:sz w:val="20"/>
                <w:szCs w:val="20"/>
                <w:lang w:val="en-GB"/>
              </w:rPr>
              <w:t>ed hunting tourism. Hunting statistics are collected by the Executive Forest Agency. (</w:t>
            </w:r>
            <w:r w:rsidRPr="00B70B7A">
              <w:rPr>
                <w:rFonts w:ascii="Arial" w:hAnsi="Arial" w:cs="Arial"/>
                <w:sz w:val="20"/>
                <w:szCs w:val="20"/>
                <w:lang w:val="en-GB"/>
              </w:rPr>
              <w:t xml:space="preserve">Union of Hunters and Anglers of Bulgaria </w:t>
            </w:r>
            <w:r w:rsidRPr="00B70B7A">
              <w:rPr>
                <w:rFonts w:ascii="Arial" w:hAnsi="Arial" w:cs="Arial"/>
                <w:i/>
                <w:sz w:val="20"/>
                <w:szCs w:val="20"/>
                <w:lang w:val="en-GB"/>
              </w:rPr>
              <w:t>pers comm</w:t>
            </w:r>
            <w:r w:rsidRPr="00B70B7A">
              <w:rPr>
                <w:rFonts w:ascii="Arial" w:hAnsi="Arial" w:cs="Arial"/>
                <w:sz w:val="20"/>
                <w:szCs w:val="20"/>
                <w:lang w:val="en-GB"/>
              </w:rPr>
              <w:t>).</w:t>
            </w:r>
          </w:p>
        </w:tc>
      </w:tr>
      <w:tr w:rsidR="00C96521" w:rsidRPr="00B70B7A" w14:paraId="495686E1" w14:textId="77777777" w:rsidTr="00C96521">
        <w:tc>
          <w:tcPr>
            <w:tcW w:w="874" w:type="pct"/>
            <w:shd w:val="clear" w:color="auto" w:fill="auto"/>
          </w:tcPr>
          <w:p w14:paraId="014B0F6C"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Croatia</w:t>
            </w:r>
          </w:p>
        </w:tc>
        <w:tc>
          <w:tcPr>
            <w:tcW w:w="605" w:type="pct"/>
            <w:shd w:val="clear" w:color="auto" w:fill="auto"/>
          </w:tcPr>
          <w:p w14:paraId="379B5962"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5DC0D274"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 hunting.</w:t>
            </w:r>
          </w:p>
        </w:tc>
      </w:tr>
      <w:tr w:rsidR="00C96521" w:rsidRPr="00B70B7A" w14:paraId="469DBB26" w14:textId="77777777" w:rsidTr="00C96521">
        <w:tc>
          <w:tcPr>
            <w:tcW w:w="874" w:type="pct"/>
            <w:shd w:val="clear" w:color="auto" w:fill="auto"/>
          </w:tcPr>
          <w:p w14:paraId="17813E4E"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Cyprus</w:t>
            </w:r>
          </w:p>
        </w:tc>
        <w:tc>
          <w:tcPr>
            <w:tcW w:w="605" w:type="pct"/>
            <w:shd w:val="clear" w:color="auto" w:fill="auto"/>
          </w:tcPr>
          <w:p w14:paraId="544004A3"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Cs/>
                <w:color w:val="000000"/>
                <w:sz w:val="20"/>
                <w:szCs w:val="20"/>
                <w:lang w:val="en-GB"/>
              </w:rPr>
              <w:t xml:space="preserve">44,578 </w:t>
            </w:r>
            <w:r w:rsidRPr="00B70B7A">
              <w:rPr>
                <w:rFonts w:ascii="Arial" w:hAnsi="Arial" w:cs="Arial"/>
                <w:i/>
                <w:iCs/>
                <w:color w:val="000000"/>
                <w:sz w:val="20"/>
                <w:szCs w:val="20"/>
                <w:lang w:val="en-GB"/>
              </w:rPr>
              <w:t>2010-11</w:t>
            </w:r>
          </w:p>
          <w:p w14:paraId="36FEB3F0"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Cs/>
                <w:color w:val="000000"/>
                <w:sz w:val="20"/>
                <w:szCs w:val="20"/>
                <w:lang w:val="en-GB"/>
              </w:rPr>
              <w:t xml:space="preserve">55,571 </w:t>
            </w:r>
            <w:r w:rsidRPr="00B70B7A">
              <w:rPr>
                <w:rFonts w:ascii="Arial" w:hAnsi="Arial" w:cs="Arial"/>
                <w:i/>
                <w:iCs/>
                <w:color w:val="000000"/>
                <w:sz w:val="20"/>
                <w:szCs w:val="20"/>
                <w:lang w:val="en-GB"/>
              </w:rPr>
              <w:t>2012-13</w:t>
            </w:r>
          </w:p>
          <w:p w14:paraId="6449C60B"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Cs/>
                <w:color w:val="000000"/>
                <w:sz w:val="20"/>
                <w:szCs w:val="20"/>
                <w:lang w:val="en-GB"/>
              </w:rPr>
              <w:t xml:space="preserve">67,141 </w:t>
            </w:r>
            <w:r w:rsidRPr="00B70B7A">
              <w:rPr>
                <w:rFonts w:ascii="Arial" w:hAnsi="Arial" w:cs="Arial"/>
                <w:i/>
                <w:iCs/>
                <w:color w:val="000000"/>
                <w:sz w:val="20"/>
                <w:szCs w:val="20"/>
                <w:lang w:val="en-GB"/>
              </w:rPr>
              <w:t>2014-15</w:t>
            </w:r>
          </w:p>
          <w:p w14:paraId="7D3F7540"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Cs/>
                <w:color w:val="000000"/>
                <w:sz w:val="20"/>
                <w:szCs w:val="20"/>
                <w:lang w:val="en-GB"/>
              </w:rPr>
              <w:t xml:space="preserve">20,215 </w:t>
            </w:r>
            <w:r w:rsidRPr="00B70B7A">
              <w:rPr>
                <w:rFonts w:ascii="Arial" w:hAnsi="Arial" w:cs="Arial"/>
                <w:i/>
                <w:iCs/>
                <w:color w:val="000000"/>
                <w:sz w:val="20"/>
                <w:szCs w:val="20"/>
                <w:lang w:val="en-GB"/>
              </w:rPr>
              <w:t>2015-16</w:t>
            </w:r>
          </w:p>
        </w:tc>
        <w:tc>
          <w:tcPr>
            <w:tcW w:w="3521" w:type="pct"/>
          </w:tcPr>
          <w:p w14:paraId="06820F9D"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Covered by EU Birds Directive. </w:t>
            </w:r>
            <w:r w:rsidRPr="00B70B7A">
              <w:rPr>
                <w:rFonts w:ascii="Arial" w:hAnsi="Arial" w:cs="Arial"/>
                <w:iCs/>
                <w:color w:val="000000"/>
                <w:sz w:val="20"/>
                <w:szCs w:val="20"/>
                <w:lang w:val="en-GB"/>
              </w:rPr>
              <w:t>Sundays and Wednesdays only from mid-Aug to early Nov; in some areas (mainly coastal, where migrant birds are located) daily hunting is allowed during this period (</w:t>
            </w:r>
            <w:r w:rsidRPr="00B70B7A">
              <w:rPr>
                <w:rFonts w:ascii="Arial" w:hAnsi="Arial" w:cs="Arial"/>
                <w:sz w:val="20"/>
                <w:szCs w:val="20"/>
                <w:lang w:val="en-GB"/>
              </w:rPr>
              <w:t xml:space="preserve">BirdLife Cyprus </w:t>
            </w:r>
            <w:r w:rsidRPr="00B70B7A">
              <w:rPr>
                <w:rFonts w:ascii="Arial" w:hAnsi="Arial" w:cs="Arial"/>
                <w:i/>
                <w:sz w:val="20"/>
                <w:szCs w:val="20"/>
                <w:lang w:val="en-GB"/>
              </w:rPr>
              <w:t>pers comm</w:t>
            </w:r>
            <w:r w:rsidRPr="00B70B7A">
              <w:rPr>
                <w:rFonts w:ascii="Arial" w:hAnsi="Arial" w:cs="Arial"/>
                <w:sz w:val="20"/>
                <w:szCs w:val="20"/>
                <w:lang w:val="en-GB"/>
              </w:rPr>
              <w:t>, Game and Fauna Service 2016).</w:t>
            </w:r>
          </w:p>
        </w:tc>
      </w:tr>
      <w:tr w:rsidR="00C96521" w:rsidRPr="00B70B7A" w14:paraId="2817C8CE" w14:textId="77777777" w:rsidTr="00C96521">
        <w:tc>
          <w:tcPr>
            <w:tcW w:w="874" w:type="pct"/>
            <w:shd w:val="clear" w:color="auto" w:fill="auto"/>
          </w:tcPr>
          <w:p w14:paraId="2C2174BA"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Czech Republic</w:t>
            </w:r>
          </w:p>
        </w:tc>
        <w:tc>
          <w:tcPr>
            <w:tcW w:w="605" w:type="pct"/>
            <w:shd w:val="clear" w:color="auto" w:fill="auto"/>
          </w:tcPr>
          <w:p w14:paraId="1A87C7D5"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6609FC0F"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Covered by EU Birds Directive. No hunting.</w:t>
            </w:r>
          </w:p>
        </w:tc>
      </w:tr>
      <w:tr w:rsidR="00C96521" w:rsidRPr="00B70B7A" w14:paraId="6331CB04" w14:textId="77777777" w:rsidTr="00C96521">
        <w:tc>
          <w:tcPr>
            <w:tcW w:w="874" w:type="pct"/>
            <w:shd w:val="clear" w:color="auto" w:fill="auto"/>
          </w:tcPr>
          <w:p w14:paraId="337F5C41"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Denmark</w:t>
            </w:r>
          </w:p>
        </w:tc>
        <w:tc>
          <w:tcPr>
            <w:tcW w:w="605" w:type="pct"/>
            <w:shd w:val="clear" w:color="auto" w:fill="auto"/>
          </w:tcPr>
          <w:p w14:paraId="38030627"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670FC628" w14:textId="52C761CC"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Covered by EU Birds Directive. Hunting of </w:t>
            </w:r>
            <w:r w:rsidR="000C4731" w:rsidRPr="00B70B7A">
              <w:rPr>
                <w:rFonts w:ascii="Arial" w:hAnsi="Arial" w:cs="Arial"/>
                <w:sz w:val="20"/>
                <w:szCs w:val="20"/>
                <w:lang w:val="en-GB"/>
              </w:rPr>
              <w:t>Turtle Doves</w:t>
            </w:r>
            <w:r w:rsidRPr="00B70B7A">
              <w:rPr>
                <w:rFonts w:ascii="Arial" w:hAnsi="Arial" w:cs="Arial"/>
                <w:sz w:val="20"/>
                <w:szCs w:val="20"/>
                <w:lang w:val="en-GB"/>
              </w:rPr>
              <w:t xml:space="preserve"> is illegal in Denmark, and the </w:t>
            </w:r>
            <w:r w:rsidR="000C4731" w:rsidRPr="00B70B7A">
              <w:rPr>
                <w:rFonts w:ascii="Arial" w:hAnsi="Arial" w:cs="Arial"/>
                <w:sz w:val="20"/>
                <w:szCs w:val="20"/>
                <w:lang w:val="en-GB"/>
              </w:rPr>
              <w:t>C</w:t>
            </w:r>
            <w:r w:rsidRPr="00B70B7A">
              <w:rPr>
                <w:rFonts w:ascii="Arial" w:hAnsi="Arial" w:cs="Arial"/>
                <w:sz w:val="20"/>
                <w:szCs w:val="20"/>
                <w:lang w:val="en-GB"/>
              </w:rPr>
              <w:t>ollared</w:t>
            </w:r>
            <w:r w:rsidR="000C4731" w:rsidRPr="00B70B7A">
              <w:rPr>
                <w:rFonts w:ascii="Arial" w:hAnsi="Arial" w:cs="Arial"/>
                <w:sz w:val="20"/>
                <w:szCs w:val="20"/>
                <w:lang w:val="en-GB"/>
              </w:rPr>
              <w:t xml:space="preserve"> D</w:t>
            </w:r>
            <w:r w:rsidRPr="00B70B7A">
              <w:rPr>
                <w:rFonts w:ascii="Arial" w:hAnsi="Arial" w:cs="Arial"/>
                <w:sz w:val="20"/>
                <w:szCs w:val="20"/>
                <w:lang w:val="en-GB"/>
              </w:rPr>
              <w:t xml:space="preserve">ove season now takes place from 1 Nov to 31 Dec to ensure that there are no cases of misidentification of the species (J Elts </w:t>
            </w:r>
            <w:r w:rsidRPr="00B70B7A">
              <w:rPr>
                <w:rFonts w:ascii="Arial" w:hAnsi="Arial" w:cs="Arial"/>
                <w:i/>
                <w:sz w:val="20"/>
                <w:szCs w:val="20"/>
                <w:lang w:val="en-GB"/>
              </w:rPr>
              <w:t>pers comm</w:t>
            </w:r>
            <w:r w:rsidRPr="00B70B7A">
              <w:rPr>
                <w:rFonts w:ascii="Arial" w:hAnsi="Arial" w:cs="Arial"/>
                <w:sz w:val="20"/>
                <w:szCs w:val="20"/>
                <w:lang w:val="en-GB"/>
              </w:rPr>
              <w:t>).</w:t>
            </w:r>
          </w:p>
        </w:tc>
      </w:tr>
      <w:tr w:rsidR="00C96521" w:rsidRPr="00B70B7A" w14:paraId="211BA423" w14:textId="77777777" w:rsidTr="00C96521">
        <w:tc>
          <w:tcPr>
            <w:tcW w:w="874" w:type="pct"/>
            <w:shd w:val="clear" w:color="auto" w:fill="auto"/>
          </w:tcPr>
          <w:p w14:paraId="0846342B"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Egypt</w:t>
            </w:r>
          </w:p>
        </w:tc>
        <w:tc>
          <w:tcPr>
            <w:tcW w:w="605" w:type="pct"/>
            <w:shd w:val="clear" w:color="auto" w:fill="auto"/>
          </w:tcPr>
          <w:p w14:paraId="084C15B0"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69E8C006" w14:textId="38032B18"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2014/2015 season 15 Nov to 31 Mar (BirdLife International 2014c).</w:t>
            </w:r>
          </w:p>
        </w:tc>
      </w:tr>
      <w:tr w:rsidR="00C96521" w:rsidRPr="00B70B7A" w14:paraId="2E3F55A3" w14:textId="77777777" w:rsidTr="00C96521">
        <w:tc>
          <w:tcPr>
            <w:tcW w:w="874" w:type="pct"/>
            <w:shd w:val="clear" w:color="auto" w:fill="auto"/>
          </w:tcPr>
          <w:p w14:paraId="3C749327"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Estonia</w:t>
            </w:r>
          </w:p>
        </w:tc>
        <w:tc>
          <w:tcPr>
            <w:tcW w:w="605" w:type="pct"/>
            <w:shd w:val="clear" w:color="auto" w:fill="auto"/>
          </w:tcPr>
          <w:p w14:paraId="5F3E2119"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6D88A56E"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sz w:val="20"/>
                <w:szCs w:val="20"/>
                <w:lang w:val="en-GB"/>
              </w:rPr>
              <w:t>Covered by EU Birds Directive. No hunting.</w:t>
            </w:r>
          </w:p>
        </w:tc>
      </w:tr>
      <w:tr w:rsidR="00C96521" w:rsidRPr="00B70B7A" w14:paraId="734C7A66" w14:textId="77777777" w:rsidTr="00C96521">
        <w:tc>
          <w:tcPr>
            <w:tcW w:w="874" w:type="pct"/>
            <w:shd w:val="clear" w:color="auto" w:fill="auto"/>
          </w:tcPr>
          <w:p w14:paraId="4EC51E9D"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Finland</w:t>
            </w:r>
          </w:p>
        </w:tc>
        <w:tc>
          <w:tcPr>
            <w:tcW w:w="605" w:type="pct"/>
            <w:shd w:val="clear" w:color="auto" w:fill="auto"/>
          </w:tcPr>
          <w:p w14:paraId="7B34430D"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1EFD37A5"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Covered by EU Birds Directive. No hunting.</w:t>
            </w:r>
          </w:p>
        </w:tc>
      </w:tr>
      <w:tr w:rsidR="00C96521" w:rsidRPr="00B70B7A" w14:paraId="5DEF5764" w14:textId="77777777" w:rsidTr="00C96521">
        <w:tc>
          <w:tcPr>
            <w:tcW w:w="874" w:type="pct"/>
            <w:shd w:val="clear" w:color="auto" w:fill="auto"/>
          </w:tcPr>
          <w:p w14:paraId="58008381"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France</w:t>
            </w:r>
          </w:p>
        </w:tc>
        <w:tc>
          <w:tcPr>
            <w:tcW w:w="605" w:type="pct"/>
            <w:shd w:val="clear" w:color="auto" w:fill="auto"/>
          </w:tcPr>
          <w:p w14:paraId="26C1CDCC"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sz w:val="20"/>
                <w:szCs w:val="20"/>
                <w:lang w:val="en-GB"/>
              </w:rPr>
              <w:t xml:space="preserve">91,704 </w:t>
            </w:r>
            <w:r w:rsidRPr="00B70B7A">
              <w:rPr>
                <w:rFonts w:ascii="Arial" w:hAnsi="Arial" w:cs="Arial"/>
                <w:i/>
                <w:sz w:val="20"/>
                <w:szCs w:val="20"/>
                <w:lang w:val="en-GB"/>
              </w:rPr>
              <w:t>2013-14</w:t>
            </w:r>
          </w:p>
        </w:tc>
        <w:tc>
          <w:tcPr>
            <w:tcW w:w="3521" w:type="pct"/>
          </w:tcPr>
          <w:p w14:paraId="7400CE18" w14:textId="04641AD4"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 xml:space="preserve">Covered by EU Birds Directive. From the last Saturday in Aug to the second week of Feb. Two </w:t>
            </w:r>
            <w:r w:rsidRPr="00B70B7A">
              <w:rPr>
                <w:rFonts w:ascii="Arial" w:hAnsi="Arial" w:cs="Arial"/>
                <w:i/>
                <w:color w:val="000000"/>
                <w:sz w:val="20"/>
                <w:szCs w:val="20"/>
                <w:lang w:val="en-GB"/>
              </w:rPr>
              <w:t>Départements</w:t>
            </w:r>
            <w:r w:rsidRPr="00B70B7A">
              <w:rPr>
                <w:rFonts w:ascii="Arial" w:hAnsi="Arial" w:cs="Arial"/>
                <w:color w:val="000000"/>
                <w:sz w:val="20"/>
                <w:szCs w:val="20"/>
                <w:lang w:val="en-GB"/>
              </w:rPr>
              <w:t xml:space="preserve"> apply a bag limit: Deux-Sèvres (5 per day), and Charente Maritime (10 per day). </w:t>
            </w:r>
            <w:r w:rsidRPr="00B70B7A">
              <w:rPr>
                <w:rFonts w:ascii="Arial" w:hAnsi="Arial" w:cs="Arial"/>
                <w:color w:val="000000"/>
                <w:sz w:val="20"/>
                <w:szCs w:val="20"/>
                <w:lang w:val="fr-FR"/>
              </w:rPr>
              <w:t xml:space="preserve">Data provided from </w:t>
            </w:r>
            <w:r w:rsidRPr="00B70B7A">
              <w:rPr>
                <w:rFonts w:ascii="Arial" w:hAnsi="Arial" w:cs="Arial"/>
                <w:sz w:val="20"/>
                <w:szCs w:val="20"/>
                <w:lang w:val="fr-FR"/>
              </w:rPr>
              <w:t xml:space="preserve">Enquête Nationale sur les Tableaux de Chasse à Tir (Aubry </w:t>
            </w:r>
            <w:r w:rsidRPr="00B70B7A">
              <w:rPr>
                <w:rFonts w:ascii="Arial" w:hAnsi="Arial" w:cs="Arial"/>
                <w:i/>
                <w:sz w:val="20"/>
                <w:szCs w:val="20"/>
                <w:lang w:val="fr-FR"/>
              </w:rPr>
              <w:t>et al</w:t>
            </w:r>
            <w:r w:rsidRPr="00B70B7A">
              <w:rPr>
                <w:rFonts w:ascii="Arial" w:hAnsi="Arial" w:cs="Arial"/>
                <w:sz w:val="20"/>
                <w:szCs w:val="20"/>
                <w:lang w:val="fr-FR"/>
              </w:rPr>
              <w:t xml:space="preserve"> 2016), the Office National de la Chasse et la Faune Sauvage, and the Fédération Nationale des Chasseurs (2016).</w:t>
            </w:r>
            <w:r w:rsidRPr="00B70B7A">
              <w:rPr>
                <w:rFonts w:ascii="Arial" w:hAnsi="Arial" w:cs="Arial"/>
                <w:color w:val="000000"/>
                <w:sz w:val="20"/>
                <w:szCs w:val="20"/>
                <w:lang w:val="fr-FR"/>
              </w:rPr>
              <w:t xml:space="preserve"> </w:t>
            </w:r>
            <w:r w:rsidRPr="00B70B7A">
              <w:rPr>
                <w:rFonts w:ascii="Arial" w:hAnsi="Arial" w:cs="Arial"/>
                <w:color w:val="000000"/>
                <w:sz w:val="20"/>
                <w:szCs w:val="20"/>
                <w:lang w:val="en-GB"/>
              </w:rPr>
              <w:t xml:space="preserve">Bag size for combined turtle-dove and collared dove in 1974 was estimated at 1,382,000 (+/- 47%) (Chambolle 1986), in 1983-1984 the combined total was 583,000 (557-609,000) excluding hunting in May along the Atlantic flyway (Chambolle 1986), in 1998-1999 bag size for </w:t>
            </w:r>
            <w:r w:rsidR="00B70B7A">
              <w:rPr>
                <w:rFonts w:ascii="Arial" w:hAnsi="Arial" w:cs="Arial"/>
                <w:color w:val="000000"/>
                <w:sz w:val="20"/>
                <w:szCs w:val="20"/>
                <w:lang w:val="en-GB"/>
              </w:rPr>
              <w:t>T</w:t>
            </w:r>
            <w:r w:rsidRPr="00B70B7A">
              <w:rPr>
                <w:rFonts w:ascii="Arial" w:hAnsi="Arial" w:cs="Arial"/>
                <w:color w:val="000000"/>
                <w:sz w:val="20"/>
                <w:szCs w:val="20"/>
                <w:lang w:val="en-GB"/>
              </w:rPr>
              <w:t>urtle</w:t>
            </w:r>
            <w:r w:rsidR="00B70B7A">
              <w:rPr>
                <w:rFonts w:ascii="Arial" w:hAnsi="Arial" w:cs="Arial"/>
                <w:color w:val="000000"/>
                <w:sz w:val="20"/>
                <w:szCs w:val="20"/>
                <w:lang w:val="en-GB"/>
              </w:rPr>
              <w:t xml:space="preserve"> D</w:t>
            </w:r>
            <w:r w:rsidRPr="00B70B7A">
              <w:rPr>
                <w:rFonts w:ascii="Arial" w:hAnsi="Arial" w:cs="Arial"/>
                <w:color w:val="000000"/>
                <w:sz w:val="20"/>
                <w:szCs w:val="20"/>
                <w:lang w:val="en-GB"/>
              </w:rPr>
              <w:t xml:space="preserve">ove only was estimated at 189,300 (+/- 14,000) (Boutin and Tesson 2000), and in 2007-2008 bag size for </w:t>
            </w:r>
            <w:r w:rsidR="00B70B7A">
              <w:rPr>
                <w:rFonts w:ascii="Arial" w:hAnsi="Arial" w:cs="Arial"/>
                <w:color w:val="000000"/>
                <w:sz w:val="20"/>
                <w:szCs w:val="20"/>
                <w:lang w:val="en-GB"/>
              </w:rPr>
              <w:t>T</w:t>
            </w:r>
            <w:r w:rsidRPr="00B70B7A">
              <w:rPr>
                <w:rFonts w:ascii="Arial" w:hAnsi="Arial" w:cs="Arial"/>
                <w:color w:val="000000"/>
                <w:sz w:val="20"/>
                <w:szCs w:val="20"/>
                <w:lang w:val="en-GB"/>
              </w:rPr>
              <w:t>urtle</w:t>
            </w:r>
            <w:r w:rsidR="00B70B7A">
              <w:rPr>
                <w:rFonts w:ascii="Arial" w:hAnsi="Arial" w:cs="Arial"/>
                <w:color w:val="000000"/>
                <w:sz w:val="20"/>
                <w:szCs w:val="20"/>
                <w:lang w:val="en-GB"/>
              </w:rPr>
              <w:t xml:space="preserve"> D</w:t>
            </w:r>
            <w:r w:rsidRPr="00B70B7A">
              <w:rPr>
                <w:rFonts w:ascii="Arial" w:hAnsi="Arial" w:cs="Arial"/>
                <w:color w:val="000000"/>
                <w:sz w:val="20"/>
                <w:szCs w:val="20"/>
                <w:lang w:val="en-GB"/>
              </w:rPr>
              <w:t xml:space="preserve">ove was 60-75,000 (Arnauduc </w:t>
            </w:r>
            <w:r w:rsidRPr="00B70B7A">
              <w:rPr>
                <w:rFonts w:ascii="Arial" w:hAnsi="Arial" w:cs="Arial"/>
                <w:i/>
                <w:color w:val="000000"/>
                <w:sz w:val="20"/>
                <w:szCs w:val="20"/>
                <w:lang w:val="en-GB"/>
              </w:rPr>
              <w:t>et al</w:t>
            </w:r>
            <w:r w:rsidRPr="00B70B7A">
              <w:rPr>
                <w:rFonts w:ascii="Arial" w:hAnsi="Arial" w:cs="Arial"/>
                <w:color w:val="000000"/>
                <w:sz w:val="20"/>
                <w:szCs w:val="20"/>
                <w:lang w:val="en-GB"/>
              </w:rPr>
              <w:t xml:space="preserve"> 2011). Current bag is estimated 45,618-137,789 (Aubry </w:t>
            </w:r>
            <w:r w:rsidRPr="00B70B7A">
              <w:rPr>
                <w:rFonts w:ascii="Arial" w:hAnsi="Arial" w:cs="Arial"/>
                <w:i/>
                <w:color w:val="000000"/>
                <w:sz w:val="20"/>
                <w:szCs w:val="20"/>
                <w:lang w:val="en-GB"/>
              </w:rPr>
              <w:t>et al</w:t>
            </w:r>
            <w:r w:rsidRPr="00B70B7A">
              <w:rPr>
                <w:rFonts w:ascii="Arial" w:hAnsi="Arial" w:cs="Arial"/>
                <w:color w:val="000000"/>
                <w:sz w:val="20"/>
                <w:szCs w:val="20"/>
                <w:lang w:val="en-GB"/>
              </w:rPr>
              <w:t xml:space="preserve"> 2016).</w:t>
            </w:r>
          </w:p>
        </w:tc>
      </w:tr>
      <w:tr w:rsidR="00C96521" w:rsidRPr="00B70B7A" w14:paraId="7BF2F7C8" w14:textId="77777777" w:rsidTr="00C96521">
        <w:tc>
          <w:tcPr>
            <w:tcW w:w="874" w:type="pct"/>
            <w:shd w:val="clear" w:color="auto" w:fill="auto"/>
          </w:tcPr>
          <w:p w14:paraId="41F88E17"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lastRenderedPageBreak/>
              <w:t>Germany</w:t>
            </w:r>
          </w:p>
        </w:tc>
        <w:tc>
          <w:tcPr>
            <w:tcW w:w="605" w:type="pct"/>
            <w:shd w:val="clear" w:color="auto" w:fill="auto"/>
          </w:tcPr>
          <w:p w14:paraId="776FDE5F"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19B2D06F" w14:textId="174FCDDF"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Covered by EU Birds Directive. Under EU law, </w:t>
            </w:r>
            <w:r w:rsidR="00173165" w:rsidRPr="00B70B7A">
              <w:rPr>
                <w:rFonts w:ascii="Arial" w:hAnsi="Arial" w:cs="Arial"/>
                <w:sz w:val="20"/>
                <w:szCs w:val="20"/>
                <w:lang w:val="en-GB"/>
              </w:rPr>
              <w:t xml:space="preserve">Turtle Doves </w:t>
            </w:r>
            <w:r w:rsidRPr="00B70B7A">
              <w:rPr>
                <w:rFonts w:ascii="Arial" w:hAnsi="Arial" w:cs="Arial"/>
                <w:sz w:val="20"/>
                <w:szCs w:val="20"/>
                <w:lang w:val="en-GB"/>
              </w:rPr>
              <w:t xml:space="preserve">are not huntable in Germany. However, in the Federal Hunting Law of Germany (1952), all wild species of pigeons and doves are classed as huntable species, while Federal regulation on hunting seasons (1977) stipulates open hunting seasons for only two species of pigeons and dove, not including the </w:t>
            </w:r>
            <w:r w:rsidR="00173165" w:rsidRPr="00B70B7A">
              <w:rPr>
                <w:rFonts w:ascii="Arial" w:hAnsi="Arial" w:cs="Arial"/>
                <w:sz w:val="20"/>
                <w:szCs w:val="20"/>
                <w:lang w:val="en-GB"/>
              </w:rPr>
              <w:t>Turtle Dove</w:t>
            </w:r>
            <w:r w:rsidRPr="00B70B7A">
              <w:rPr>
                <w:rFonts w:ascii="Arial" w:hAnsi="Arial" w:cs="Arial"/>
                <w:sz w:val="20"/>
                <w:szCs w:val="20"/>
                <w:lang w:val="en-GB"/>
              </w:rPr>
              <w:t xml:space="preserve">. Nationally the </w:t>
            </w:r>
            <w:r w:rsidR="00173165" w:rsidRPr="00B70B7A">
              <w:rPr>
                <w:rFonts w:ascii="Arial" w:hAnsi="Arial" w:cs="Arial"/>
                <w:sz w:val="20"/>
                <w:szCs w:val="20"/>
                <w:lang w:val="en-GB"/>
              </w:rPr>
              <w:t>Turtle Dove</w:t>
            </w:r>
            <w:r w:rsidR="00173165" w:rsidRPr="00B70B7A" w:rsidDel="00173165">
              <w:rPr>
                <w:rFonts w:ascii="Arial" w:hAnsi="Arial" w:cs="Arial"/>
                <w:sz w:val="20"/>
                <w:szCs w:val="20"/>
                <w:lang w:val="en-GB"/>
              </w:rPr>
              <w:t xml:space="preserve"> </w:t>
            </w:r>
            <w:r w:rsidRPr="00B70B7A">
              <w:rPr>
                <w:rFonts w:ascii="Arial" w:hAnsi="Arial" w:cs="Arial"/>
                <w:sz w:val="20"/>
                <w:szCs w:val="20"/>
                <w:lang w:val="en-GB"/>
              </w:rPr>
              <w:t xml:space="preserve">in Germany is formally a huntable species, but has no open hunting season. In addition, regional hunting legislation supersedes Federal legislation if it is newer, which is the case in several regions (Länder). However, in none of these does the </w:t>
            </w:r>
            <w:r w:rsidR="00173165" w:rsidRPr="00B70B7A">
              <w:rPr>
                <w:rFonts w:ascii="Arial" w:hAnsi="Arial" w:cs="Arial"/>
                <w:sz w:val="20"/>
                <w:szCs w:val="20"/>
                <w:lang w:val="en-GB"/>
              </w:rPr>
              <w:t>Turtle Dove</w:t>
            </w:r>
            <w:r w:rsidR="00173165" w:rsidRPr="00B70B7A" w:rsidDel="00173165">
              <w:rPr>
                <w:rFonts w:ascii="Arial" w:hAnsi="Arial" w:cs="Arial"/>
                <w:sz w:val="20"/>
                <w:szCs w:val="20"/>
                <w:lang w:val="en-GB"/>
              </w:rPr>
              <w:t xml:space="preserve"> </w:t>
            </w:r>
            <w:r w:rsidRPr="00B70B7A">
              <w:rPr>
                <w:rFonts w:ascii="Arial" w:hAnsi="Arial" w:cs="Arial"/>
                <w:sz w:val="20"/>
                <w:szCs w:val="20"/>
                <w:lang w:val="en-GB"/>
              </w:rPr>
              <w:t>have an open hunting season.</w:t>
            </w:r>
          </w:p>
        </w:tc>
      </w:tr>
      <w:tr w:rsidR="00C96521" w:rsidRPr="00B70B7A" w14:paraId="778E2266" w14:textId="77777777" w:rsidTr="00C96521">
        <w:tc>
          <w:tcPr>
            <w:tcW w:w="874" w:type="pct"/>
            <w:shd w:val="clear" w:color="auto" w:fill="auto"/>
          </w:tcPr>
          <w:p w14:paraId="33189C1B"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Georgia</w:t>
            </w:r>
          </w:p>
        </w:tc>
        <w:tc>
          <w:tcPr>
            <w:tcW w:w="605" w:type="pct"/>
            <w:shd w:val="clear" w:color="auto" w:fill="auto"/>
          </w:tcPr>
          <w:p w14:paraId="522999BD"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20FBD103" w14:textId="40F74F0A"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Annual bag between 1966 and 1970 was estimated to be 19-60,000 birds (Rouxel 2000). The season runs from 15 Aug to 15 Feb, with a limit of 10 turtle-doves per hunter per day (Agenda.ge 2015).</w:t>
            </w:r>
          </w:p>
        </w:tc>
      </w:tr>
      <w:tr w:rsidR="00C96521" w:rsidRPr="00B70B7A" w14:paraId="30FA5FFD" w14:textId="77777777" w:rsidTr="00C96521">
        <w:tc>
          <w:tcPr>
            <w:tcW w:w="874" w:type="pct"/>
            <w:shd w:val="clear" w:color="auto" w:fill="auto"/>
          </w:tcPr>
          <w:p w14:paraId="22CA99BE"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Greece</w:t>
            </w:r>
          </w:p>
          <w:p w14:paraId="5178DD12" w14:textId="77777777" w:rsidR="00C96521" w:rsidRPr="00B70B7A" w:rsidRDefault="00C96521" w:rsidP="00C96521">
            <w:pPr>
              <w:widowControl/>
              <w:autoSpaceDE/>
              <w:autoSpaceDN/>
              <w:adjustRightInd/>
              <w:rPr>
                <w:rFonts w:ascii="Arial" w:hAnsi="Arial" w:cs="Arial"/>
                <w:sz w:val="20"/>
                <w:szCs w:val="20"/>
                <w:lang w:val="en-GB"/>
              </w:rPr>
            </w:pPr>
          </w:p>
          <w:p w14:paraId="24C5ED95" w14:textId="77777777" w:rsidR="00C96521" w:rsidRPr="00B70B7A" w:rsidRDefault="00C96521" w:rsidP="00C96521">
            <w:pPr>
              <w:widowControl/>
              <w:autoSpaceDE/>
              <w:autoSpaceDN/>
              <w:adjustRightInd/>
              <w:rPr>
                <w:rFonts w:ascii="Arial" w:hAnsi="Arial" w:cs="Arial"/>
                <w:sz w:val="20"/>
                <w:szCs w:val="20"/>
                <w:lang w:val="en-GB"/>
              </w:rPr>
            </w:pPr>
          </w:p>
        </w:tc>
        <w:tc>
          <w:tcPr>
            <w:tcW w:w="605" w:type="pct"/>
            <w:shd w:val="clear" w:color="auto" w:fill="auto"/>
          </w:tcPr>
          <w:p w14:paraId="58383223"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Cs/>
                <w:color w:val="000000"/>
                <w:sz w:val="20"/>
                <w:szCs w:val="20"/>
                <w:lang w:val="en-GB"/>
              </w:rPr>
              <w:t xml:space="preserve">300-600,000 </w:t>
            </w:r>
            <w:r w:rsidRPr="00B70B7A">
              <w:rPr>
                <w:rFonts w:ascii="Arial" w:hAnsi="Arial" w:cs="Arial"/>
                <w:i/>
                <w:iCs/>
                <w:color w:val="000000"/>
                <w:sz w:val="20"/>
                <w:szCs w:val="20"/>
                <w:lang w:val="en-GB"/>
              </w:rPr>
              <w:t>annually</w:t>
            </w:r>
          </w:p>
        </w:tc>
        <w:tc>
          <w:tcPr>
            <w:tcW w:w="3521" w:type="pct"/>
          </w:tcPr>
          <w:p w14:paraId="7EE84DB7" w14:textId="169995BD"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Covered by EU Birds Directive. Season 20 Aug to 14 Sep within “passage zones of migrating birds” (less than 15% of the overall permitted hunting areas).</w:t>
            </w:r>
            <w:r w:rsidRPr="00B70B7A">
              <w:rPr>
                <w:rFonts w:ascii="Arial" w:hAnsi="Arial" w:cs="Arial"/>
                <w:color w:val="000000"/>
                <w:sz w:val="20"/>
                <w:szCs w:val="20"/>
                <w:shd w:val="clear" w:color="auto" w:fill="FFFFFF"/>
                <w:lang w:val="en-GB"/>
              </w:rPr>
              <w:t xml:space="preserve"> </w:t>
            </w:r>
            <w:r w:rsidRPr="00B70B7A">
              <w:rPr>
                <w:rFonts w:ascii="Arial" w:hAnsi="Arial" w:cs="Arial"/>
                <w:color w:val="000000"/>
                <w:sz w:val="20"/>
                <w:szCs w:val="20"/>
                <w:lang w:val="en-GB"/>
              </w:rPr>
              <w:t xml:space="preserve">Season 15 Sep to 20 Feb for licensed hunters with shotguns, during daylight hours, and in all areas apart from those designated as No Hunting Areas. Daily limit of 12 </w:t>
            </w:r>
            <w:r w:rsidR="00173165" w:rsidRPr="00B70B7A">
              <w:rPr>
                <w:rFonts w:ascii="Arial" w:hAnsi="Arial" w:cs="Arial"/>
                <w:color w:val="000000"/>
                <w:sz w:val="20"/>
                <w:szCs w:val="20"/>
                <w:lang w:val="en-GB"/>
              </w:rPr>
              <w:t>T</w:t>
            </w:r>
            <w:r w:rsidRPr="00B70B7A">
              <w:rPr>
                <w:rFonts w:ascii="Arial" w:hAnsi="Arial" w:cs="Arial"/>
                <w:color w:val="000000"/>
                <w:sz w:val="20"/>
                <w:szCs w:val="20"/>
                <w:lang w:val="en-GB"/>
              </w:rPr>
              <w:t>urtle</w:t>
            </w:r>
            <w:r w:rsidR="00173165" w:rsidRPr="00B70B7A">
              <w:rPr>
                <w:rFonts w:ascii="Arial" w:hAnsi="Arial" w:cs="Arial"/>
                <w:color w:val="000000"/>
                <w:sz w:val="20"/>
                <w:szCs w:val="20"/>
                <w:lang w:val="en-GB"/>
              </w:rPr>
              <w:t>D</w:t>
            </w:r>
            <w:r w:rsidRPr="00B70B7A">
              <w:rPr>
                <w:rFonts w:ascii="Arial" w:hAnsi="Arial" w:cs="Arial"/>
                <w:color w:val="000000"/>
                <w:sz w:val="20"/>
                <w:szCs w:val="20"/>
                <w:lang w:val="en-GB"/>
              </w:rPr>
              <w:t>oves per hunter. The season and the quota system are officially approved each year by the Government, after a report provided by the Hunters</w:t>
            </w:r>
            <w:r w:rsidR="00173165" w:rsidRPr="00B70B7A">
              <w:rPr>
                <w:rFonts w:ascii="Arial" w:hAnsi="Arial" w:cs="Arial"/>
                <w:color w:val="000000"/>
                <w:sz w:val="20"/>
                <w:szCs w:val="20"/>
                <w:lang w:val="en-GB"/>
              </w:rPr>
              <w:t>’</w:t>
            </w:r>
            <w:r w:rsidRPr="00B70B7A">
              <w:rPr>
                <w:rFonts w:ascii="Arial" w:hAnsi="Arial" w:cs="Arial"/>
                <w:color w:val="000000"/>
                <w:sz w:val="20"/>
                <w:szCs w:val="20"/>
                <w:lang w:val="en-GB"/>
              </w:rPr>
              <w:t xml:space="preserve"> Confederation and compiled by Greek Universities</w:t>
            </w:r>
            <w:r w:rsidRPr="00B70B7A">
              <w:rPr>
                <w:rFonts w:ascii="Arial" w:hAnsi="Arial" w:cs="Arial"/>
                <w:sz w:val="20"/>
                <w:szCs w:val="20"/>
                <w:lang w:val="en-GB"/>
              </w:rPr>
              <w:t xml:space="preserve"> (Hellenic Hunters’ Confederation </w:t>
            </w:r>
            <w:r w:rsidRPr="00B70B7A">
              <w:rPr>
                <w:rFonts w:ascii="Arial" w:hAnsi="Arial" w:cs="Arial"/>
                <w:i/>
                <w:sz w:val="20"/>
                <w:szCs w:val="20"/>
                <w:lang w:val="en-GB"/>
              </w:rPr>
              <w:t>pers comm</w:t>
            </w:r>
            <w:r w:rsidRPr="00B70B7A">
              <w:rPr>
                <w:rFonts w:ascii="Arial" w:hAnsi="Arial" w:cs="Arial"/>
                <w:sz w:val="20"/>
                <w:szCs w:val="20"/>
                <w:lang w:val="en-GB"/>
              </w:rPr>
              <w:t>).</w:t>
            </w:r>
          </w:p>
        </w:tc>
      </w:tr>
      <w:tr w:rsidR="00C96521" w:rsidRPr="00B70B7A" w14:paraId="5C971BBA" w14:textId="77777777" w:rsidTr="00C96521">
        <w:tc>
          <w:tcPr>
            <w:tcW w:w="874" w:type="pct"/>
            <w:shd w:val="clear" w:color="auto" w:fill="auto"/>
          </w:tcPr>
          <w:p w14:paraId="10414627"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Guinea-Bissau</w:t>
            </w:r>
          </w:p>
        </w:tc>
        <w:tc>
          <w:tcPr>
            <w:tcW w:w="605" w:type="pct"/>
            <w:shd w:val="clear" w:color="auto" w:fill="auto"/>
          </w:tcPr>
          <w:p w14:paraId="332D0675"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615D8A7F" w14:textId="5D76C5E1"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Hunting of </w:t>
            </w:r>
            <w:r w:rsidR="00173165" w:rsidRPr="00B70B7A">
              <w:rPr>
                <w:rFonts w:ascii="Arial" w:hAnsi="Arial" w:cs="Arial"/>
                <w:sz w:val="20"/>
                <w:szCs w:val="20"/>
                <w:lang w:val="en-GB"/>
              </w:rPr>
              <w:t>Turtle Doves</w:t>
            </w:r>
            <w:r w:rsidR="00173165" w:rsidRPr="00B70B7A" w:rsidDel="00173165">
              <w:rPr>
                <w:rFonts w:ascii="Arial" w:hAnsi="Arial" w:cs="Arial"/>
                <w:sz w:val="20"/>
                <w:szCs w:val="20"/>
                <w:lang w:val="en-GB"/>
              </w:rPr>
              <w:t xml:space="preserve"> </w:t>
            </w:r>
            <w:r w:rsidRPr="00B70B7A">
              <w:rPr>
                <w:rFonts w:ascii="Arial" w:hAnsi="Arial" w:cs="Arial"/>
                <w:sz w:val="20"/>
                <w:szCs w:val="20"/>
                <w:lang w:val="en-GB"/>
              </w:rPr>
              <w:t xml:space="preserve">at their roost sites and drinking pools is commonplace and is facilitated by European travel agencies (Tucker 1996, Carvalho and Dias 2003, Zwarts </w:t>
            </w:r>
            <w:r w:rsidRPr="00B70B7A">
              <w:rPr>
                <w:rFonts w:ascii="Arial" w:hAnsi="Arial" w:cs="Arial"/>
                <w:i/>
                <w:sz w:val="20"/>
                <w:szCs w:val="20"/>
                <w:lang w:val="en-GB"/>
              </w:rPr>
              <w:t>et al</w:t>
            </w:r>
            <w:r w:rsidRPr="00B70B7A">
              <w:rPr>
                <w:rFonts w:ascii="Arial" w:hAnsi="Arial" w:cs="Arial"/>
                <w:sz w:val="20"/>
                <w:szCs w:val="20"/>
                <w:lang w:val="en-GB"/>
              </w:rPr>
              <w:t xml:space="preserve"> 2009, Raffael Ayé </w:t>
            </w:r>
            <w:r w:rsidRPr="00B70B7A">
              <w:rPr>
                <w:rFonts w:ascii="Arial" w:hAnsi="Arial" w:cs="Arial"/>
                <w:i/>
                <w:sz w:val="20"/>
                <w:szCs w:val="20"/>
                <w:lang w:val="en-GB"/>
              </w:rPr>
              <w:t>pers comm</w:t>
            </w:r>
            <w:r w:rsidRPr="00B70B7A">
              <w:rPr>
                <w:rFonts w:ascii="Arial" w:hAnsi="Arial" w:cs="Arial"/>
                <w:sz w:val="20"/>
                <w:szCs w:val="20"/>
                <w:lang w:val="en-GB"/>
              </w:rPr>
              <w:t>).</w:t>
            </w:r>
          </w:p>
        </w:tc>
      </w:tr>
      <w:tr w:rsidR="00C96521" w:rsidRPr="00B70B7A" w14:paraId="1BA2D3D9" w14:textId="77777777" w:rsidTr="00C96521">
        <w:tc>
          <w:tcPr>
            <w:tcW w:w="874" w:type="pct"/>
            <w:shd w:val="clear" w:color="auto" w:fill="auto"/>
          </w:tcPr>
          <w:p w14:paraId="2C0F967F"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Hungary</w:t>
            </w:r>
          </w:p>
        </w:tc>
        <w:tc>
          <w:tcPr>
            <w:tcW w:w="605" w:type="pct"/>
            <w:shd w:val="clear" w:color="auto" w:fill="auto"/>
          </w:tcPr>
          <w:p w14:paraId="6D0D5D80"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4C8EFC3"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and nationally protected since 1971. Not hunted.</w:t>
            </w:r>
          </w:p>
        </w:tc>
      </w:tr>
      <w:tr w:rsidR="00C96521" w:rsidRPr="00B70B7A" w14:paraId="6DF299EE" w14:textId="77777777" w:rsidTr="00C96521">
        <w:tc>
          <w:tcPr>
            <w:tcW w:w="874" w:type="pct"/>
            <w:shd w:val="clear" w:color="auto" w:fill="auto"/>
          </w:tcPr>
          <w:p w14:paraId="50A5F4A9"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Israel</w:t>
            </w:r>
          </w:p>
        </w:tc>
        <w:tc>
          <w:tcPr>
            <w:tcW w:w="605" w:type="pct"/>
            <w:shd w:val="clear" w:color="auto" w:fill="auto"/>
          </w:tcPr>
          <w:p w14:paraId="09A7E684"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094317BE" w14:textId="34C3DC94"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 xml:space="preserve">Protected. Fewer than 1,000 hunters and decreasing; the </w:t>
            </w:r>
            <w:r w:rsidR="00173165" w:rsidRPr="00B70B7A">
              <w:rPr>
                <w:rFonts w:ascii="Arial" w:hAnsi="Arial" w:cs="Arial"/>
                <w:sz w:val="20"/>
                <w:szCs w:val="20"/>
                <w:lang w:val="en-GB"/>
              </w:rPr>
              <w:t>Turtle Dove</w:t>
            </w:r>
            <w:r w:rsidR="00173165" w:rsidRPr="00B70B7A" w:rsidDel="00173165">
              <w:rPr>
                <w:rFonts w:ascii="Arial" w:hAnsi="Arial" w:cs="Arial"/>
                <w:color w:val="000000"/>
                <w:sz w:val="20"/>
                <w:szCs w:val="20"/>
                <w:lang w:val="en-GB"/>
              </w:rPr>
              <w:t xml:space="preserve"> </w:t>
            </w:r>
            <w:r w:rsidRPr="00B70B7A">
              <w:rPr>
                <w:rFonts w:ascii="Arial" w:hAnsi="Arial" w:cs="Arial"/>
                <w:color w:val="000000"/>
                <w:sz w:val="20"/>
                <w:szCs w:val="20"/>
                <w:lang w:val="en-GB"/>
              </w:rPr>
              <w:t>is not a popular quarry species. Season 1 Sep to 31 Jan with no bag limit (BirdLife International 2014d).</w:t>
            </w:r>
          </w:p>
        </w:tc>
      </w:tr>
      <w:tr w:rsidR="00C96521" w:rsidRPr="00B70B7A" w14:paraId="6DA9B17D" w14:textId="77777777" w:rsidTr="00C96521">
        <w:tc>
          <w:tcPr>
            <w:tcW w:w="874" w:type="pct"/>
            <w:shd w:val="clear" w:color="auto" w:fill="auto"/>
          </w:tcPr>
          <w:p w14:paraId="0F082B5C"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Italy </w:t>
            </w:r>
          </w:p>
        </w:tc>
        <w:tc>
          <w:tcPr>
            <w:tcW w:w="605" w:type="pct"/>
            <w:shd w:val="clear" w:color="auto" w:fill="auto"/>
          </w:tcPr>
          <w:p w14:paraId="4774317A" w14:textId="77777777" w:rsidR="00C96521" w:rsidRPr="00B70B7A" w:rsidRDefault="00C96521" w:rsidP="00C96521">
            <w:pPr>
              <w:widowControl/>
              <w:autoSpaceDE/>
              <w:autoSpaceDN/>
              <w:adjustRightInd/>
              <w:rPr>
                <w:rFonts w:ascii="Arial" w:hAnsi="Arial" w:cs="Arial"/>
                <w:iCs/>
                <w:color w:val="000000"/>
                <w:sz w:val="20"/>
                <w:szCs w:val="20"/>
                <w:lang w:val="en-GB"/>
              </w:rPr>
            </w:pPr>
            <w:r w:rsidRPr="00B70B7A">
              <w:rPr>
                <w:rFonts w:ascii="Arial" w:hAnsi="Arial" w:cs="Arial"/>
                <w:iCs/>
                <w:color w:val="000000"/>
                <w:sz w:val="20"/>
                <w:szCs w:val="20"/>
                <w:lang w:val="en-GB"/>
              </w:rPr>
              <w:t>250-350,000</w:t>
            </w:r>
          </w:p>
          <w:p w14:paraId="4F9AF2FB"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
                <w:iCs/>
                <w:color w:val="000000"/>
                <w:sz w:val="20"/>
                <w:szCs w:val="20"/>
                <w:lang w:val="en-GB"/>
              </w:rPr>
              <w:t>annually</w:t>
            </w:r>
          </w:p>
        </w:tc>
        <w:tc>
          <w:tcPr>
            <w:tcW w:w="3521" w:type="pct"/>
          </w:tcPr>
          <w:p w14:paraId="066862F9" w14:textId="649D8B66"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Covered by the EU Birds Directive. </w:t>
            </w:r>
            <w:r w:rsidRPr="00B70B7A">
              <w:rPr>
                <w:rFonts w:ascii="Arial" w:hAnsi="Arial" w:cs="Arial"/>
                <w:color w:val="000000"/>
                <w:sz w:val="20"/>
                <w:szCs w:val="20"/>
                <w:lang w:val="en-GB"/>
              </w:rPr>
              <w:t xml:space="preserve">In many regions the </w:t>
            </w:r>
            <w:r w:rsidR="00173165" w:rsidRPr="00B70B7A">
              <w:rPr>
                <w:rFonts w:ascii="Arial" w:hAnsi="Arial" w:cs="Arial"/>
                <w:sz w:val="20"/>
                <w:szCs w:val="20"/>
                <w:lang w:val="en-GB"/>
              </w:rPr>
              <w:t>Turtle Dove</w:t>
            </w:r>
            <w:r w:rsidR="00173165" w:rsidRPr="00B70B7A" w:rsidDel="00173165">
              <w:rPr>
                <w:rFonts w:ascii="Arial" w:hAnsi="Arial" w:cs="Arial"/>
                <w:color w:val="000000"/>
                <w:sz w:val="20"/>
                <w:szCs w:val="20"/>
                <w:lang w:val="en-GB"/>
              </w:rPr>
              <w:t xml:space="preserve"> </w:t>
            </w:r>
            <w:r w:rsidRPr="00B70B7A">
              <w:rPr>
                <w:rFonts w:ascii="Arial" w:hAnsi="Arial" w:cs="Arial"/>
                <w:color w:val="000000"/>
                <w:sz w:val="20"/>
                <w:szCs w:val="20"/>
                <w:lang w:val="en-GB"/>
              </w:rPr>
              <w:t xml:space="preserve">season runs from 1 Sep and is only allowed for 1-5 fixed days (three in many regions), until the third Sunday of Sep when the regular season starts until 31 Dec. Other regions allow three fixed days, with a season of 1 to 31 October. Most regions now close the </w:t>
            </w:r>
            <w:r w:rsidR="00173165" w:rsidRPr="00B70B7A">
              <w:rPr>
                <w:rFonts w:ascii="Arial" w:hAnsi="Arial" w:cs="Arial"/>
                <w:sz w:val="20"/>
                <w:szCs w:val="20"/>
                <w:lang w:val="en-GB"/>
              </w:rPr>
              <w:t>Turtle Dove</w:t>
            </w:r>
            <w:r w:rsidR="00173165" w:rsidRPr="00B70B7A" w:rsidDel="00173165">
              <w:rPr>
                <w:rFonts w:ascii="Arial" w:hAnsi="Arial" w:cs="Arial"/>
                <w:color w:val="000000"/>
                <w:sz w:val="20"/>
                <w:szCs w:val="20"/>
                <w:lang w:val="en-GB"/>
              </w:rPr>
              <w:t xml:space="preserve"> </w:t>
            </w:r>
            <w:r w:rsidRPr="00B70B7A">
              <w:rPr>
                <w:rFonts w:ascii="Arial" w:hAnsi="Arial" w:cs="Arial"/>
                <w:color w:val="000000"/>
                <w:sz w:val="20"/>
                <w:szCs w:val="20"/>
                <w:lang w:val="en-GB"/>
              </w:rPr>
              <w:t>hunting season on 31 Oct. Regional Governments apply daily and seasonal bag limits. (</w:t>
            </w:r>
            <w:r w:rsidRPr="00B70B7A">
              <w:rPr>
                <w:rFonts w:ascii="Arial" w:hAnsi="Arial" w:cs="Arial"/>
                <w:sz w:val="20"/>
                <w:szCs w:val="20"/>
                <w:lang w:val="en-GB"/>
              </w:rPr>
              <w:t xml:space="preserve">Sorrenti and Tramontana 2016, Michele Sorrenti </w:t>
            </w:r>
            <w:r w:rsidRPr="00B70B7A">
              <w:rPr>
                <w:rFonts w:ascii="Arial" w:hAnsi="Arial" w:cs="Arial"/>
                <w:i/>
                <w:sz w:val="20"/>
                <w:szCs w:val="20"/>
                <w:lang w:val="en-GB"/>
              </w:rPr>
              <w:t>pers comm</w:t>
            </w:r>
            <w:r w:rsidRPr="00B70B7A">
              <w:rPr>
                <w:rFonts w:ascii="Arial" w:hAnsi="Arial" w:cs="Arial"/>
                <w:sz w:val="20"/>
                <w:szCs w:val="20"/>
                <w:lang w:val="en-GB"/>
              </w:rPr>
              <w:t xml:space="preserve">). </w:t>
            </w:r>
          </w:p>
        </w:tc>
      </w:tr>
      <w:tr w:rsidR="00C96521" w:rsidRPr="00B70B7A" w14:paraId="33FB6505" w14:textId="77777777" w:rsidTr="00C96521">
        <w:tc>
          <w:tcPr>
            <w:tcW w:w="874" w:type="pct"/>
            <w:shd w:val="clear" w:color="auto" w:fill="auto"/>
          </w:tcPr>
          <w:p w14:paraId="220AE9BF"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Jordan</w:t>
            </w:r>
          </w:p>
        </w:tc>
        <w:tc>
          <w:tcPr>
            <w:tcW w:w="605" w:type="pct"/>
            <w:shd w:val="clear" w:color="auto" w:fill="auto"/>
          </w:tcPr>
          <w:p w14:paraId="17B5F611"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AADAE10" w14:textId="1450050A"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 xml:space="preserve">Season 1 Jul to 30 Nov, with a limit of 20 </w:t>
            </w:r>
            <w:r w:rsidR="00173165" w:rsidRPr="00B70B7A">
              <w:rPr>
                <w:rFonts w:ascii="Arial" w:hAnsi="Arial" w:cs="Arial"/>
                <w:sz w:val="20"/>
                <w:szCs w:val="20"/>
                <w:lang w:val="en-GB"/>
              </w:rPr>
              <w:t>Turtle Doves</w:t>
            </w:r>
            <w:r w:rsidR="00173165" w:rsidRPr="00B70B7A" w:rsidDel="00173165">
              <w:rPr>
                <w:rFonts w:ascii="Arial" w:hAnsi="Arial" w:cs="Arial"/>
                <w:color w:val="000000"/>
                <w:sz w:val="20"/>
                <w:szCs w:val="20"/>
                <w:lang w:val="en-GB"/>
              </w:rPr>
              <w:t xml:space="preserve"> </w:t>
            </w:r>
            <w:r w:rsidRPr="00B70B7A">
              <w:rPr>
                <w:rFonts w:ascii="Arial" w:hAnsi="Arial" w:cs="Arial"/>
                <w:color w:val="000000"/>
                <w:sz w:val="20"/>
                <w:szCs w:val="20"/>
                <w:lang w:val="en-GB"/>
              </w:rPr>
              <w:t xml:space="preserve">per hunter per trip. </w:t>
            </w:r>
          </w:p>
        </w:tc>
      </w:tr>
      <w:tr w:rsidR="00C96521" w:rsidRPr="00B70B7A" w14:paraId="2DDAC91F" w14:textId="77777777" w:rsidTr="00C96521">
        <w:tc>
          <w:tcPr>
            <w:tcW w:w="874" w:type="pct"/>
            <w:shd w:val="clear" w:color="auto" w:fill="auto"/>
          </w:tcPr>
          <w:p w14:paraId="4E5F360D"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Kosovo</w:t>
            </w:r>
          </w:p>
        </w:tc>
        <w:tc>
          <w:tcPr>
            <w:tcW w:w="605" w:type="pct"/>
            <w:shd w:val="clear" w:color="auto" w:fill="auto"/>
          </w:tcPr>
          <w:p w14:paraId="35A96445"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E7872D9" w14:textId="7EEADAC1"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Season 1 Sep to 30 Nov (UNMIK/IPVQ 2007).</w:t>
            </w:r>
          </w:p>
        </w:tc>
      </w:tr>
      <w:tr w:rsidR="00C96521" w:rsidRPr="00B70B7A" w14:paraId="49F46355" w14:textId="77777777" w:rsidTr="00C96521">
        <w:tc>
          <w:tcPr>
            <w:tcW w:w="874" w:type="pct"/>
            <w:shd w:val="clear" w:color="auto" w:fill="auto"/>
          </w:tcPr>
          <w:p w14:paraId="3D627F61"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Latvia</w:t>
            </w:r>
          </w:p>
        </w:tc>
        <w:tc>
          <w:tcPr>
            <w:tcW w:w="605" w:type="pct"/>
            <w:shd w:val="clear" w:color="auto" w:fill="auto"/>
          </w:tcPr>
          <w:p w14:paraId="06BD9345"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1C7682D"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 hunting.</w:t>
            </w:r>
          </w:p>
        </w:tc>
      </w:tr>
      <w:tr w:rsidR="00C96521" w:rsidRPr="00B70B7A" w14:paraId="07ED7B63" w14:textId="77777777" w:rsidTr="00C96521">
        <w:tc>
          <w:tcPr>
            <w:tcW w:w="874" w:type="pct"/>
            <w:shd w:val="clear" w:color="auto" w:fill="auto"/>
          </w:tcPr>
          <w:p w14:paraId="3F939DAE"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Lebanon</w:t>
            </w:r>
          </w:p>
        </w:tc>
        <w:tc>
          <w:tcPr>
            <w:tcW w:w="605" w:type="pct"/>
            <w:shd w:val="clear" w:color="auto" w:fill="auto"/>
          </w:tcPr>
          <w:p w14:paraId="1D14E1F9"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452DC50E"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 xml:space="preserve">Complete ban (Brochet </w:t>
            </w:r>
            <w:r w:rsidRPr="00B70B7A">
              <w:rPr>
                <w:rFonts w:ascii="Arial" w:hAnsi="Arial" w:cs="Arial"/>
                <w:i/>
                <w:color w:val="000000"/>
                <w:sz w:val="20"/>
                <w:szCs w:val="20"/>
                <w:lang w:val="en-GB"/>
              </w:rPr>
              <w:t>et al</w:t>
            </w:r>
            <w:r w:rsidRPr="00B70B7A">
              <w:rPr>
                <w:rFonts w:ascii="Arial" w:hAnsi="Arial" w:cs="Arial"/>
                <w:color w:val="000000"/>
                <w:sz w:val="20"/>
                <w:szCs w:val="20"/>
                <w:lang w:val="en-GB"/>
              </w:rPr>
              <w:t xml:space="preserve"> 2016, BirdLife International 2014e).</w:t>
            </w:r>
          </w:p>
        </w:tc>
      </w:tr>
      <w:tr w:rsidR="00C96521" w:rsidRPr="00B70B7A" w14:paraId="61D1761E" w14:textId="77777777" w:rsidTr="00C96521">
        <w:tc>
          <w:tcPr>
            <w:tcW w:w="874" w:type="pct"/>
            <w:shd w:val="clear" w:color="auto" w:fill="auto"/>
          </w:tcPr>
          <w:p w14:paraId="3CA33B83"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Libya</w:t>
            </w:r>
          </w:p>
        </w:tc>
        <w:tc>
          <w:tcPr>
            <w:tcW w:w="605" w:type="pct"/>
            <w:shd w:val="clear" w:color="auto" w:fill="auto"/>
          </w:tcPr>
          <w:p w14:paraId="5D2EF36B"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6D3D401C"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No regulations (BirdLife International 2014e).</w:t>
            </w:r>
          </w:p>
        </w:tc>
      </w:tr>
      <w:tr w:rsidR="00C96521" w:rsidRPr="00B70B7A" w14:paraId="0C0DAFBB" w14:textId="77777777" w:rsidTr="00C96521">
        <w:tc>
          <w:tcPr>
            <w:tcW w:w="874" w:type="pct"/>
            <w:shd w:val="clear" w:color="auto" w:fill="auto"/>
          </w:tcPr>
          <w:p w14:paraId="3BAD5828"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Liechtenstein</w:t>
            </w:r>
          </w:p>
        </w:tc>
        <w:tc>
          <w:tcPr>
            <w:tcW w:w="605" w:type="pct"/>
            <w:shd w:val="clear" w:color="auto" w:fill="auto"/>
          </w:tcPr>
          <w:p w14:paraId="041BC8A8"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8ED8B81"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Not on the national list of huntable species (Liechtensteinisches Landesgesetzblatt 2003).</w:t>
            </w:r>
          </w:p>
        </w:tc>
      </w:tr>
      <w:tr w:rsidR="00C96521" w:rsidRPr="00B70B7A" w14:paraId="1BD9419E" w14:textId="77777777" w:rsidTr="00C96521">
        <w:tc>
          <w:tcPr>
            <w:tcW w:w="874" w:type="pct"/>
            <w:shd w:val="clear" w:color="auto" w:fill="auto"/>
          </w:tcPr>
          <w:p w14:paraId="041B4093"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Lithuania</w:t>
            </w:r>
          </w:p>
        </w:tc>
        <w:tc>
          <w:tcPr>
            <w:tcW w:w="605" w:type="pct"/>
            <w:shd w:val="clear" w:color="auto" w:fill="auto"/>
          </w:tcPr>
          <w:p w14:paraId="2488FE40"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68EB597"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Not hunted.</w:t>
            </w:r>
          </w:p>
        </w:tc>
      </w:tr>
      <w:tr w:rsidR="00C96521" w:rsidRPr="00B70B7A" w14:paraId="4E951F2B" w14:textId="77777777" w:rsidTr="00C96521">
        <w:tc>
          <w:tcPr>
            <w:tcW w:w="874" w:type="pct"/>
            <w:shd w:val="clear" w:color="auto" w:fill="auto"/>
          </w:tcPr>
          <w:p w14:paraId="78B7031E"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Luxembourg</w:t>
            </w:r>
          </w:p>
        </w:tc>
        <w:tc>
          <w:tcPr>
            <w:tcW w:w="605" w:type="pct"/>
            <w:shd w:val="clear" w:color="auto" w:fill="auto"/>
          </w:tcPr>
          <w:p w14:paraId="1FFF82FF"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28513619"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Not hunted.</w:t>
            </w:r>
          </w:p>
        </w:tc>
      </w:tr>
      <w:tr w:rsidR="00C96521" w:rsidRPr="00B70B7A" w14:paraId="413CE0EF" w14:textId="77777777" w:rsidTr="00C96521">
        <w:tc>
          <w:tcPr>
            <w:tcW w:w="874" w:type="pct"/>
            <w:shd w:val="clear" w:color="auto" w:fill="auto"/>
          </w:tcPr>
          <w:p w14:paraId="4B9C4426"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Mali</w:t>
            </w:r>
          </w:p>
        </w:tc>
        <w:tc>
          <w:tcPr>
            <w:tcW w:w="605" w:type="pct"/>
            <w:shd w:val="clear" w:color="auto" w:fill="auto"/>
          </w:tcPr>
          <w:p w14:paraId="44EF3454"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27B76225" w14:textId="437AC78D"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Hunting of </w:t>
            </w:r>
            <w:r w:rsidR="00173165" w:rsidRPr="00B70B7A">
              <w:rPr>
                <w:rFonts w:ascii="Arial" w:hAnsi="Arial" w:cs="Arial"/>
                <w:sz w:val="20"/>
                <w:szCs w:val="20"/>
                <w:lang w:val="en-GB"/>
              </w:rPr>
              <w:t>Turtle Dove</w:t>
            </w:r>
            <w:r w:rsidRPr="00B70B7A">
              <w:rPr>
                <w:rFonts w:ascii="Arial" w:hAnsi="Arial" w:cs="Arial"/>
                <w:sz w:val="20"/>
                <w:szCs w:val="20"/>
                <w:lang w:val="en-GB"/>
              </w:rPr>
              <w:t xml:space="preserve">s at their roost sites and drinking pools is commonplace and is facilitated by European travel agencies (Tucker 1996, Carvalho and Dias 2003, Zwarts </w:t>
            </w:r>
            <w:r w:rsidRPr="00B70B7A">
              <w:rPr>
                <w:rFonts w:ascii="Arial" w:hAnsi="Arial" w:cs="Arial"/>
                <w:i/>
                <w:sz w:val="20"/>
                <w:szCs w:val="20"/>
                <w:lang w:val="en-GB"/>
              </w:rPr>
              <w:t>et al</w:t>
            </w:r>
            <w:r w:rsidRPr="00B70B7A">
              <w:rPr>
                <w:rFonts w:ascii="Arial" w:hAnsi="Arial" w:cs="Arial"/>
                <w:sz w:val="20"/>
                <w:szCs w:val="20"/>
                <w:lang w:val="en-GB"/>
              </w:rPr>
              <w:t xml:space="preserve"> 2009, Raffael Ayé </w:t>
            </w:r>
            <w:r w:rsidRPr="00B70B7A">
              <w:rPr>
                <w:rFonts w:ascii="Arial" w:hAnsi="Arial" w:cs="Arial"/>
                <w:i/>
                <w:sz w:val="20"/>
                <w:szCs w:val="20"/>
                <w:lang w:val="en-GB"/>
              </w:rPr>
              <w:t>pers comm</w:t>
            </w:r>
            <w:r w:rsidRPr="00B70B7A">
              <w:rPr>
                <w:rFonts w:ascii="Arial" w:hAnsi="Arial" w:cs="Arial"/>
                <w:sz w:val="20"/>
                <w:szCs w:val="20"/>
                <w:lang w:val="en-GB"/>
              </w:rPr>
              <w:t>).</w:t>
            </w:r>
          </w:p>
        </w:tc>
      </w:tr>
      <w:tr w:rsidR="00C96521" w:rsidRPr="00B70B7A" w14:paraId="063B9D29" w14:textId="77777777" w:rsidTr="00C96521">
        <w:tc>
          <w:tcPr>
            <w:tcW w:w="874" w:type="pct"/>
            <w:shd w:val="clear" w:color="auto" w:fill="auto"/>
          </w:tcPr>
          <w:p w14:paraId="578E1334"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Malta</w:t>
            </w:r>
          </w:p>
        </w:tc>
        <w:tc>
          <w:tcPr>
            <w:tcW w:w="605" w:type="pct"/>
            <w:shd w:val="clear" w:color="auto" w:fill="auto"/>
          </w:tcPr>
          <w:p w14:paraId="00839EB1"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2,014</w:t>
            </w:r>
          </w:p>
          <w:p w14:paraId="546B95E3"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i/>
                <w:sz w:val="20"/>
                <w:szCs w:val="20"/>
                <w:lang w:val="en-GB"/>
              </w:rPr>
              <w:t>spring 2015</w:t>
            </w:r>
          </w:p>
          <w:p w14:paraId="3E61F80A" w14:textId="77777777" w:rsidR="00C96521" w:rsidRPr="00B70B7A" w:rsidRDefault="00C96521" w:rsidP="00C96521">
            <w:pPr>
              <w:widowControl/>
              <w:autoSpaceDE/>
              <w:autoSpaceDN/>
              <w:adjustRightInd/>
              <w:rPr>
                <w:rFonts w:ascii="Arial" w:hAnsi="Arial" w:cs="Arial"/>
                <w:i/>
                <w:sz w:val="20"/>
                <w:szCs w:val="20"/>
                <w:lang w:val="en-GB"/>
              </w:rPr>
            </w:pPr>
          </w:p>
          <w:p w14:paraId="4F755D04"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lastRenderedPageBreak/>
              <w:t>3,695</w:t>
            </w:r>
          </w:p>
          <w:p w14:paraId="647E43EF"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i/>
                <w:sz w:val="20"/>
                <w:szCs w:val="20"/>
                <w:lang w:val="en-GB"/>
              </w:rPr>
              <w:t>autumn 2015</w:t>
            </w:r>
          </w:p>
          <w:p w14:paraId="5B010DBA" w14:textId="77777777" w:rsidR="00C96521" w:rsidRPr="00B70B7A" w:rsidRDefault="00C96521" w:rsidP="00C96521">
            <w:pPr>
              <w:widowControl/>
              <w:autoSpaceDE/>
              <w:autoSpaceDN/>
              <w:adjustRightInd/>
              <w:rPr>
                <w:rFonts w:ascii="Arial" w:hAnsi="Arial" w:cs="Arial"/>
                <w:i/>
                <w:sz w:val="20"/>
                <w:szCs w:val="20"/>
                <w:lang w:val="en-GB"/>
              </w:rPr>
            </w:pPr>
          </w:p>
          <w:p w14:paraId="5278739B"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1,284</w:t>
            </w:r>
          </w:p>
          <w:p w14:paraId="71F7F5BF"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i/>
                <w:sz w:val="20"/>
                <w:szCs w:val="20"/>
                <w:lang w:val="en-GB"/>
              </w:rPr>
              <w:t>spring 2016</w:t>
            </w:r>
          </w:p>
          <w:p w14:paraId="509B8491" w14:textId="77777777" w:rsidR="00C96521" w:rsidRPr="00B70B7A" w:rsidRDefault="00C96521" w:rsidP="00C96521">
            <w:pPr>
              <w:widowControl/>
              <w:autoSpaceDE/>
              <w:autoSpaceDN/>
              <w:adjustRightInd/>
              <w:rPr>
                <w:rFonts w:ascii="Arial" w:hAnsi="Arial" w:cs="Arial"/>
                <w:i/>
                <w:sz w:val="20"/>
                <w:szCs w:val="20"/>
                <w:lang w:val="en-GB"/>
              </w:rPr>
            </w:pPr>
          </w:p>
          <w:p w14:paraId="793982F8"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123</w:t>
            </w:r>
          </w:p>
          <w:p w14:paraId="2E624B32"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i/>
                <w:sz w:val="20"/>
                <w:szCs w:val="20"/>
                <w:lang w:val="en-GB"/>
              </w:rPr>
              <w:t>autumn 2016</w:t>
            </w:r>
          </w:p>
          <w:p w14:paraId="0BEB949C"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67B0D72C" w14:textId="7A774633"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lastRenderedPageBreak/>
              <w:t>Covered by EU Birds Directive. Previous seasons: spring 2015 14</w:t>
            </w:r>
            <w:r w:rsidRPr="00B70B7A">
              <w:rPr>
                <w:rFonts w:ascii="Arial" w:hAnsi="Arial" w:cs="Arial"/>
                <w:color w:val="000000"/>
                <w:sz w:val="20"/>
                <w:szCs w:val="20"/>
                <w:vertAlign w:val="superscript"/>
                <w:lang w:val="en-GB"/>
              </w:rPr>
              <w:t>t</w:t>
            </w:r>
            <w:r w:rsidRPr="00B70B7A">
              <w:rPr>
                <w:rFonts w:ascii="Arial" w:hAnsi="Arial" w:cs="Arial"/>
                <w:color w:val="000000"/>
                <w:sz w:val="20"/>
                <w:szCs w:val="20"/>
                <w:lang w:val="en-GB"/>
              </w:rPr>
              <w:t xml:space="preserve">to 27 Apr; autumn 2015 1 Sep to 31 Jan; spring 2016 17 to 30 Apr; autumn 2016 1 to 30 Sep. Season reduced in 2016 to Sep only, from 2 hours before sunrise to 2 hours after sunset, on weekdays and Saturdays; on Sundays and Public Holidays, hunting stops at 1pm. </w:t>
            </w:r>
            <w:r w:rsidRPr="00B70B7A">
              <w:rPr>
                <w:rFonts w:ascii="Arial" w:hAnsi="Arial" w:cs="Arial"/>
                <w:sz w:val="20"/>
                <w:szCs w:val="20"/>
                <w:lang w:val="en-GB"/>
              </w:rPr>
              <w:t xml:space="preserve">On </w:t>
            </w:r>
            <w:r w:rsidRPr="00B70B7A">
              <w:rPr>
                <w:rFonts w:ascii="Arial" w:hAnsi="Arial" w:cs="Arial"/>
                <w:sz w:val="20"/>
                <w:szCs w:val="20"/>
                <w:lang w:val="en-GB"/>
              </w:rPr>
              <w:lastRenderedPageBreak/>
              <w:t xml:space="preserve">weekdays between 15 and 30 Sep hunting after 7pm is not allowed. </w:t>
            </w:r>
            <w:r w:rsidRPr="00B70B7A">
              <w:rPr>
                <w:rFonts w:ascii="Arial" w:hAnsi="Arial" w:cs="Arial"/>
                <w:color w:val="000000"/>
                <w:sz w:val="20"/>
                <w:szCs w:val="20"/>
                <w:lang w:val="en-GB"/>
              </w:rPr>
              <w:t xml:space="preserve">Licensed hunters are required to report birds caught to a telephone reporting system before leaving the hunting area. Hunters can only take species listed in their </w:t>
            </w:r>
            <w:r w:rsidRPr="00B70B7A">
              <w:rPr>
                <w:rFonts w:ascii="Arial" w:hAnsi="Arial" w:cs="Arial"/>
                <w:sz w:val="20"/>
                <w:szCs w:val="20"/>
                <w:lang w:val="en-GB"/>
              </w:rPr>
              <w:t xml:space="preserve">licence category. Spring hunting derogation law allows for a maximum 3 weeks in Apr with a maximum quota of 11,000. The autumn hunting season with the latest law allows for </w:t>
            </w:r>
            <w:r w:rsidR="00173165" w:rsidRPr="00B70B7A">
              <w:rPr>
                <w:rFonts w:ascii="Arial" w:hAnsi="Arial" w:cs="Arial"/>
                <w:sz w:val="20"/>
                <w:szCs w:val="20"/>
                <w:lang w:val="en-GB"/>
              </w:rPr>
              <w:t>T</w:t>
            </w:r>
            <w:r w:rsidRPr="00B70B7A">
              <w:rPr>
                <w:rFonts w:ascii="Arial" w:hAnsi="Arial" w:cs="Arial"/>
                <w:sz w:val="20"/>
                <w:szCs w:val="20"/>
                <w:lang w:val="en-GB"/>
              </w:rPr>
              <w:t xml:space="preserve">urtle </w:t>
            </w:r>
            <w:r w:rsidR="00173165" w:rsidRPr="00B70B7A">
              <w:rPr>
                <w:rFonts w:ascii="Arial" w:hAnsi="Arial" w:cs="Arial"/>
                <w:sz w:val="20"/>
                <w:szCs w:val="20"/>
                <w:lang w:val="en-GB"/>
              </w:rPr>
              <w:t>D</w:t>
            </w:r>
            <w:r w:rsidRPr="00B70B7A">
              <w:rPr>
                <w:rFonts w:ascii="Arial" w:hAnsi="Arial" w:cs="Arial"/>
                <w:sz w:val="20"/>
                <w:szCs w:val="20"/>
                <w:lang w:val="en-GB"/>
              </w:rPr>
              <w:t xml:space="preserve">oves to be hunted from 1 to 30 Sep, up to a 7,000 quota. (Wild Birds Regulation Unit </w:t>
            </w:r>
            <w:r w:rsidRPr="00B70B7A">
              <w:rPr>
                <w:rFonts w:ascii="Arial" w:hAnsi="Arial" w:cs="Arial"/>
                <w:i/>
                <w:sz w:val="20"/>
                <w:szCs w:val="20"/>
                <w:lang w:val="en-GB"/>
              </w:rPr>
              <w:t>pers comm</w:t>
            </w:r>
            <w:r w:rsidRPr="00B70B7A">
              <w:rPr>
                <w:rFonts w:ascii="Arial" w:hAnsi="Arial" w:cs="Arial"/>
                <w:sz w:val="20"/>
                <w:szCs w:val="20"/>
                <w:lang w:val="en-GB"/>
              </w:rPr>
              <w:t xml:space="preserve">, WBRU 2015, WBRU 2016). Hunting in the spring of 2008 and 2009 was completely prohibited. Following the judgment of the Court of Justice of the European Union (CJEU) in Case C-76/08 Commission vs. Malta of 10 September 2009, Malta applied derogations for limited hunting of the species in spring under strictly supervised conditions from 2010 to 2016. The conditions are stipulated in the Conservation of Wild Birds Regulations (Framework for allowing a derogation opening a Spring Hunting season for </w:t>
            </w:r>
            <w:r w:rsidR="00173165" w:rsidRPr="00B70B7A">
              <w:rPr>
                <w:rFonts w:ascii="Arial" w:hAnsi="Arial" w:cs="Arial"/>
                <w:sz w:val="20"/>
                <w:szCs w:val="20"/>
                <w:lang w:val="en-GB"/>
              </w:rPr>
              <w:t xml:space="preserve">the </w:t>
            </w:r>
            <w:r w:rsidRPr="00B70B7A">
              <w:rPr>
                <w:rFonts w:ascii="Arial" w:hAnsi="Arial" w:cs="Arial"/>
                <w:sz w:val="20"/>
                <w:szCs w:val="20"/>
                <w:lang w:val="en-GB"/>
              </w:rPr>
              <w:t>Turtle</w:t>
            </w:r>
            <w:r w:rsidR="00173165" w:rsidRPr="00B70B7A">
              <w:rPr>
                <w:rFonts w:ascii="Arial" w:hAnsi="Arial" w:cs="Arial"/>
                <w:sz w:val="20"/>
                <w:szCs w:val="20"/>
                <w:lang w:val="en-GB"/>
              </w:rPr>
              <w:t xml:space="preserve"> D</w:t>
            </w:r>
            <w:r w:rsidRPr="00B70B7A">
              <w:rPr>
                <w:rFonts w:ascii="Arial" w:hAnsi="Arial" w:cs="Arial"/>
                <w:sz w:val="20"/>
                <w:szCs w:val="20"/>
                <w:lang w:val="en-GB"/>
              </w:rPr>
              <w:t xml:space="preserve">ove and Quail, S.L. 549.57) which establishes the parameters for the application of a derogation, including provisions related to individual, seasonal and national bag limits, obligations concerning enforcement, reporting requirements and other conditions. The Framework Regulations dictate that a spring hunting season for this species will open if the previous autumn hunting bag exceeds 20,000 specimens. Bag statistics and detailed information on each year’s special licensing process and enforcement are published annually.  </w:t>
            </w:r>
          </w:p>
        </w:tc>
      </w:tr>
      <w:tr w:rsidR="00C96521" w:rsidRPr="008C00B8" w14:paraId="1D729267" w14:textId="77777777" w:rsidTr="00C96521">
        <w:tc>
          <w:tcPr>
            <w:tcW w:w="874" w:type="pct"/>
            <w:shd w:val="clear" w:color="auto" w:fill="auto"/>
          </w:tcPr>
          <w:p w14:paraId="3808F022"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lastRenderedPageBreak/>
              <w:t>Mauritania</w:t>
            </w:r>
          </w:p>
        </w:tc>
        <w:tc>
          <w:tcPr>
            <w:tcW w:w="605" w:type="pct"/>
            <w:shd w:val="clear" w:color="auto" w:fill="auto"/>
          </w:tcPr>
          <w:p w14:paraId="49F111B5"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40411FED" w14:textId="77777777" w:rsidR="00C96521" w:rsidRPr="00B70B7A" w:rsidRDefault="00C96521" w:rsidP="00C96521">
            <w:pPr>
              <w:widowControl/>
              <w:autoSpaceDE/>
              <w:autoSpaceDN/>
              <w:adjustRightInd/>
              <w:rPr>
                <w:rFonts w:ascii="Arial" w:hAnsi="Arial" w:cs="Arial"/>
                <w:color w:val="000000"/>
                <w:sz w:val="20"/>
                <w:szCs w:val="20"/>
                <w:lang w:val="fr-FR"/>
              </w:rPr>
            </w:pPr>
            <w:r w:rsidRPr="00B70B7A">
              <w:rPr>
                <w:rFonts w:ascii="Arial" w:hAnsi="Arial" w:cs="Arial"/>
                <w:i/>
                <w:color w:val="000000"/>
                <w:sz w:val="20"/>
                <w:szCs w:val="20"/>
                <w:lang w:val="fr-FR"/>
              </w:rPr>
              <w:t>Streptopelia</w:t>
            </w:r>
            <w:r w:rsidRPr="00B70B7A">
              <w:rPr>
                <w:rFonts w:ascii="Arial" w:hAnsi="Arial" w:cs="Arial"/>
                <w:color w:val="000000"/>
                <w:sz w:val="20"/>
                <w:szCs w:val="20"/>
                <w:lang w:val="fr-FR"/>
              </w:rPr>
              <w:t xml:space="preserve"> </w:t>
            </w:r>
            <w:r w:rsidRPr="00B70B7A">
              <w:rPr>
                <w:rFonts w:ascii="Arial" w:hAnsi="Arial" w:cs="Arial"/>
                <w:i/>
                <w:color w:val="000000"/>
                <w:sz w:val="20"/>
                <w:szCs w:val="20"/>
                <w:lang w:val="fr-FR"/>
              </w:rPr>
              <w:t>sp</w:t>
            </w:r>
            <w:r w:rsidRPr="00B70B7A">
              <w:rPr>
                <w:rFonts w:ascii="Arial" w:hAnsi="Arial" w:cs="Arial"/>
                <w:color w:val="000000"/>
                <w:sz w:val="20"/>
                <w:szCs w:val="20"/>
                <w:lang w:val="fr-FR"/>
              </w:rPr>
              <w:t xml:space="preserve"> partially protected (Journal Officiel de la République Islamique de Mauritanie 1997), but hunting does take place (Sheehan </w:t>
            </w:r>
            <w:r w:rsidRPr="00B70B7A">
              <w:rPr>
                <w:rFonts w:ascii="Arial" w:hAnsi="Arial" w:cs="Arial"/>
                <w:i/>
                <w:color w:val="000000"/>
                <w:sz w:val="20"/>
                <w:szCs w:val="20"/>
                <w:lang w:val="fr-FR"/>
              </w:rPr>
              <w:t>et al</w:t>
            </w:r>
            <w:r w:rsidRPr="00B70B7A">
              <w:rPr>
                <w:rFonts w:ascii="Arial" w:hAnsi="Arial" w:cs="Arial"/>
                <w:color w:val="000000"/>
                <w:sz w:val="20"/>
                <w:szCs w:val="20"/>
                <w:lang w:val="fr-FR"/>
              </w:rPr>
              <w:t xml:space="preserve"> 2014).</w:t>
            </w:r>
          </w:p>
        </w:tc>
      </w:tr>
      <w:tr w:rsidR="00C96521" w:rsidRPr="00B70B7A" w14:paraId="37F65695" w14:textId="77777777" w:rsidTr="00C96521">
        <w:tc>
          <w:tcPr>
            <w:tcW w:w="874" w:type="pct"/>
            <w:shd w:val="clear" w:color="auto" w:fill="auto"/>
          </w:tcPr>
          <w:p w14:paraId="444C7F58"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Montenegro</w:t>
            </w:r>
          </w:p>
        </w:tc>
        <w:tc>
          <w:tcPr>
            <w:tcW w:w="605" w:type="pct"/>
            <w:shd w:val="clear" w:color="auto" w:fill="auto"/>
          </w:tcPr>
          <w:p w14:paraId="45BE21B8"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2A206603" w14:textId="65EF88FC"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Not protected. Hunting season from 1 Aug to 31 Dec (BirdLife International 2014h).</w:t>
            </w:r>
          </w:p>
        </w:tc>
      </w:tr>
      <w:tr w:rsidR="00C96521" w:rsidRPr="00B70B7A" w14:paraId="13598FFD" w14:textId="77777777" w:rsidTr="00C96521">
        <w:tc>
          <w:tcPr>
            <w:tcW w:w="874" w:type="pct"/>
            <w:shd w:val="clear" w:color="auto" w:fill="auto"/>
          </w:tcPr>
          <w:p w14:paraId="006475A3"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Morocco</w:t>
            </w:r>
          </w:p>
        </w:tc>
        <w:tc>
          <w:tcPr>
            <w:tcW w:w="605" w:type="pct"/>
            <w:shd w:val="clear" w:color="auto" w:fill="auto"/>
          </w:tcPr>
          <w:p w14:paraId="2901AA16"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sz w:val="20"/>
                <w:szCs w:val="20"/>
                <w:lang w:val="en-GB"/>
              </w:rPr>
              <w:t xml:space="preserve">31,682 </w:t>
            </w:r>
            <w:r w:rsidRPr="00B70B7A">
              <w:rPr>
                <w:rFonts w:ascii="Arial" w:hAnsi="Arial" w:cs="Arial"/>
                <w:i/>
                <w:sz w:val="20"/>
                <w:szCs w:val="20"/>
                <w:lang w:val="en-GB"/>
              </w:rPr>
              <w:t>2013</w:t>
            </w:r>
          </w:p>
        </w:tc>
        <w:tc>
          <w:tcPr>
            <w:tcW w:w="3521" w:type="pct"/>
          </w:tcPr>
          <w:p w14:paraId="3FE6C67D" w14:textId="5A42B5B5"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Season Jul to Aug (BirdLife International 2014i, HCEFLCD 2013 in Hanane and Besnard 2014). In the Tadla region of Morocco, about 2% of the breeding population was harvested in 2013 (Hanane and Besnard 2014). Hunting is mainly of </w:t>
            </w:r>
            <w:r w:rsidRPr="00B70B7A">
              <w:rPr>
                <w:rFonts w:ascii="Arial" w:hAnsi="Arial" w:cs="Arial"/>
                <w:i/>
                <w:sz w:val="20"/>
                <w:szCs w:val="20"/>
                <w:lang w:val="en-GB"/>
              </w:rPr>
              <w:t>Streptopelia turtur arenicola</w:t>
            </w:r>
            <w:r w:rsidRPr="00B70B7A">
              <w:rPr>
                <w:rFonts w:ascii="Arial" w:hAnsi="Arial" w:cs="Arial"/>
                <w:sz w:val="20"/>
                <w:szCs w:val="20"/>
                <w:lang w:val="en-GB"/>
              </w:rPr>
              <w:t xml:space="preserve"> (El Mastour 1998 in Dubois 2002) and hunting ends by the 25 Aug, so many of the European-breeding birds are unlikely to be affected by hunting in Morocco (M Denny </w:t>
            </w:r>
            <w:r w:rsidRPr="00B70B7A">
              <w:rPr>
                <w:rFonts w:ascii="Arial" w:hAnsi="Arial" w:cs="Arial"/>
                <w:i/>
                <w:sz w:val="20"/>
                <w:szCs w:val="20"/>
                <w:lang w:val="en-GB"/>
              </w:rPr>
              <w:t>unpublished</w:t>
            </w:r>
            <w:r w:rsidRPr="00B70B7A">
              <w:rPr>
                <w:rFonts w:ascii="Arial" w:hAnsi="Arial" w:cs="Arial"/>
                <w:sz w:val="20"/>
                <w:szCs w:val="20"/>
                <w:lang w:val="en-GB"/>
              </w:rPr>
              <w:t xml:space="preserve">). </w:t>
            </w:r>
          </w:p>
        </w:tc>
      </w:tr>
      <w:tr w:rsidR="00C96521" w:rsidRPr="00B70B7A" w14:paraId="5F091A8C" w14:textId="77777777" w:rsidTr="00C96521">
        <w:tc>
          <w:tcPr>
            <w:tcW w:w="874" w:type="pct"/>
            <w:shd w:val="clear" w:color="auto" w:fill="auto"/>
          </w:tcPr>
          <w:p w14:paraId="6DF5A9EF"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Netherlands</w:t>
            </w:r>
          </w:p>
        </w:tc>
        <w:tc>
          <w:tcPr>
            <w:tcW w:w="605" w:type="pct"/>
            <w:shd w:val="clear" w:color="auto" w:fill="auto"/>
          </w:tcPr>
          <w:p w14:paraId="04852B8A"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03E40E66"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Not hunted.</w:t>
            </w:r>
          </w:p>
        </w:tc>
      </w:tr>
      <w:tr w:rsidR="00C96521" w:rsidRPr="00B70B7A" w14:paraId="776B2C35" w14:textId="77777777" w:rsidTr="00C96521">
        <w:tc>
          <w:tcPr>
            <w:tcW w:w="874" w:type="pct"/>
            <w:shd w:val="clear" w:color="auto" w:fill="auto"/>
          </w:tcPr>
          <w:p w14:paraId="7B4C4F3D"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Niger</w:t>
            </w:r>
          </w:p>
        </w:tc>
        <w:tc>
          <w:tcPr>
            <w:tcW w:w="605" w:type="pct"/>
            <w:shd w:val="clear" w:color="auto" w:fill="auto"/>
          </w:tcPr>
          <w:p w14:paraId="3988C3F5"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4ED25DF4"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Hunting takes place (Brouwer 2014).</w:t>
            </w:r>
          </w:p>
        </w:tc>
      </w:tr>
      <w:tr w:rsidR="00C96521" w:rsidRPr="00B70B7A" w14:paraId="60C4A236" w14:textId="77777777" w:rsidTr="00C96521">
        <w:tc>
          <w:tcPr>
            <w:tcW w:w="874" w:type="pct"/>
            <w:shd w:val="clear" w:color="auto" w:fill="auto"/>
          </w:tcPr>
          <w:p w14:paraId="658BF3E6"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Palestinian Territory</w:t>
            </w:r>
          </w:p>
        </w:tc>
        <w:tc>
          <w:tcPr>
            <w:tcW w:w="605" w:type="pct"/>
            <w:shd w:val="clear" w:color="auto" w:fill="auto"/>
          </w:tcPr>
          <w:p w14:paraId="4518A821"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5DF6D134"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Legislation based on Jordanian Environmental Law (BirdLife International 2014j), but status unclear.</w:t>
            </w:r>
          </w:p>
        </w:tc>
      </w:tr>
      <w:tr w:rsidR="00C96521" w:rsidRPr="00B70B7A" w14:paraId="068D7A6B" w14:textId="77777777" w:rsidTr="00C96521">
        <w:tc>
          <w:tcPr>
            <w:tcW w:w="874" w:type="pct"/>
            <w:shd w:val="clear" w:color="auto" w:fill="auto"/>
          </w:tcPr>
          <w:p w14:paraId="728FE827"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Poland</w:t>
            </w:r>
          </w:p>
        </w:tc>
        <w:tc>
          <w:tcPr>
            <w:tcW w:w="605" w:type="pct"/>
            <w:shd w:val="clear" w:color="auto" w:fill="auto"/>
          </w:tcPr>
          <w:p w14:paraId="15CA07A6"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029418F1"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legislation. Not hunted.</w:t>
            </w:r>
          </w:p>
        </w:tc>
      </w:tr>
      <w:tr w:rsidR="00C96521" w:rsidRPr="00B70B7A" w14:paraId="5C88EC93" w14:textId="77777777" w:rsidTr="00C96521">
        <w:tc>
          <w:tcPr>
            <w:tcW w:w="874" w:type="pct"/>
            <w:shd w:val="clear" w:color="auto" w:fill="auto"/>
          </w:tcPr>
          <w:p w14:paraId="7C9E1C6F"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Portugal</w:t>
            </w:r>
          </w:p>
        </w:tc>
        <w:tc>
          <w:tcPr>
            <w:tcW w:w="605" w:type="pct"/>
            <w:shd w:val="clear" w:color="auto" w:fill="auto"/>
          </w:tcPr>
          <w:p w14:paraId="58B5BCAF"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sz w:val="20"/>
                <w:szCs w:val="20"/>
                <w:lang w:val="en-GB"/>
              </w:rPr>
              <w:t>109,815 2</w:t>
            </w:r>
            <w:r w:rsidRPr="00B70B7A">
              <w:rPr>
                <w:rFonts w:ascii="Arial" w:hAnsi="Arial" w:cs="Arial"/>
                <w:i/>
                <w:sz w:val="20"/>
                <w:szCs w:val="20"/>
                <w:lang w:val="en-GB"/>
              </w:rPr>
              <w:t>013-14</w:t>
            </w:r>
          </w:p>
        </w:tc>
        <w:tc>
          <w:tcPr>
            <w:tcW w:w="3521" w:type="pct"/>
          </w:tcPr>
          <w:p w14:paraId="4F14658F" w14:textId="520AD1F4"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 xml:space="preserve">Covered by EU Birds Directive. Since 2012, the third Sunday in Aug to 30 Sep. The daily bag limit was reduced from 8 to 6 birds in 2015, reducing further to 5 in 2017 and 4 in 2018. Available bag statistics 1989-2011, covering c90% of the country show a 0.4% annual decrease (ICNF </w:t>
            </w:r>
            <w:r w:rsidRPr="00B70B7A">
              <w:rPr>
                <w:rFonts w:ascii="Arial" w:hAnsi="Arial" w:cs="Arial"/>
                <w:i/>
                <w:color w:val="000000"/>
                <w:sz w:val="20"/>
                <w:szCs w:val="20"/>
                <w:lang w:val="en-GB"/>
              </w:rPr>
              <w:t>unpublished data</w:t>
            </w:r>
            <w:r w:rsidRPr="00B70B7A">
              <w:rPr>
                <w:rFonts w:ascii="Arial" w:hAnsi="Arial" w:cs="Arial"/>
                <w:color w:val="000000"/>
                <w:sz w:val="20"/>
                <w:szCs w:val="20"/>
                <w:lang w:val="en-GB"/>
              </w:rPr>
              <w:t xml:space="preserve">, Susana Dias </w:t>
            </w:r>
            <w:r w:rsidRPr="00B70B7A">
              <w:rPr>
                <w:rFonts w:ascii="Arial" w:hAnsi="Arial" w:cs="Arial"/>
                <w:i/>
                <w:color w:val="000000"/>
                <w:sz w:val="20"/>
                <w:szCs w:val="20"/>
                <w:lang w:val="en-GB"/>
              </w:rPr>
              <w:t>pers comm</w:t>
            </w:r>
            <w:r w:rsidRPr="00B70B7A">
              <w:rPr>
                <w:rFonts w:ascii="Arial" w:hAnsi="Arial" w:cs="Arial"/>
                <w:color w:val="000000"/>
                <w:sz w:val="20"/>
                <w:szCs w:val="20"/>
                <w:lang w:val="en-GB"/>
              </w:rPr>
              <w:t xml:space="preserve">). </w:t>
            </w:r>
            <w:r w:rsidRPr="00B70B7A">
              <w:rPr>
                <w:rFonts w:ascii="Arial" w:hAnsi="Arial" w:cs="Arial"/>
                <w:sz w:val="20"/>
                <w:szCs w:val="20"/>
                <w:lang w:val="en-GB"/>
              </w:rPr>
              <w:t xml:space="preserve">The number of birds shot was c200,000 in 2009/2010, dropping to c120,000 birds in the last three hunting seasons (2014-2016). The number of birds shot has decreased from c11.2 birds shot/100 ha in 1996/1997 to 3.4/100 ha in 2014/2015 (Júlia Almeida </w:t>
            </w:r>
            <w:r w:rsidRPr="00B70B7A">
              <w:rPr>
                <w:rFonts w:ascii="Arial" w:hAnsi="Arial" w:cs="Arial"/>
                <w:i/>
                <w:sz w:val="20"/>
                <w:szCs w:val="20"/>
                <w:lang w:val="en-GB"/>
              </w:rPr>
              <w:t>pers comm;</w:t>
            </w:r>
            <w:r w:rsidRPr="00B70B7A">
              <w:rPr>
                <w:rFonts w:ascii="Arial" w:hAnsi="Arial" w:cs="Arial"/>
                <w:sz w:val="20"/>
                <w:szCs w:val="20"/>
                <w:lang w:val="en-GB"/>
              </w:rPr>
              <w:t xml:space="preserve"> </w:t>
            </w:r>
            <w:r w:rsidRPr="00B70B7A">
              <w:rPr>
                <w:rFonts w:ascii="Arial" w:hAnsi="Arial" w:cs="Arial"/>
                <w:color w:val="000000"/>
                <w:sz w:val="20"/>
                <w:szCs w:val="20"/>
                <w:lang w:val="en-GB"/>
              </w:rPr>
              <w:t>Breeding Monitoring Scheme 1994-2004; hunting statistics for game estates 1989 onwards; past and current National Breeding Birds Atlas).</w:t>
            </w:r>
          </w:p>
        </w:tc>
      </w:tr>
      <w:tr w:rsidR="00B70B7A" w:rsidRPr="00B70B7A" w14:paraId="3A30F7F8" w14:textId="77777777" w:rsidTr="00C96521">
        <w:tc>
          <w:tcPr>
            <w:tcW w:w="874" w:type="pct"/>
            <w:shd w:val="clear" w:color="auto" w:fill="auto"/>
          </w:tcPr>
          <w:p w14:paraId="1E38FB6C" w14:textId="0360C03E" w:rsidR="00B70B7A" w:rsidRPr="00B70B7A" w:rsidRDefault="00B70B7A" w:rsidP="00B70B7A">
            <w:pPr>
              <w:widowControl/>
              <w:autoSpaceDE/>
              <w:autoSpaceDN/>
              <w:adjustRightInd/>
              <w:rPr>
                <w:rFonts w:cs="Arial"/>
                <w:sz w:val="20"/>
                <w:szCs w:val="20"/>
                <w:lang w:val="en-GB"/>
              </w:rPr>
            </w:pPr>
            <w:r w:rsidRPr="00B70B7A">
              <w:rPr>
                <w:rFonts w:ascii="Arial" w:hAnsi="Arial" w:cs="Arial"/>
                <w:sz w:val="20"/>
                <w:szCs w:val="20"/>
                <w:lang w:val="en-GB"/>
              </w:rPr>
              <w:t>Republic of Moldova</w:t>
            </w:r>
          </w:p>
        </w:tc>
        <w:tc>
          <w:tcPr>
            <w:tcW w:w="605" w:type="pct"/>
            <w:shd w:val="clear" w:color="auto" w:fill="auto"/>
          </w:tcPr>
          <w:p w14:paraId="0B121E9A" w14:textId="77777777" w:rsidR="00B70B7A" w:rsidRPr="00B70B7A" w:rsidRDefault="00B70B7A" w:rsidP="00B70B7A">
            <w:pPr>
              <w:widowControl/>
              <w:autoSpaceDE/>
              <w:autoSpaceDN/>
              <w:adjustRightInd/>
              <w:rPr>
                <w:rFonts w:cs="Arial"/>
                <w:sz w:val="20"/>
                <w:szCs w:val="20"/>
                <w:lang w:val="en-GB"/>
              </w:rPr>
            </w:pPr>
          </w:p>
        </w:tc>
        <w:tc>
          <w:tcPr>
            <w:tcW w:w="3521" w:type="pct"/>
          </w:tcPr>
          <w:p w14:paraId="512CAE8B" w14:textId="08752EB2" w:rsidR="00B70B7A" w:rsidRPr="00B70B7A" w:rsidRDefault="00B70B7A" w:rsidP="00B70B7A">
            <w:pPr>
              <w:widowControl/>
              <w:autoSpaceDE/>
              <w:autoSpaceDN/>
              <w:adjustRightInd/>
              <w:rPr>
                <w:rFonts w:cs="Arial"/>
                <w:sz w:val="20"/>
                <w:szCs w:val="20"/>
                <w:lang w:val="en-GB"/>
              </w:rPr>
            </w:pPr>
            <w:r w:rsidRPr="00BA3B6E">
              <w:rPr>
                <w:rFonts w:ascii="Arial" w:hAnsi="Arial" w:cs="Arial"/>
                <w:color w:val="000000"/>
                <w:sz w:val="20"/>
                <w:szCs w:val="20"/>
                <w:lang w:val="en-GB"/>
              </w:rPr>
              <w:t xml:space="preserve">"Doves" are huntable from Aug to Dec (Travel in Moldova </w:t>
            </w:r>
            <w:r w:rsidRPr="00BA3B6E">
              <w:rPr>
                <w:rFonts w:ascii="Arial" w:hAnsi="Arial" w:cs="Arial"/>
                <w:i/>
                <w:color w:val="000000"/>
                <w:sz w:val="20"/>
                <w:szCs w:val="20"/>
                <w:lang w:val="en-GB"/>
              </w:rPr>
              <w:t>undated</w:t>
            </w:r>
            <w:r w:rsidRPr="00BA3B6E">
              <w:rPr>
                <w:rFonts w:ascii="Arial" w:hAnsi="Arial" w:cs="Arial"/>
                <w:color w:val="000000"/>
                <w:sz w:val="20"/>
                <w:szCs w:val="20"/>
                <w:lang w:val="en-GB"/>
              </w:rPr>
              <w:t xml:space="preserve">). However, the Republic of Moldova Government Decision no. 963 of 08.08.2016 made hunting for migratory birds (including </w:t>
            </w:r>
            <w:r w:rsidRPr="00BA3B6E">
              <w:rPr>
                <w:rFonts w:ascii="Arial" w:hAnsi="Arial" w:cs="Arial"/>
                <w:sz w:val="20"/>
                <w:szCs w:val="20"/>
                <w:lang w:val="en-GB"/>
              </w:rPr>
              <w:t>Turtle Doves</w:t>
            </w:r>
            <w:r w:rsidRPr="00BA3B6E">
              <w:rPr>
                <w:rFonts w:ascii="Arial" w:hAnsi="Arial" w:cs="Arial"/>
                <w:color w:val="000000"/>
                <w:sz w:val="20"/>
                <w:szCs w:val="20"/>
                <w:lang w:val="en-GB"/>
              </w:rPr>
              <w:t xml:space="preserve">) forbidden during 2016-2017 (Vitalie Grimalschi </w:t>
            </w:r>
            <w:r w:rsidRPr="00BA3B6E">
              <w:rPr>
                <w:rFonts w:ascii="Arial" w:hAnsi="Arial" w:cs="Arial"/>
                <w:i/>
                <w:color w:val="000000"/>
                <w:sz w:val="20"/>
                <w:szCs w:val="20"/>
                <w:lang w:val="en-GB"/>
              </w:rPr>
              <w:t>pers comm</w:t>
            </w:r>
            <w:r w:rsidRPr="00BA3B6E">
              <w:rPr>
                <w:rFonts w:ascii="Arial" w:hAnsi="Arial" w:cs="Arial"/>
                <w:color w:val="000000"/>
                <w:sz w:val="20"/>
                <w:szCs w:val="20"/>
                <w:lang w:val="en-GB"/>
              </w:rPr>
              <w:t>).</w:t>
            </w:r>
          </w:p>
        </w:tc>
      </w:tr>
      <w:tr w:rsidR="00B70B7A" w:rsidRPr="00B70B7A" w14:paraId="6910E622" w14:textId="77777777" w:rsidTr="00C96521">
        <w:tc>
          <w:tcPr>
            <w:tcW w:w="874" w:type="pct"/>
            <w:shd w:val="clear" w:color="auto" w:fill="auto"/>
          </w:tcPr>
          <w:p w14:paraId="0BE8A423"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lastRenderedPageBreak/>
              <w:t>Romania</w:t>
            </w:r>
          </w:p>
        </w:tc>
        <w:tc>
          <w:tcPr>
            <w:tcW w:w="605" w:type="pct"/>
            <w:shd w:val="clear" w:color="auto" w:fill="auto"/>
          </w:tcPr>
          <w:p w14:paraId="76ED994B"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30,000 max</w:t>
            </w:r>
          </w:p>
          <w:p w14:paraId="141ED67F" w14:textId="77777777" w:rsidR="00B70B7A" w:rsidRPr="00B70B7A" w:rsidRDefault="00B70B7A" w:rsidP="00B70B7A">
            <w:pPr>
              <w:widowControl/>
              <w:autoSpaceDE/>
              <w:autoSpaceDN/>
              <w:adjustRightInd/>
              <w:rPr>
                <w:rFonts w:ascii="Arial" w:hAnsi="Arial" w:cs="Arial"/>
                <w:i/>
                <w:sz w:val="20"/>
                <w:szCs w:val="20"/>
                <w:lang w:val="en-GB"/>
              </w:rPr>
            </w:pPr>
            <w:r w:rsidRPr="00B70B7A">
              <w:rPr>
                <w:rFonts w:ascii="Arial" w:hAnsi="Arial" w:cs="Arial"/>
                <w:i/>
                <w:sz w:val="20"/>
                <w:szCs w:val="20"/>
                <w:lang w:val="en-GB"/>
              </w:rPr>
              <w:t>annually</w:t>
            </w:r>
          </w:p>
        </w:tc>
        <w:tc>
          <w:tcPr>
            <w:tcW w:w="3521" w:type="pct"/>
          </w:tcPr>
          <w:p w14:paraId="7E179089"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Covered by EU Birds Directive. Annual quota approved each year by the Government. The seasons starts on the 15</w:t>
            </w:r>
            <w:r w:rsidRPr="00B70B7A">
              <w:rPr>
                <w:rFonts w:ascii="Arial" w:hAnsi="Arial" w:cs="Arial"/>
                <w:sz w:val="20"/>
                <w:szCs w:val="20"/>
                <w:vertAlign w:val="superscript"/>
                <w:lang w:val="en-GB"/>
              </w:rPr>
              <w:t>th</w:t>
            </w:r>
            <w:r w:rsidRPr="00B70B7A">
              <w:rPr>
                <w:rFonts w:ascii="Arial" w:hAnsi="Arial" w:cs="Arial"/>
                <w:sz w:val="20"/>
                <w:szCs w:val="20"/>
                <w:lang w:val="en-GB"/>
              </w:rPr>
              <w:t xml:space="preserve"> of Aug. At the recent request of the Government, the end of the hunting period was shortened back from the 18</w:t>
            </w:r>
            <w:r w:rsidRPr="00B70B7A">
              <w:rPr>
                <w:rFonts w:ascii="Arial" w:hAnsi="Arial" w:cs="Arial"/>
                <w:sz w:val="20"/>
                <w:szCs w:val="20"/>
                <w:vertAlign w:val="superscript"/>
                <w:lang w:val="en-GB"/>
              </w:rPr>
              <w:t>th</w:t>
            </w:r>
            <w:r w:rsidRPr="00B70B7A">
              <w:rPr>
                <w:rFonts w:ascii="Arial" w:hAnsi="Arial" w:cs="Arial"/>
                <w:sz w:val="20"/>
                <w:szCs w:val="20"/>
                <w:lang w:val="en-GB"/>
              </w:rPr>
              <w:t xml:space="preserve"> of Feb to the 30</w:t>
            </w:r>
            <w:r w:rsidRPr="00B70B7A">
              <w:rPr>
                <w:rFonts w:ascii="Arial" w:hAnsi="Arial" w:cs="Arial"/>
                <w:sz w:val="20"/>
                <w:szCs w:val="20"/>
                <w:vertAlign w:val="superscript"/>
                <w:lang w:val="en-GB"/>
              </w:rPr>
              <w:t>th</w:t>
            </w:r>
            <w:r w:rsidRPr="00B70B7A">
              <w:rPr>
                <w:rFonts w:ascii="Arial" w:hAnsi="Arial" w:cs="Arial"/>
                <w:sz w:val="20"/>
                <w:szCs w:val="20"/>
                <w:lang w:val="en-GB"/>
              </w:rPr>
              <w:t xml:space="preserve"> Sep. An estimated 30,000 individuals are taken yearly. (Michele Sorrenti </w:t>
            </w:r>
            <w:r w:rsidRPr="00B70B7A">
              <w:rPr>
                <w:rFonts w:ascii="Arial" w:hAnsi="Arial" w:cs="Arial"/>
                <w:i/>
                <w:sz w:val="20"/>
                <w:szCs w:val="20"/>
                <w:lang w:val="en-GB"/>
              </w:rPr>
              <w:t>pers comm</w:t>
            </w:r>
            <w:r w:rsidRPr="00B70B7A">
              <w:rPr>
                <w:rFonts w:ascii="Arial" w:hAnsi="Arial" w:cs="Arial"/>
                <w:sz w:val="20"/>
                <w:szCs w:val="20"/>
                <w:lang w:val="en-GB"/>
              </w:rPr>
              <w:t>)</w:t>
            </w:r>
          </w:p>
        </w:tc>
      </w:tr>
      <w:tr w:rsidR="00B70B7A" w:rsidRPr="00B70B7A" w14:paraId="6658D0B9" w14:textId="77777777" w:rsidTr="00C96521">
        <w:tc>
          <w:tcPr>
            <w:tcW w:w="874" w:type="pct"/>
            <w:shd w:val="clear" w:color="auto" w:fill="auto"/>
          </w:tcPr>
          <w:p w14:paraId="485984B0"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Russian Federation (European)</w:t>
            </w:r>
          </w:p>
        </w:tc>
        <w:tc>
          <w:tcPr>
            <w:tcW w:w="605" w:type="pct"/>
            <w:shd w:val="clear" w:color="auto" w:fill="auto"/>
          </w:tcPr>
          <w:p w14:paraId="2D4421B7"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29CE31CA"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 xml:space="preserve">Imminent protected by inclusion in the Red Data Book of the Russian Federation; hunting of turtle-dove will be prohibited for at least 10 years, with serious penalties for illegal killing (Alexander Mischenko </w:t>
            </w:r>
            <w:r w:rsidRPr="00B70B7A">
              <w:rPr>
                <w:rFonts w:ascii="Arial" w:hAnsi="Arial" w:cs="Arial"/>
                <w:i/>
                <w:color w:val="000000"/>
                <w:sz w:val="20"/>
                <w:szCs w:val="20"/>
                <w:lang w:val="en-GB"/>
              </w:rPr>
              <w:t>pers comm</w:t>
            </w:r>
            <w:r w:rsidRPr="00B70B7A">
              <w:rPr>
                <w:rFonts w:ascii="Arial" w:hAnsi="Arial" w:cs="Arial"/>
                <w:color w:val="000000"/>
                <w:sz w:val="20"/>
                <w:szCs w:val="20"/>
                <w:lang w:val="en-GB"/>
              </w:rPr>
              <w:t xml:space="preserve">, Evgeny Syroechkovskiy </w:t>
            </w:r>
            <w:r w:rsidRPr="00B70B7A">
              <w:rPr>
                <w:rFonts w:ascii="Arial" w:hAnsi="Arial" w:cs="Arial"/>
                <w:i/>
                <w:color w:val="000000"/>
                <w:sz w:val="20"/>
                <w:szCs w:val="20"/>
                <w:lang w:val="en-GB"/>
              </w:rPr>
              <w:t>pers comm</w:t>
            </w:r>
            <w:r w:rsidRPr="00B70B7A">
              <w:rPr>
                <w:rFonts w:ascii="Arial" w:hAnsi="Arial" w:cs="Arial"/>
                <w:color w:val="000000"/>
                <w:sz w:val="20"/>
                <w:szCs w:val="20"/>
                <w:lang w:val="en-GB"/>
              </w:rPr>
              <w:t>). Generally, hunting in north-west Russia takes low numbers (Rouxel 2000).</w:t>
            </w:r>
          </w:p>
        </w:tc>
      </w:tr>
      <w:tr w:rsidR="00B70B7A" w:rsidRPr="00B70B7A" w14:paraId="7109178D" w14:textId="77777777" w:rsidTr="00C96521">
        <w:tc>
          <w:tcPr>
            <w:tcW w:w="874" w:type="pct"/>
            <w:shd w:val="clear" w:color="auto" w:fill="auto"/>
          </w:tcPr>
          <w:p w14:paraId="784C27D7"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Senegal</w:t>
            </w:r>
          </w:p>
        </w:tc>
        <w:tc>
          <w:tcPr>
            <w:tcW w:w="605" w:type="pct"/>
            <w:shd w:val="clear" w:color="auto" w:fill="auto"/>
          </w:tcPr>
          <w:p w14:paraId="1CA14CC2"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730A6672"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Hunting of turtle-doves at their roost sites and drinking pools is commonplace and is facilitated by European travel agencies (Tucker 1996, Carvalho and Dias 2003, Zwarts </w:t>
            </w:r>
            <w:r w:rsidRPr="00B70B7A">
              <w:rPr>
                <w:rFonts w:ascii="Arial" w:hAnsi="Arial" w:cs="Arial"/>
                <w:i/>
                <w:sz w:val="20"/>
                <w:szCs w:val="20"/>
                <w:lang w:val="en-GB"/>
              </w:rPr>
              <w:t>et al</w:t>
            </w:r>
            <w:r w:rsidRPr="00B70B7A">
              <w:rPr>
                <w:rFonts w:ascii="Arial" w:hAnsi="Arial" w:cs="Arial"/>
                <w:sz w:val="20"/>
                <w:szCs w:val="20"/>
                <w:lang w:val="en-GB"/>
              </w:rPr>
              <w:t xml:space="preserve"> 2009, Raffael Ayé </w:t>
            </w:r>
            <w:r w:rsidRPr="00B70B7A">
              <w:rPr>
                <w:rFonts w:ascii="Arial" w:hAnsi="Arial" w:cs="Arial"/>
                <w:i/>
                <w:sz w:val="20"/>
                <w:szCs w:val="20"/>
                <w:lang w:val="en-GB"/>
              </w:rPr>
              <w:t>pers comm</w:t>
            </w:r>
            <w:r w:rsidRPr="00B70B7A">
              <w:rPr>
                <w:rFonts w:ascii="Arial" w:hAnsi="Arial" w:cs="Arial"/>
                <w:sz w:val="20"/>
                <w:szCs w:val="20"/>
                <w:lang w:val="en-GB"/>
              </w:rPr>
              <w:t>).</w:t>
            </w:r>
          </w:p>
        </w:tc>
      </w:tr>
      <w:tr w:rsidR="00B70B7A" w:rsidRPr="00B70B7A" w14:paraId="72968C93" w14:textId="77777777" w:rsidTr="00C96521">
        <w:tc>
          <w:tcPr>
            <w:tcW w:w="874" w:type="pct"/>
            <w:shd w:val="clear" w:color="auto" w:fill="auto"/>
          </w:tcPr>
          <w:p w14:paraId="04D96B0C"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Serbia</w:t>
            </w:r>
          </w:p>
        </w:tc>
        <w:tc>
          <w:tcPr>
            <w:tcW w:w="605" w:type="pct"/>
            <w:shd w:val="clear" w:color="auto" w:fill="auto"/>
          </w:tcPr>
          <w:p w14:paraId="23EC515A"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3BF9A0B1"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Hunting ban in place from Oct 2015 to Mar 2017 due to public pressure. Generally, the season is 1</w:t>
            </w:r>
            <w:r w:rsidRPr="00B70B7A">
              <w:rPr>
                <w:rFonts w:ascii="Arial" w:hAnsi="Arial" w:cs="Arial"/>
                <w:color w:val="000000"/>
                <w:sz w:val="20"/>
                <w:szCs w:val="20"/>
                <w:vertAlign w:val="superscript"/>
                <w:lang w:val="en-GB"/>
              </w:rPr>
              <w:t>st</w:t>
            </w:r>
            <w:r w:rsidRPr="00B70B7A">
              <w:rPr>
                <w:rFonts w:ascii="Arial" w:hAnsi="Arial" w:cs="Arial"/>
                <w:color w:val="000000"/>
                <w:sz w:val="20"/>
                <w:szCs w:val="20"/>
                <w:lang w:val="en-GB"/>
              </w:rPr>
              <w:t xml:space="preserve"> Aug to 30</w:t>
            </w:r>
            <w:r w:rsidRPr="00B70B7A">
              <w:rPr>
                <w:rFonts w:ascii="Arial" w:hAnsi="Arial" w:cs="Arial"/>
                <w:color w:val="000000"/>
                <w:sz w:val="20"/>
                <w:szCs w:val="20"/>
                <w:vertAlign w:val="superscript"/>
                <w:lang w:val="en-GB"/>
              </w:rPr>
              <w:t>th</w:t>
            </w:r>
            <w:r w:rsidRPr="00B70B7A">
              <w:rPr>
                <w:rFonts w:ascii="Arial" w:hAnsi="Arial" w:cs="Arial"/>
                <w:color w:val="000000"/>
                <w:sz w:val="20"/>
                <w:szCs w:val="20"/>
                <w:lang w:val="en-GB"/>
              </w:rPr>
              <w:t xml:space="preserve"> Sep (BirdLife International 2014k, Institute for Nature Conservation of Serbia 2015).</w:t>
            </w:r>
          </w:p>
        </w:tc>
      </w:tr>
      <w:tr w:rsidR="00B70B7A" w:rsidRPr="00B70B7A" w14:paraId="7D8D0F57" w14:textId="77777777" w:rsidTr="00C96521">
        <w:tc>
          <w:tcPr>
            <w:tcW w:w="874" w:type="pct"/>
            <w:shd w:val="clear" w:color="auto" w:fill="auto"/>
          </w:tcPr>
          <w:p w14:paraId="149BE149"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Slovakia</w:t>
            </w:r>
          </w:p>
        </w:tc>
        <w:tc>
          <w:tcPr>
            <w:tcW w:w="605" w:type="pct"/>
            <w:shd w:val="clear" w:color="auto" w:fill="auto"/>
          </w:tcPr>
          <w:p w14:paraId="3B1E66FD"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1861DDF7" w14:textId="77777777" w:rsidR="00B70B7A" w:rsidRPr="00B70B7A" w:rsidDel="0094005B" w:rsidRDefault="00B70B7A" w:rsidP="00B70B7A">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Covered by EU Birds Directive. Not hunted.</w:t>
            </w:r>
          </w:p>
        </w:tc>
      </w:tr>
      <w:tr w:rsidR="00B70B7A" w:rsidRPr="00B70B7A" w14:paraId="2F90BD81" w14:textId="77777777" w:rsidTr="00C96521">
        <w:tc>
          <w:tcPr>
            <w:tcW w:w="874" w:type="pct"/>
            <w:shd w:val="clear" w:color="auto" w:fill="auto"/>
          </w:tcPr>
          <w:p w14:paraId="279268CE"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Slovenia</w:t>
            </w:r>
          </w:p>
        </w:tc>
        <w:tc>
          <w:tcPr>
            <w:tcW w:w="605" w:type="pct"/>
            <w:shd w:val="clear" w:color="auto" w:fill="auto"/>
          </w:tcPr>
          <w:p w14:paraId="36CB6567" w14:textId="77777777" w:rsidR="00B70B7A" w:rsidRPr="00B70B7A" w:rsidDel="005753A4" w:rsidRDefault="00B70B7A" w:rsidP="00B70B7A">
            <w:pPr>
              <w:widowControl/>
              <w:autoSpaceDE/>
              <w:autoSpaceDN/>
              <w:adjustRightInd/>
              <w:rPr>
                <w:rFonts w:ascii="Arial" w:hAnsi="Arial" w:cs="Arial"/>
                <w:sz w:val="20"/>
                <w:szCs w:val="20"/>
                <w:lang w:val="en-GB"/>
              </w:rPr>
            </w:pPr>
          </w:p>
        </w:tc>
        <w:tc>
          <w:tcPr>
            <w:tcW w:w="3521" w:type="pct"/>
          </w:tcPr>
          <w:p w14:paraId="33FDED98"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Not hunted.</w:t>
            </w:r>
          </w:p>
        </w:tc>
      </w:tr>
      <w:tr w:rsidR="00B70B7A" w:rsidRPr="00B70B7A" w14:paraId="7692FE67" w14:textId="77777777" w:rsidTr="00C96521">
        <w:tc>
          <w:tcPr>
            <w:tcW w:w="874" w:type="pct"/>
            <w:shd w:val="clear" w:color="auto" w:fill="auto"/>
          </w:tcPr>
          <w:p w14:paraId="5EC2DD2C"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Spain</w:t>
            </w:r>
          </w:p>
        </w:tc>
        <w:tc>
          <w:tcPr>
            <w:tcW w:w="605" w:type="pct"/>
            <w:shd w:val="clear" w:color="auto" w:fill="auto"/>
          </w:tcPr>
          <w:p w14:paraId="74ABBC9E"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436,807-805,643</w:t>
            </w:r>
          </w:p>
          <w:p w14:paraId="7B6FFF38" w14:textId="77777777" w:rsidR="00B70B7A" w:rsidRPr="00B70B7A" w:rsidRDefault="00B70B7A" w:rsidP="00B70B7A">
            <w:pPr>
              <w:widowControl/>
              <w:autoSpaceDE/>
              <w:autoSpaceDN/>
              <w:adjustRightInd/>
              <w:rPr>
                <w:rFonts w:ascii="Arial" w:hAnsi="Arial" w:cs="Arial"/>
                <w:i/>
                <w:sz w:val="20"/>
                <w:szCs w:val="20"/>
                <w:lang w:val="en-GB"/>
              </w:rPr>
            </w:pPr>
            <w:r w:rsidRPr="00B70B7A">
              <w:rPr>
                <w:rFonts w:ascii="Arial" w:hAnsi="Arial" w:cs="Arial"/>
                <w:i/>
                <w:sz w:val="20"/>
                <w:szCs w:val="20"/>
                <w:lang w:val="en-GB"/>
              </w:rPr>
              <w:t>annually</w:t>
            </w:r>
          </w:p>
        </w:tc>
        <w:tc>
          <w:tcPr>
            <w:tcW w:w="3521" w:type="pct"/>
          </w:tcPr>
          <w:p w14:paraId="129EF112" w14:textId="02645709"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Covered by EU Birds Directive. Generally the season is 15 Aug to 21 Sep but varies between regions. Thursday, Saturday and Sunday only</w:t>
            </w:r>
            <w:r w:rsidRPr="00B70B7A">
              <w:rPr>
                <w:rFonts w:ascii="Arial" w:hAnsi="Arial" w:cs="Arial"/>
                <w:sz w:val="20"/>
                <w:szCs w:val="20"/>
                <w:lang w:val="en-GB"/>
              </w:rPr>
              <w:t xml:space="preserve"> (MAPAMA 2016). A procedure for adding the species to the list of threatened species has been initiated by the Spanish Ministry of the Environment in response to a SEO/BirdLife application. Such listing would entail strict protection, the obligation to approve a national strategy, regional conservation plans, and a ban of hunting.</w:t>
            </w:r>
          </w:p>
        </w:tc>
      </w:tr>
      <w:tr w:rsidR="00B70B7A" w:rsidRPr="00B70B7A" w14:paraId="1CA01339" w14:textId="77777777" w:rsidTr="00C96521">
        <w:tc>
          <w:tcPr>
            <w:tcW w:w="874" w:type="pct"/>
            <w:shd w:val="clear" w:color="auto" w:fill="auto"/>
          </w:tcPr>
          <w:p w14:paraId="00369E79"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Switzerland</w:t>
            </w:r>
          </w:p>
        </w:tc>
        <w:tc>
          <w:tcPr>
            <w:tcW w:w="605" w:type="pct"/>
            <w:shd w:val="clear" w:color="auto" w:fill="auto"/>
          </w:tcPr>
          <w:p w14:paraId="4A6A2E8B"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6688793D"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Not included on the list of huntable species (Le Conseil Federal 2014). Protection covers nest destruction.</w:t>
            </w:r>
          </w:p>
        </w:tc>
      </w:tr>
      <w:tr w:rsidR="00B70B7A" w:rsidRPr="00B70B7A" w14:paraId="5BD87284" w14:textId="77777777" w:rsidTr="00C96521">
        <w:tc>
          <w:tcPr>
            <w:tcW w:w="874" w:type="pct"/>
            <w:shd w:val="clear" w:color="auto" w:fill="auto"/>
          </w:tcPr>
          <w:p w14:paraId="440E2110" w14:textId="14F4C9DE"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Syrian Arab Republic</w:t>
            </w:r>
          </w:p>
        </w:tc>
        <w:tc>
          <w:tcPr>
            <w:tcW w:w="605" w:type="pct"/>
            <w:shd w:val="clear" w:color="auto" w:fill="auto"/>
          </w:tcPr>
          <w:p w14:paraId="6D1734DB"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2E53B1CB"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Included on the Game Species List according to a new law (expected to be issued in 2017) with season from 1</w:t>
            </w:r>
            <w:r w:rsidRPr="00B70B7A">
              <w:rPr>
                <w:rFonts w:ascii="Arial" w:hAnsi="Arial" w:cs="Arial"/>
                <w:color w:val="000000"/>
                <w:sz w:val="20"/>
                <w:szCs w:val="20"/>
                <w:vertAlign w:val="superscript"/>
                <w:lang w:val="en-GB"/>
              </w:rPr>
              <w:t>st</w:t>
            </w:r>
            <w:r w:rsidRPr="00B70B7A">
              <w:rPr>
                <w:rFonts w:ascii="Arial" w:hAnsi="Arial" w:cs="Arial"/>
                <w:color w:val="000000"/>
                <w:sz w:val="20"/>
                <w:szCs w:val="20"/>
                <w:lang w:val="en-GB"/>
              </w:rPr>
              <w:t xml:space="preserve"> Sep to mid-Feb. There is a current ban on hunting (BirdLife International 2014l).</w:t>
            </w:r>
          </w:p>
        </w:tc>
      </w:tr>
      <w:tr w:rsidR="00B70B7A" w:rsidRPr="00B70B7A" w14:paraId="57F6433A" w14:textId="77777777" w:rsidTr="00C96521">
        <w:tc>
          <w:tcPr>
            <w:tcW w:w="874" w:type="pct"/>
            <w:shd w:val="clear" w:color="auto" w:fill="auto"/>
          </w:tcPr>
          <w:p w14:paraId="19AE0D85"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Tunisia</w:t>
            </w:r>
          </w:p>
        </w:tc>
        <w:tc>
          <w:tcPr>
            <w:tcW w:w="605" w:type="pct"/>
            <w:shd w:val="clear" w:color="auto" w:fill="auto"/>
          </w:tcPr>
          <w:p w14:paraId="45495972"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29F931BF" w14:textId="77777777" w:rsidR="00B70B7A" w:rsidRPr="00B70B7A" w:rsidRDefault="00B70B7A" w:rsidP="00B70B7A">
            <w:pPr>
              <w:widowControl/>
              <w:autoSpaceDE/>
              <w:autoSpaceDN/>
              <w:adjustRightInd/>
              <w:rPr>
                <w:rFonts w:ascii="Arial" w:hAnsi="Arial" w:cs="Arial"/>
                <w:color w:val="FF0000"/>
                <w:sz w:val="20"/>
                <w:szCs w:val="20"/>
                <w:lang w:val="en-GB"/>
              </w:rPr>
            </w:pPr>
            <w:r w:rsidRPr="00B70B7A">
              <w:rPr>
                <w:rFonts w:ascii="Arial" w:hAnsi="Arial" w:cs="Arial"/>
                <w:color w:val="000000"/>
                <w:sz w:val="20"/>
                <w:szCs w:val="20"/>
                <w:lang w:val="en-GB"/>
              </w:rPr>
              <w:t xml:space="preserve">"Doves" hunted from mid-Jul to early Sep (BirdLife International 2014m, Kafi </w:t>
            </w:r>
            <w:r w:rsidRPr="00B70B7A">
              <w:rPr>
                <w:rFonts w:ascii="Arial" w:hAnsi="Arial" w:cs="Arial"/>
                <w:i/>
                <w:color w:val="000000"/>
                <w:sz w:val="20"/>
                <w:szCs w:val="20"/>
                <w:lang w:val="en-GB"/>
              </w:rPr>
              <w:t>et al</w:t>
            </w:r>
            <w:r w:rsidRPr="00B70B7A">
              <w:rPr>
                <w:rFonts w:ascii="Arial" w:hAnsi="Arial" w:cs="Arial"/>
                <w:color w:val="000000"/>
                <w:sz w:val="20"/>
                <w:szCs w:val="20"/>
                <w:lang w:val="en-GB"/>
              </w:rPr>
              <w:t xml:space="preserve"> 2015).</w:t>
            </w:r>
            <w:r w:rsidRPr="00B70B7A">
              <w:rPr>
                <w:rFonts w:ascii="Arial" w:hAnsi="Arial" w:cs="Arial"/>
                <w:color w:val="FF0000"/>
                <w:sz w:val="20"/>
                <w:szCs w:val="20"/>
                <w:lang w:val="en-GB"/>
              </w:rPr>
              <w:t xml:space="preserve"> </w:t>
            </w:r>
          </w:p>
        </w:tc>
      </w:tr>
      <w:tr w:rsidR="00B70B7A" w:rsidRPr="00B70B7A" w14:paraId="51C3534A" w14:textId="77777777" w:rsidTr="00C96521">
        <w:tc>
          <w:tcPr>
            <w:tcW w:w="874" w:type="pct"/>
            <w:shd w:val="clear" w:color="auto" w:fill="auto"/>
          </w:tcPr>
          <w:p w14:paraId="1D7DF5EB"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Turkey</w:t>
            </w:r>
          </w:p>
        </w:tc>
        <w:tc>
          <w:tcPr>
            <w:tcW w:w="605" w:type="pct"/>
            <w:shd w:val="clear" w:color="auto" w:fill="auto"/>
          </w:tcPr>
          <w:p w14:paraId="044FF6CA"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0ABB62A0" w14:textId="5DE66612"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Season 23</w:t>
            </w:r>
            <w:r w:rsidRPr="00B70B7A">
              <w:rPr>
                <w:rFonts w:ascii="Arial" w:hAnsi="Arial" w:cs="Arial"/>
                <w:color w:val="000000"/>
                <w:sz w:val="20"/>
                <w:szCs w:val="20"/>
                <w:vertAlign w:val="superscript"/>
                <w:lang w:val="en-GB"/>
              </w:rPr>
              <w:t>d</w:t>
            </w:r>
            <w:r w:rsidRPr="00B70B7A">
              <w:rPr>
                <w:rFonts w:ascii="Arial" w:hAnsi="Arial" w:cs="Arial"/>
                <w:color w:val="000000"/>
                <w:sz w:val="20"/>
                <w:szCs w:val="20"/>
                <w:lang w:val="en-GB"/>
              </w:rPr>
              <w:t xml:space="preserve"> Aug to 18 Jan (BirdLife International 2014n)</w:t>
            </w:r>
          </w:p>
        </w:tc>
      </w:tr>
      <w:tr w:rsidR="00B70B7A" w:rsidRPr="00B70B7A" w14:paraId="2CD3F6FD" w14:textId="77777777" w:rsidTr="00C96521">
        <w:tc>
          <w:tcPr>
            <w:tcW w:w="874" w:type="pct"/>
            <w:shd w:val="clear" w:color="auto" w:fill="auto"/>
          </w:tcPr>
          <w:p w14:paraId="4D5F1C71"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Ukraine</w:t>
            </w:r>
          </w:p>
        </w:tc>
        <w:tc>
          <w:tcPr>
            <w:tcW w:w="605" w:type="pct"/>
            <w:shd w:val="clear" w:color="auto" w:fill="auto"/>
          </w:tcPr>
          <w:p w14:paraId="54D2FDBB"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3D5CD13D" w14:textId="73D4A3D5"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 xml:space="preserve">Season 15 Aug to 30 Sep; "pigeons" except Stock Doves are huntable from Aug to Dec (Ukrainian Hunting and Fishing Association </w:t>
            </w:r>
            <w:r w:rsidRPr="00B70B7A">
              <w:rPr>
                <w:rFonts w:ascii="Arial" w:hAnsi="Arial" w:cs="Arial"/>
                <w:i/>
                <w:color w:val="000000"/>
                <w:sz w:val="20"/>
                <w:szCs w:val="20"/>
                <w:lang w:val="en-GB"/>
              </w:rPr>
              <w:t>undated</w:t>
            </w:r>
            <w:r w:rsidRPr="00B70B7A">
              <w:rPr>
                <w:rFonts w:ascii="Arial" w:hAnsi="Arial" w:cs="Arial"/>
                <w:color w:val="000000"/>
                <w:sz w:val="20"/>
                <w:szCs w:val="20"/>
                <w:lang w:val="en-GB"/>
              </w:rPr>
              <w:t>). The number of Turtle Doves taken could be as high as 218,000 birds (Rouxel 200).</w:t>
            </w:r>
          </w:p>
        </w:tc>
      </w:tr>
      <w:tr w:rsidR="00B70B7A" w:rsidRPr="00B70B7A" w14:paraId="016AC4BE" w14:textId="77777777" w:rsidTr="00C96521">
        <w:tc>
          <w:tcPr>
            <w:tcW w:w="874" w:type="pct"/>
            <w:shd w:val="clear" w:color="auto" w:fill="auto"/>
          </w:tcPr>
          <w:p w14:paraId="5AB71BFA"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United Kingdom</w:t>
            </w:r>
          </w:p>
        </w:tc>
        <w:tc>
          <w:tcPr>
            <w:tcW w:w="605" w:type="pct"/>
            <w:shd w:val="clear" w:color="auto" w:fill="auto"/>
          </w:tcPr>
          <w:p w14:paraId="3DB93E61"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069AF30C"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Not hunted.</w:t>
            </w:r>
          </w:p>
        </w:tc>
      </w:tr>
      <w:tr w:rsidR="00B70B7A" w:rsidRPr="00B70B7A" w14:paraId="7D91EA89" w14:textId="77777777" w:rsidTr="00C96521">
        <w:tc>
          <w:tcPr>
            <w:tcW w:w="874" w:type="pct"/>
            <w:shd w:val="clear" w:color="auto" w:fill="auto"/>
          </w:tcPr>
          <w:p w14:paraId="0F63CC3A" w14:textId="6222CEB6" w:rsidR="00B70B7A" w:rsidRPr="00B70B7A" w:rsidRDefault="00B70B7A" w:rsidP="00B70B7A">
            <w:pPr>
              <w:widowControl/>
              <w:autoSpaceDE/>
              <w:autoSpaceDN/>
              <w:adjustRightInd/>
              <w:rPr>
                <w:rFonts w:cs="Arial"/>
                <w:sz w:val="20"/>
                <w:szCs w:val="20"/>
                <w:lang w:val="en-GB"/>
              </w:rPr>
            </w:pPr>
            <w:r>
              <w:rPr>
                <w:rFonts w:ascii="Arial" w:hAnsi="Arial" w:cs="Arial"/>
                <w:sz w:val="20"/>
                <w:szCs w:val="20"/>
                <w:lang w:val="en-GB"/>
              </w:rPr>
              <w:t xml:space="preserve">The Former Yugoslav Republic of </w:t>
            </w:r>
            <w:r w:rsidRPr="00B70B7A">
              <w:rPr>
                <w:rFonts w:ascii="Arial" w:hAnsi="Arial" w:cs="Arial"/>
                <w:sz w:val="20"/>
                <w:szCs w:val="20"/>
                <w:lang w:val="en-GB"/>
              </w:rPr>
              <w:t>Macedonia, FYR</w:t>
            </w:r>
          </w:p>
        </w:tc>
        <w:tc>
          <w:tcPr>
            <w:tcW w:w="605" w:type="pct"/>
            <w:shd w:val="clear" w:color="auto" w:fill="auto"/>
          </w:tcPr>
          <w:p w14:paraId="029E8D10" w14:textId="77777777" w:rsidR="00B70B7A" w:rsidRPr="00B70B7A" w:rsidRDefault="00B70B7A" w:rsidP="00B70B7A">
            <w:pPr>
              <w:widowControl/>
              <w:autoSpaceDE/>
              <w:autoSpaceDN/>
              <w:adjustRightInd/>
              <w:rPr>
                <w:rFonts w:cs="Arial"/>
                <w:sz w:val="20"/>
                <w:szCs w:val="20"/>
                <w:lang w:val="en-GB"/>
              </w:rPr>
            </w:pPr>
          </w:p>
        </w:tc>
        <w:tc>
          <w:tcPr>
            <w:tcW w:w="3521" w:type="pct"/>
          </w:tcPr>
          <w:p w14:paraId="179656F0" w14:textId="3AE8DE9F" w:rsidR="00B70B7A" w:rsidRPr="00B70B7A" w:rsidRDefault="00B70B7A" w:rsidP="00B70B7A">
            <w:pPr>
              <w:widowControl/>
              <w:autoSpaceDE/>
              <w:autoSpaceDN/>
              <w:adjustRightInd/>
              <w:rPr>
                <w:rFonts w:cs="Arial"/>
                <w:color w:val="000000"/>
                <w:sz w:val="20"/>
                <w:szCs w:val="20"/>
                <w:lang w:val="en-GB"/>
              </w:rPr>
            </w:pPr>
            <w:r w:rsidRPr="00B70B7A">
              <w:rPr>
                <w:rFonts w:ascii="Arial" w:hAnsi="Arial" w:cs="Arial"/>
                <w:color w:val="000000"/>
                <w:sz w:val="20"/>
                <w:szCs w:val="20"/>
                <w:lang w:val="en-GB"/>
              </w:rPr>
              <w:t>1</w:t>
            </w:r>
            <w:r w:rsidRPr="00B70B7A">
              <w:rPr>
                <w:rFonts w:ascii="Arial" w:hAnsi="Arial" w:cs="Arial"/>
                <w:color w:val="000000"/>
                <w:sz w:val="20"/>
                <w:szCs w:val="20"/>
                <w:vertAlign w:val="superscript"/>
                <w:lang w:val="en-GB"/>
              </w:rPr>
              <w:t>t</w:t>
            </w:r>
            <w:r w:rsidRPr="00B70B7A">
              <w:rPr>
                <w:rFonts w:ascii="Arial" w:hAnsi="Arial" w:cs="Arial"/>
                <w:color w:val="000000"/>
                <w:sz w:val="20"/>
                <w:szCs w:val="20"/>
                <w:lang w:val="en-GB"/>
              </w:rPr>
              <w:t xml:space="preserve"> Apr to 31 Jul (BirdLife International 2014g).</w:t>
            </w:r>
          </w:p>
        </w:tc>
      </w:tr>
      <w:tr w:rsidR="00B70B7A" w:rsidRPr="00B70B7A" w14:paraId="5C66BB08" w14:textId="77777777" w:rsidTr="00C96521">
        <w:tc>
          <w:tcPr>
            <w:tcW w:w="874" w:type="pct"/>
            <w:shd w:val="clear" w:color="auto" w:fill="auto"/>
          </w:tcPr>
          <w:p w14:paraId="780A5508"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The Gambia</w:t>
            </w:r>
          </w:p>
        </w:tc>
        <w:tc>
          <w:tcPr>
            <w:tcW w:w="605" w:type="pct"/>
            <w:shd w:val="clear" w:color="auto" w:fill="auto"/>
          </w:tcPr>
          <w:p w14:paraId="3F6D13F6"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56A393B7"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the Biodiversity Wildlife Act 2003, National Biodiversity Strategy and Action Plan 2015 and international obligations. Commercial hunting Jan to Apr; subsistence hunting Jan to Aug; other hunting banned. Protection covers disturbance.</w:t>
            </w:r>
          </w:p>
        </w:tc>
      </w:tr>
      <w:tr w:rsidR="00B70B7A" w:rsidRPr="00B70B7A" w14:paraId="201DC13F" w14:textId="77777777" w:rsidTr="00C96521">
        <w:tc>
          <w:tcPr>
            <w:tcW w:w="874" w:type="pct"/>
            <w:shd w:val="clear" w:color="auto" w:fill="auto"/>
          </w:tcPr>
          <w:p w14:paraId="6C21FCCB"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Mali</w:t>
            </w:r>
          </w:p>
        </w:tc>
        <w:tc>
          <w:tcPr>
            <w:tcW w:w="605" w:type="pct"/>
            <w:shd w:val="clear" w:color="auto" w:fill="auto"/>
          </w:tcPr>
          <w:p w14:paraId="6EEBDE3F"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69BA034E"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Unprotected. National decree sets rates of royalties and taxes for the exploitation of wildlife in State-owned areas, and sets season dates yearly.</w:t>
            </w:r>
          </w:p>
        </w:tc>
      </w:tr>
      <w:tr w:rsidR="00B70B7A" w:rsidRPr="00B70B7A" w14:paraId="4D66115E" w14:textId="77777777" w:rsidTr="00C96521">
        <w:tc>
          <w:tcPr>
            <w:tcW w:w="874" w:type="pct"/>
            <w:shd w:val="clear" w:color="auto" w:fill="auto"/>
          </w:tcPr>
          <w:p w14:paraId="308B55AB"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Mauritania</w:t>
            </w:r>
          </w:p>
        </w:tc>
        <w:tc>
          <w:tcPr>
            <w:tcW w:w="605" w:type="pct"/>
            <w:shd w:val="clear" w:color="auto" w:fill="auto"/>
          </w:tcPr>
          <w:p w14:paraId="6C625B68"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1459A044"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Protected from killing.</w:t>
            </w:r>
          </w:p>
        </w:tc>
      </w:tr>
      <w:tr w:rsidR="00B70B7A" w:rsidRPr="00B70B7A" w14:paraId="57A04B32" w14:textId="77777777" w:rsidTr="00C96521">
        <w:tc>
          <w:tcPr>
            <w:tcW w:w="874" w:type="pct"/>
            <w:shd w:val="clear" w:color="auto" w:fill="auto"/>
          </w:tcPr>
          <w:p w14:paraId="5FB5139F"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Senegal</w:t>
            </w:r>
          </w:p>
        </w:tc>
        <w:tc>
          <w:tcPr>
            <w:tcW w:w="605" w:type="pct"/>
            <w:shd w:val="clear" w:color="auto" w:fill="auto"/>
          </w:tcPr>
          <w:p w14:paraId="40BE97BF"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6AD0642F"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Unprotected, but not a game species.</w:t>
            </w:r>
          </w:p>
        </w:tc>
      </w:tr>
      <w:tr w:rsidR="00B70B7A" w:rsidRPr="00B70B7A" w14:paraId="2CA6038A" w14:textId="77777777" w:rsidTr="00C96521">
        <w:tc>
          <w:tcPr>
            <w:tcW w:w="874" w:type="pct"/>
            <w:shd w:val="clear" w:color="auto" w:fill="auto"/>
          </w:tcPr>
          <w:p w14:paraId="3B719B33" w14:textId="77777777" w:rsidR="00B70B7A" w:rsidRPr="00B70B7A" w:rsidRDefault="00B70B7A" w:rsidP="00B70B7A">
            <w:pPr>
              <w:widowControl/>
              <w:autoSpaceDE/>
              <w:autoSpaceDN/>
              <w:adjustRightInd/>
              <w:rPr>
                <w:rFonts w:ascii="Arial" w:hAnsi="Arial" w:cs="Arial"/>
                <w:b/>
                <w:sz w:val="20"/>
                <w:szCs w:val="20"/>
                <w:lang w:val="en-GB"/>
              </w:rPr>
            </w:pPr>
            <w:r w:rsidRPr="00B70B7A">
              <w:rPr>
                <w:rFonts w:ascii="Arial" w:hAnsi="Arial" w:cs="Arial"/>
                <w:b/>
                <w:sz w:val="20"/>
                <w:szCs w:val="20"/>
                <w:lang w:val="en-GB"/>
              </w:rPr>
              <w:t>Total EU bag</w:t>
            </w:r>
          </w:p>
        </w:tc>
        <w:tc>
          <w:tcPr>
            <w:tcW w:w="4126" w:type="pct"/>
            <w:gridSpan w:val="2"/>
          </w:tcPr>
          <w:p w14:paraId="105BCBCC" w14:textId="77777777" w:rsidR="00B70B7A" w:rsidRPr="00B70B7A" w:rsidRDefault="00B70B7A" w:rsidP="00B70B7A">
            <w:pPr>
              <w:widowControl/>
              <w:autoSpaceDE/>
              <w:autoSpaceDN/>
              <w:adjustRightInd/>
              <w:rPr>
                <w:rFonts w:ascii="Arial" w:hAnsi="Arial" w:cs="Arial"/>
                <w:b/>
                <w:sz w:val="20"/>
                <w:szCs w:val="20"/>
                <w:lang w:val="en-GB"/>
              </w:rPr>
            </w:pPr>
            <w:r w:rsidRPr="00B70B7A">
              <w:rPr>
                <w:rFonts w:ascii="Arial" w:hAnsi="Arial" w:cs="Arial"/>
                <w:b/>
                <w:sz w:val="20"/>
                <w:szCs w:val="20"/>
                <w:lang w:val="en-GB"/>
              </w:rPr>
              <w:t>Estimated 1,396,509 to 2,165,345</w:t>
            </w:r>
          </w:p>
        </w:tc>
      </w:tr>
    </w:tbl>
    <w:p w14:paraId="77E281F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7A11A2E"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sectPr w:rsidR="00C96521" w:rsidRPr="00C96521" w:rsidSect="00C96521">
          <w:pgSz w:w="16840" w:h="11920" w:orient="landscape"/>
          <w:pgMar w:top="1298" w:right="1276" w:bottom="1298" w:left="919" w:header="731" w:footer="737" w:gutter="0"/>
          <w:cols w:space="720"/>
          <w:docGrid w:linePitch="299"/>
        </w:sectPr>
      </w:pPr>
    </w:p>
    <w:p w14:paraId="0A761FC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0AD7FDC" w14:textId="35448950"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According to Jarry (1994) and Hill (1992), the </w:t>
      </w:r>
      <w:r w:rsidR="00173165" w:rsidRPr="00374BE2">
        <w:rPr>
          <w:rFonts w:eastAsia="MS Mincho" w:cs="Arial"/>
          <w:sz w:val="20"/>
          <w:szCs w:val="20"/>
          <w:lang w:val="en-GB" w:eastAsia="ja-JP"/>
        </w:rPr>
        <w:t>Turtle Dove</w:t>
      </w:r>
      <w:r w:rsidR="00173165" w:rsidRPr="00C96521" w:rsidDel="00173165">
        <w:rPr>
          <w:rFonts w:eastAsia="MS Mincho" w:cs="Arial"/>
          <w:sz w:val="20"/>
          <w:szCs w:val="22"/>
          <w:lang w:val="en-GB" w:eastAsia="ja-JP"/>
        </w:rPr>
        <w:t xml:space="preserve"> </w:t>
      </w:r>
      <w:r w:rsidRPr="00C96521">
        <w:rPr>
          <w:rFonts w:eastAsia="MS Mincho" w:cs="Arial"/>
          <w:sz w:val="20"/>
          <w:szCs w:val="22"/>
          <w:lang w:val="en-GB" w:eastAsia="ja-JP"/>
        </w:rPr>
        <w:t xml:space="preserve">is the EU quarry species likely to be worst affected by hunting as it has particularly low survival and productivity, although the extent to which hunting poses a threat has not been quantified and hunting pressure has changed over time (Hill 1992, Tucker 1996). In general, estimates of population sizes and bag data in most EU States exist, although care must be taken in the interpretation of the available data. There is a lack of up-to-date information on the sustainability of </w:t>
      </w:r>
      <w:r w:rsidR="00173165" w:rsidRPr="00374BE2">
        <w:rPr>
          <w:rFonts w:eastAsia="MS Mincho" w:cs="Arial"/>
          <w:sz w:val="20"/>
          <w:szCs w:val="20"/>
          <w:lang w:val="en-GB" w:eastAsia="ja-JP"/>
        </w:rPr>
        <w:t>Turtle Dove</w:t>
      </w:r>
      <w:r w:rsidR="00173165" w:rsidRPr="00C96521" w:rsidDel="00173165">
        <w:rPr>
          <w:rFonts w:eastAsia="MS Mincho" w:cs="Arial"/>
          <w:sz w:val="20"/>
          <w:szCs w:val="22"/>
          <w:lang w:val="en-GB" w:eastAsia="ja-JP"/>
        </w:rPr>
        <w:t xml:space="preserve"> </w:t>
      </w:r>
      <w:r w:rsidRPr="00C96521">
        <w:rPr>
          <w:rFonts w:eastAsia="MS Mincho" w:cs="Arial"/>
          <w:sz w:val="20"/>
          <w:szCs w:val="22"/>
          <w:lang w:val="en-GB" w:eastAsia="ja-JP"/>
        </w:rPr>
        <w:t>hunting at a flyway level. Existing hunting quotas are not</w:t>
      </w:r>
      <w:r w:rsidRPr="00C96521">
        <w:rPr>
          <w:rFonts w:eastAsia="MS Mincho"/>
          <w:sz w:val="20"/>
          <w:szCs w:val="22"/>
          <w:lang w:val="en-GB" w:eastAsia="ja-JP"/>
        </w:rPr>
        <w:t xml:space="preserve"> based on sustainable harvest levels at a regional or national level, and control over current quotas is challenged by some NGOs. The monitoring and enforcement of hunting restrictions as well as the collection of reliable harvest data also presents a challenge in some regions. </w:t>
      </w:r>
    </w:p>
    <w:p w14:paraId="4B0F1D1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DDB2903" w14:textId="73B8047D"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Based on a modelling analysis, Hill (1992) recommended that hunting losses in Europe should be reduced to 5-15</w:t>
      </w:r>
      <w:r w:rsidR="00173165">
        <w:rPr>
          <w:rFonts w:eastAsia="MS Mincho" w:cs="Arial"/>
          <w:sz w:val="20"/>
          <w:szCs w:val="22"/>
          <w:lang w:val="en-GB" w:eastAsia="ja-JP"/>
        </w:rPr>
        <w:t xml:space="preserve"> per cent</w:t>
      </w:r>
      <w:r w:rsidR="00173165" w:rsidRPr="00C96521">
        <w:rPr>
          <w:rFonts w:eastAsia="MS Mincho" w:cs="Arial"/>
          <w:sz w:val="20"/>
          <w:szCs w:val="22"/>
          <w:lang w:val="en-GB" w:eastAsia="ja-JP"/>
        </w:rPr>
        <w:t xml:space="preserve"> </w:t>
      </w:r>
      <w:r w:rsidRPr="00C96521">
        <w:rPr>
          <w:rFonts w:eastAsia="MS Mincho" w:cs="Arial"/>
          <w:sz w:val="20"/>
          <w:szCs w:val="22"/>
          <w:lang w:val="en-GB" w:eastAsia="ja-JP"/>
        </w:rPr>
        <w:t>of the post-breeding population if overall populations were to be self-sustaining. However, the impact of hunting in terms of population dynamics has not been assessed, and without an assessment of harvest sustainability at the flyway level, the full impact of hunting activity remains unknown. This is starting to be addressed through sustainable harvest modelling (Annex 4).</w:t>
      </w:r>
    </w:p>
    <w:p w14:paraId="7BC11A0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A105263" w14:textId="01D0DFF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A series of studies from Spain indicate that e</w:t>
      </w:r>
      <w:r w:rsidRPr="00C96521">
        <w:rPr>
          <w:rFonts w:eastAsia="MS Mincho"/>
          <w:sz w:val="20"/>
          <w:szCs w:val="22"/>
          <w:lang w:val="en-GB" w:eastAsia="ja-JP"/>
        </w:rPr>
        <w:t>xcessive hunting pressure, particularly on fledglings, as well as an early start to the hunting season may have aggravated and, in some cases, accelerated the species’ decline in combination with other factors (Hidalgo de Trucios and Rocha 2001a,b, 2005, Hidalgo de Trucios 2007). A PhD study currently underway seeks to provide better understanding of the numbers of turtle-doves hunted in Iberia, their geographical area of origin and the motivations of the hunters</w:t>
      </w:r>
      <w:r w:rsidRPr="00C96521">
        <w:rPr>
          <w:rFonts w:eastAsia="MS Mincho" w:cs="Arial"/>
          <w:sz w:val="20"/>
          <w:szCs w:val="22"/>
          <w:lang w:val="en-GB" w:eastAsia="ja-JP"/>
        </w:rPr>
        <w:t xml:space="preserve">. </w:t>
      </w:r>
      <w:r w:rsidRPr="00C96521">
        <w:rPr>
          <w:rFonts w:eastAsia="MS Mincho"/>
          <w:sz w:val="20"/>
          <w:szCs w:val="22"/>
          <w:lang w:val="en-GB" w:eastAsia="ja-JP"/>
        </w:rPr>
        <w:t xml:space="preserve">In Portugal, suggested conservation actions for the species have been identified as: better game management, protecting the most important habitats, and ultimately suspension of hunting (Meirinho </w:t>
      </w:r>
      <w:r w:rsidRPr="00C96521">
        <w:rPr>
          <w:rFonts w:eastAsia="MS Mincho"/>
          <w:i/>
          <w:sz w:val="20"/>
          <w:szCs w:val="22"/>
          <w:lang w:val="en-GB" w:eastAsia="ja-JP"/>
        </w:rPr>
        <w:t>et al</w:t>
      </w:r>
      <w:r w:rsidRPr="00C96521">
        <w:rPr>
          <w:rFonts w:eastAsia="MS Mincho"/>
          <w:sz w:val="20"/>
          <w:szCs w:val="22"/>
          <w:lang w:val="en-GB" w:eastAsia="ja-JP"/>
        </w:rPr>
        <w:t xml:space="preserve"> 2013) as well as more detailed suggestions included in Dias (2016). In Romania, the cessation of hunting and poaching has been identified as an important action for the conservation of the species (Petrovici 2015). The idea of a temporary moratorium on hunting has been put forward by several authors in Spain (eg Balmori in Madroño </w:t>
      </w:r>
      <w:r w:rsidRPr="00C96521">
        <w:rPr>
          <w:rFonts w:eastAsia="MS Mincho"/>
          <w:i/>
          <w:sz w:val="20"/>
          <w:szCs w:val="22"/>
          <w:lang w:val="en-GB" w:eastAsia="ja-JP"/>
        </w:rPr>
        <w:t xml:space="preserve">et al </w:t>
      </w:r>
      <w:r w:rsidRPr="00C96521">
        <w:rPr>
          <w:rFonts w:eastAsia="MS Mincho"/>
          <w:sz w:val="20"/>
          <w:szCs w:val="22"/>
          <w:lang w:val="en-GB" w:eastAsia="ja-JP"/>
        </w:rPr>
        <w:t xml:space="preserve">2004, Purroy 1997, Rocha and Hidalgo 2001a) as an effective measure to stop population declines. The Spanish Red List proposes a five-year moratorium that should be accompanied by a set of measures on habitat management in order to favour the recovery of </w:t>
      </w:r>
      <w:r w:rsidR="00F33271" w:rsidRPr="00374BE2">
        <w:rPr>
          <w:rFonts w:eastAsia="MS Mincho" w:cs="Arial"/>
          <w:sz w:val="20"/>
          <w:szCs w:val="20"/>
          <w:lang w:val="en-GB" w:eastAsia="ja-JP"/>
        </w:rPr>
        <w:t>Turtle Dove</w:t>
      </w:r>
      <w:r w:rsidR="00F33271" w:rsidRPr="00C96521" w:rsidDel="00F33271">
        <w:rPr>
          <w:rFonts w:eastAsia="MS Mincho"/>
          <w:sz w:val="20"/>
          <w:szCs w:val="22"/>
          <w:lang w:val="en-GB" w:eastAsia="ja-JP"/>
        </w:rPr>
        <w:t xml:space="preserve"> </w:t>
      </w:r>
      <w:r w:rsidRPr="00C96521">
        <w:rPr>
          <w:rFonts w:eastAsia="MS Mincho"/>
          <w:sz w:val="20"/>
          <w:szCs w:val="22"/>
          <w:lang w:val="en-GB" w:eastAsia="ja-JP"/>
        </w:rPr>
        <w:t xml:space="preserve">populations (Balmori in Madroño </w:t>
      </w:r>
      <w:r w:rsidRPr="00C96521">
        <w:rPr>
          <w:rFonts w:eastAsia="MS Mincho"/>
          <w:i/>
          <w:sz w:val="20"/>
          <w:szCs w:val="22"/>
          <w:lang w:val="en-GB" w:eastAsia="ja-JP"/>
        </w:rPr>
        <w:t>et al</w:t>
      </w:r>
      <w:r w:rsidRPr="00C96521">
        <w:rPr>
          <w:rFonts w:eastAsia="MS Mincho"/>
          <w:sz w:val="20"/>
          <w:szCs w:val="22"/>
          <w:lang w:val="en-GB" w:eastAsia="ja-JP"/>
        </w:rPr>
        <w:t xml:space="preserve"> 2004). However, the theoretical effectiveness of a temporary moratorium in increasing turtle-dove numbers has never been tested on any population.</w:t>
      </w:r>
    </w:p>
    <w:p w14:paraId="1F3583B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30A146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According to Rocha and Hidalgo (2002a) and Dias (2016), a delay in the beginning of the hunting period would be beneficial to the species, not only because it would avoid hunting when some pairs are still breeding, but also because it would allow a longer development period for the chicks and a higher probability of survival. </w:t>
      </w:r>
    </w:p>
    <w:p w14:paraId="14BEDF3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984E763"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In some states, the hunting period still overlaps the breeding season (see Figure 15). </w:t>
      </w:r>
      <w:r w:rsidRPr="00C96521">
        <w:rPr>
          <w:rFonts w:eastAsia="MS Mincho"/>
          <w:sz w:val="20"/>
          <w:szCs w:val="22"/>
          <w:lang w:val="en-GB" w:eastAsia="ja-JP"/>
        </w:rPr>
        <w:t xml:space="preserve">The Red List Book of Wild Birds in Spain (Balmori in Madroño </w:t>
      </w:r>
      <w:r w:rsidRPr="00C96521">
        <w:rPr>
          <w:rFonts w:eastAsia="MS Mincho"/>
          <w:i/>
          <w:sz w:val="20"/>
          <w:szCs w:val="22"/>
          <w:lang w:val="en-GB" w:eastAsia="ja-JP"/>
        </w:rPr>
        <w:t>et al</w:t>
      </w:r>
      <w:r w:rsidRPr="00C96521">
        <w:rPr>
          <w:rFonts w:eastAsia="MS Mincho"/>
          <w:sz w:val="20"/>
          <w:szCs w:val="22"/>
          <w:lang w:val="en-GB" w:eastAsia="ja-JP"/>
        </w:rPr>
        <w:t xml:space="preserve"> 2004) identifies the overlap between the beginning of the hunting season and the end of the breeding season as one of the causes of decline of the population in that country, and recommends delaying the onset of the open season for hunting as a conservation measure. </w:t>
      </w:r>
    </w:p>
    <w:p w14:paraId="7AADAE9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40F807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lastRenderedPageBreak/>
        <w:drawing>
          <wp:inline distT="0" distB="0" distL="0" distR="0" wp14:anchorId="1FDC4AB1" wp14:editId="612A339A">
            <wp:extent cx="5856964" cy="2988813"/>
            <wp:effectExtent l="19050" t="0" r="0" b="0"/>
            <wp:docPr id="100" name="Picture 1" descr="Hunting peri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ing period.jpg"/>
                    <pic:cNvPicPr/>
                  </pic:nvPicPr>
                  <pic:blipFill>
                    <a:blip r:embed="rId48" cstate="print"/>
                    <a:stretch>
                      <a:fillRect/>
                    </a:stretch>
                  </pic:blipFill>
                  <pic:spPr>
                    <a:xfrm>
                      <a:off x="0" y="0"/>
                      <a:ext cx="5873357" cy="2997178"/>
                    </a:xfrm>
                    <a:prstGeom prst="rect">
                      <a:avLst/>
                    </a:prstGeom>
                  </pic:spPr>
                </pic:pic>
              </a:graphicData>
            </a:graphic>
          </wp:inline>
        </w:drawing>
      </w:r>
    </w:p>
    <w:p w14:paraId="11BF41B3" w14:textId="445C8DC6"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15. Overlap of hunting season (outlined) with breeding period (shaded) for the </w:t>
      </w:r>
      <w:r w:rsidR="00F33271" w:rsidRPr="00B70B7A">
        <w:rPr>
          <w:rFonts w:eastAsia="MS Mincho" w:cs="Arial"/>
          <w:i/>
          <w:sz w:val="20"/>
          <w:szCs w:val="20"/>
          <w:lang w:val="en-GB" w:eastAsia="ja-JP"/>
        </w:rPr>
        <w:t>Turtle Dove</w:t>
      </w:r>
      <w:r w:rsidR="00F33271" w:rsidRPr="00C96521" w:rsidDel="00F33271">
        <w:rPr>
          <w:rFonts w:eastAsia="MS Mincho" w:cs="Arial"/>
          <w:i/>
          <w:sz w:val="20"/>
          <w:szCs w:val="22"/>
          <w:lang w:val="en-GB" w:eastAsia="ja-JP"/>
        </w:rPr>
        <w:t xml:space="preserve"> </w:t>
      </w:r>
      <w:r w:rsidRPr="00C96521">
        <w:rPr>
          <w:rFonts w:eastAsia="MS Mincho" w:cs="Arial"/>
          <w:i/>
          <w:sz w:val="20"/>
          <w:szCs w:val="22"/>
          <w:lang w:val="en-GB" w:eastAsia="ja-JP"/>
        </w:rPr>
        <w:t xml:space="preserve">in EU Member States, ordered north to south (EU 2008), for those States allowing a turtle-dove season. In France, the hunting season and </w:t>
      </w:r>
      <w:r w:rsidR="00F33271" w:rsidRPr="00B70B7A">
        <w:rPr>
          <w:rFonts w:eastAsia="MS Mincho" w:cs="Arial"/>
          <w:i/>
          <w:sz w:val="20"/>
          <w:szCs w:val="20"/>
          <w:lang w:val="en-GB" w:eastAsia="ja-JP"/>
        </w:rPr>
        <w:t>Turtle Dove</w:t>
      </w:r>
      <w:r w:rsidR="00F33271" w:rsidRPr="00C96521" w:rsidDel="00F33271">
        <w:rPr>
          <w:rFonts w:eastAsia="MS Mincho" w:cs="Arial"/>
          <w:i/>
          <w:sz w:val="20"/>
          <w:szCs w:val="22"/>
          <w:lang w:val="en-GB" w:eastAsia="ja-JP"/>
        </w:rPr>
        <w:t xml:space="preserve"> </w:t>
      </w:r>
      <w:r w:rsidRPr="00C96521">
        <w:rPr>
          <w:rFonts w:eastAsia="MS Mincho" w:cs="Arial"/>
          <w:i/>
          <w:sz w:val="20"/>
          <w:szCs w:val="22"/>
          <w:lang w:val="en-GB" w:eastAsia="ja-JP"/>
        </w:rPr>
        <w:t>breeding period only overlap in certain D</w:t>
      </w:r>
      <w:r w:rsidR="00F33271">
        <w:rPr>
          <w:rFonts w:eastAsia="MS Mincho" w:cs="Arial"/>
          <w:i/>
          <w:sz w:val="20"/>
          <w:szCs w:val="22"/>
          <w:lang w:val="en-GB" w:eastAsia="ja-JP"/>
        </w:rPr>
        <w:t>é</w:t>
      </w:r>
      <w:r w:rsidRPr="00C96521">
        <w:rPr>
          <w:rFonts w:eastAsia="MS Mincho" w:cs="Arial"/>
          <w:i/>
          <w:sz w:val="20"/>
          <w:szCs w:val="22"/>
          <w:lang w:val="en-GB" w:eastAsia="ja-JP"/>
        </w:rPr>
        <w:t>part</w:t>
      </w:r>
      <w:r w:rsidR="00F33271">
        <w:rPr>
          <w:rFonts w:eastAsia="MS Mincho" w:cs="Arial"/>
          <w:i/>
          <w:sz w:val="20"/>
          <w:szCs w:val="22"/>
          <w:lang w:val="en-GB" w:eastAsia="ja-JP"/>
        </w:rPr>
        <w:t>e</w:t>
      </w:r>
      <w:r w:rsidRPr="00C96521">
        <w:rPr>
          <w:rFonts w:eastAsia="MS Mincho" w:cs="Arial"/>
          <w:i/>
          <w:sz w:val="20"/>
          <w:szCs w:val="22"/>
          <w:lang w:val="en-GB" w:eastAsia="ja-JP"/>
        </w:rPr>
        <w:t xml:space="preserve">ments, but not across the whole territory. It is acknowledged that these data need to be updated in a systematic way to reflect changes in arrival and departure dates since 2008. </w:t>
      </w:r>
    </w:p>
    <w:p w14:paraId="714830F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98C4641" w14:textId="7C4FCC0B"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May 2016, following reclassification of the conservation status of </w:t>
      </w:r>
      <w:r w:rsidR="00F33271">
        <w:rPr>
          <w:rFonts w:eastAsia="MS Mincho"/>
          <w:sz w:val="20"/>
          <w:szCs w:val="22"/>
          <w:lang w:val="en-GB" w:eastAsia="ja-JP"/>
        </w:rPr>
        <w:t xml:space="preserve">the </w:t>
      </w:r>
      <w:r w:rsidR="00F33271" w:rsidRPr="00374BE2">
        <w:rPr>
          <w:rFonts w:eastAsia="MS Mincho" w:cs="Arial"/>
          <w:sz w:val="20"/>
          <w:szCs w:val="20"/>
          <w:lang w:val="en-GB" w:eastAsia="ja-JP"/>
        </w:rPr>
        <w:t>Turtle Dove</w:t>
      </w:r>
      <w:r w:rsidR="00F33271" w:rsidRPr="00C96521" w:rsidDel="00F33271">
        <w:rPr>
          <w:rFonts w:eastAsia="MS Mincho"/>
          <w:sz w:val="20"/>
          <w:szCs w:val="22"/>
          <w:lang w:val="en-GB" w:eastAsia="ja-JP"/>
        </w:rPr>
        <w:t xml:space="preserve"> </w:t>
      </w:r>
      <w:r w:rsidRPr="00C96521">
        <w:rPr>
          <w:rFonts w:eastAsia="MS Mincho"/>
          <w:sz w:val="20"/>
          <w:szCs w:val="22"/>
          <w:lang w:val="en-GB" w:eastAsia="ja-JP"/>
        </w:rPr>
        <w:t xml:space="preserve">to Vulnerable at the global level and Near Threatened at EU level, the Maltese </w:t>
      </w:r>
      <w:r w:rsidR="00F33271">
        <w:rPr>
          <w:rFonts w:eastAsia="MS Mincho"/>
          <w:sz w:val="20"/>
          <w:szCs w:val="22"/>
          <w:lang w:val="en-GB" w:eastAsia="ja-JP"/>
        </w:rPr>
        <w:t>G</w:t>
      </w:r>
      <w:r w:rsidR="00F33271" w:rsidRPr="00C96521">
        <w:rPr>
          <w:rFonts w:eastAsia="MS Mincho"/>
          <w:sz w:val="20"/>
          <w:szCs w:val="22"/>
          <w:lang w:val="en-GB" w:eastAsia="ja-JP"/>
        </w:rPr>
        <w:t xml:space="preserve">overnment </w:t>
      </w:r>
      <w:r w:rsidRPr="00C96521">
        <w:rPr>
          <w:rFonts w:eastAsia="MS Mincho"/>
          <w:sz w:val="20"/>
          <w:szCs w:val="22"/>
          <w:lang w:val="en-GB" w:eastAsia="ja-JP"/>
        </w:rPr>
        <w:t xml:space="preserve">enacted a moratorium on the future spring hunting of the </w:t>
      </w:r>
      <w:r w:rsidR="00F33271" w:rsidRPr="00374BE2">
        <w:rPr>
          <w:rFonts w:eastAsia="MS Mincho" w:cs="Arial"/>
          <w:sz w:val="20"/>
          <w:szCs w:val="20"/>
          <w:lang w:val="en-GB" w:eastAsia="ja-JP"/>
        </w:rPr>
        <w:t>Turtle Dove</w:t>
      </w:r>
      <w:r w:rsidRPr="00C96521">
        <w:rPr>
          <w:rFonts w:eastAsia="MS Mincho"/>
          <w:sz w:val="20"/>
          <w:szCs w:val="22"/>
          <w:lang w:val="en-GB" w:eastAsia="ja-JP"/>
        </w:rPr>
        <w:t xml:space="preserve">, which will remain in force until such time that maintenance of the EU population of </w:t>
      </w:r>
      <w:r w:rsidR="00F33271" w:rsidRPr="00374BE2">
        <w:rPr>
          <w:rFonts w:eastAsia="MS Mincho" w:cs="Arial"/>
          <w:sz w:val="20"/>
          <w:szCs w:val="20"/>
          <w:lang w:val="en-GB" w:eastAsia="ja-JP"/>
        </w:rPr>
        <w:t>Turtle Dove</w:t>
      </w:r>
      <w:r w:rsidR="00F33271">
        <w:rPr>
          <w:rFonts w:eastAsia="MS Mincho" w:cs="Arial"/>
          <w:sz w:val="20"/>
          <w:szCs w:val="20"/>
          <w:lang w:val="en-GB" w:eastAsia="ja-JP"/>
        </w:rPr>
        <w:t>s</w:t>
      </w:r>
      <w:r w:rsidR="00F33271" w:rsidRPr="00C96521" w:rsidDel="00F33271">
        <w:rPr>
          <w:rFonts w:eastAsia="MS Mincho"/>
          <w:sz w:val="20"/>
          <w:szCs w:val="22"/>
          <w:lang w:val="en-GB" w:eastAsia="ja-JP"/>
        </w:rPr>
        <w:t xml:space="preserve"> </w:t>
      </w:r>
      <w:r w:rsidRPr="00C96521">
        <w:rPr>
          <w:rFonts w:eastAsia="MS Mincho"/>
          <w:sz w:val="20"/>
          <w:szCs w:val="22"/>
          <w:lang w:val="en-GB" w:eastAsia="ja-JP"/>
        </w:rPr>
        <w:t>at a satisfactory level is scientifically ascertained at EU level.</w:t>
      </w:r>
    </w:p>
    <w:p w14:paraId="15701EA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953D970" w14:textId="5A4D22B6"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Outside of Europe, information on hunting bags becomes scarce. In Africa, the </w:t>
      </w:r>
      <w:r w:rsidR="00F33271" w:rsidRPr="00374BE2">
        <w:rPr>
          <w:rFonts w:eastAsia="MS Mincho" w:cs="Arial"/>
          <w:sz w:val="20"/>
          <w:szCs w:val="20"/>
          <w:lang w:val="en-GB" w:eastAsia="ja-JP"/>
        </w:rPr>
        <w:t>Turtle Dove</w:t>
      </w:r>
      <w:r w:rsidR="00F33271" w:rsidRPr="00C96521" w:rsidDel="00F33271">
        <w:rPr>
          <w:rFonts w:eastAsia="MS Mincho" w:cs="Arial"/>
          <w:sz w:val="20"/>
          <w:szCs w:val="22"/>
          <w:lang w:val="en-GB" w:eastAsia="ja-JP"/>
        </w:rPr>
        <w:t xml:space="preserve"> </w:t>
      </w:r>
      <w:r w:rsidRPr="00C96521">
        <w:rPr>
          <w:rFonts w:eastAsia="MS Mincho" w:cs="Arial"/>
          <w:sz w:val="20"/>
          <w:szCs w:val="22"/>
          <w:lang w:val="en-GB" w:eastAsia="ja-JP"/>
        </w:rPr>
        <w:t xml:space="preserve">is subject to hunting on both the wintering grounds and on migration (Barlow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1997), and </w:t>
      </w:r>
      <w:r w:rsidRPr="00C96521">
        <w:rPr>
          <w:rFonts w:eastAsia="MS Mincho"/>
          <w:sz w:val="20"/>
          <w:szCs w:val="22"/>
          <w:lang w:val="en-GB" w:eastAsia="ja-JP"/>
        </w:rPr>
        <w:t xml:space="preserve">the combined effect of direct mortality and disturbance at roosts during the crucial pre-migration period when the birds must substantially increase their body mass is likely to affect survival (Zwarts </w:t>
      </w:r>
      <w:r w:rsidRPr="00C96521">
        <w:rPr>
          <w:rFonts w:eastAsia="MS Mincho"/>
          <w:i/>
          <w:sz w:val="20"/>
          <w:szCs w:val="22"/>
          <w:lang w:val="en-GB" w:eastAsia="ja-JP"/>
        </w:rPr>
        <w:t>et al</w:t>
      </w:r>
      <w:r w:rsidRPr="00C96521">
        <w:rPr>
          <w:rFonts w:eastAsia="MS Mincho"/>
          <w:sz w:val="20"/>
          <w:szCs w:val="22"/>
          <w:lang w:val="en-GB" w:eastAsia="ja-JP"/>
        </w:rPr>
        <w:t xml:space="preserve"> 2009). Hunting is likely to be </w:t>
      </w:r>
      <w:r w:rsidRPr="00C96521">
        <w:rPr>
          <w:rFonts w:eastAsia="MS Mincho" w:cs="Arial"/>
          <w:sz w:val="20"/>
          <w:szCs w:val="22"/>
          <w:lang w:val="en-GB" w:eastAsia="ja-JP"/>
        </w:rPr>
        <w:t xml:space="preserve">taking place at times and levels that are not in alignment with the EU Birds Directive. </w:t>
      </w:r>
    </w:p>
    <w:p w14:paraId="70C9541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6ABA4E2" w14:textId="599759B4"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Hunting tourism also remains a problem. Agencies offer turtle-dove hunting during the summer in some parts of Europe, such as in Bulgaria (quota-free harvesting, mid-August to mid-September), and </w:t>
      </w:r>
      <w:r w:rsidR="00F33271">
        <w:rPr>
          <w:rFonts w:eastAsia="MS Mincho" w:cs="Arial"/>
          <w:sz w:val="20"/>
          <w:szCs w:val="22"/>
          <w:lang w:val="en-GB" w:eastAsia="ja-JP"/>
        </w:rPr>
        <w:t xml:space="preserve">the FYR of </w:t>
      </w:r>
      <w:r w:rsidRPr="00C96521">
        <w:rPr>
          <w:rFonts w:eastAsia="MS Mincho" w:cs="Arial"/>
          <w:sz w:val="20"/>
          <w:szCs w:val="22"/>
          <w:lang w:val="en-GB" w:eastAsia="ja-JP"/>
        </w:rPr>
        <w:t xml:space="preserve">Macedonia (quota-free, from 20 August to 10 September) (Favia 2016). The impact of hunting tourism needs to be better understood and quantified. A basic internet search found </w:t>
      </w:r>
      <w:r w:rsidR="00F33271" w:rsidRPr="00374BE2">
        <w:rPr>
          <w:rFonts w:eastAsia="MS Mincho" w:cs="Arial"/>
          <w:sz w:val="20"/>
          <w:szCs w:val="20"/>
          <w:lang w:val="en-GB" w:eastAsia="ja-JP"/>
        </w:rPr>
        <w:t>Turtle Dove</w:t>
      </w:r>
      <w:r w:rsidR="00F33271" w:rsidRPr="00C96521" w:rsidDel="00F33271">
        <w:rPr>
          <w:rFonts w:eastAsia="MS Mincho" w:cs="Arial"/>
          <w:sz w:val="20"/>
          <w:szCs w:val="22"/>
          <w:lang w:val="en-GB" w:eastAsia="ja-JP"/>
        </w:rPr>
        <w:t xml:space="preserve"> </w:t>
      </w:r>
      <w:r w:rsidRPr="00C96521">
        <w:rPr>
          <w:rFonts w:eastAsia="MS Mincho" w:cs="Arial"/>
          <w:sz w:val="20"/>
          <w:szCs w:val="22"/>
          <w:lang w:val="en-GB" w:eastAsia="ja-JP"/>
        </w:rPr>
        <w:t xml:space="preserve">hunting trips were offered in Bulgaria, Burkina Faso, Egypt, </w:t>
      </w:r>
      <w:r w:rsidR="00F33271">
        <w:rPr>
          <w:rFonts w:eastAsia="MS Mincho" w:cs="Arial"/>
          <w:sz w:val="20"/>
          <w:szCs w:val="22"/>
          <w:lang w:val="en-GB" w:eastAsia="ja-JP"/>
        </w:rPr>
        <w:t>t</w:t>
      </w:r>
      <w:r w:rsidRPr="00C96521">
        <w:rPr>
          <w:rFonts w:eastAsia="MS Mincho" w:cs="Arial"/>
          <w:sz w:val="20"/>
          <w:szCs w:val="22"/>
          <w:lang w:val="en-GB" w:eastAsia="ja-JP"/>
        </w:rPr>
        <w:t xml:space="preserve">he Gambia, Greece, Guinea Bissau, Mali, Montenegro, Morocco, Romania, </w:t>
      </w:r>
      <w:r w:rsidR="00F33271" w:rsidRPr="00C96521">
        <w:rPr>
          <w:rFonts w:eastAsia="MS Mincho" w:cs="Arial"/>
          <w:sz w:val="20"/>
          <w:szCs w:val="22"/>
          <w:lang w:val="en-GB" w:eastAsia="ja-JP"/>
        </w:rPr>
        <w:t>Senegal</w:t>
      </w:r>
      <w:r w:rsidR="00F33271">
        <w:rPr>
          <w:rFonts w:eastAsia="MS Mincho" w:cs="Arial"/>
          <w:sz w:val="20"/>
          <w:szCs w:val="22"/>
          <w:lang w:val="en-GB" w:eastAsia="ja-JP"/>
        </w:rPr>
        <w:t>,</w:t>
      </w:r>
      <w:r w:rsidR="00F33271" w:rsidRPr="00C96521">
        <w:rPr>
          <w:rFonts w:eastAsia="MS Mincho" w:cs="Arial"/>
          <w:sz w:val="20"/>
          <w:szCs w:val="22"/>
          <w:lang w:val="en-GB" w:eastAsia="ja-JP"/>
        </w:rPr>
        <w:t xml:space="preserve"> </w:t>
      </w:r>
      <w:r w:rsidRPr="00C96521">
        <w:rPr>
          <w:rFonts w:eastAsia="MS Mincho" w:cs="Arial"/>
          <w:sz w:val="20"/>
          <w:szCs w:val="22"/>
          <w:lang w:val="en-GB" w:eastAsia="ja-JP"/>
        </w:rPr>
        <w:t>Serbia,</w:t>
      </w:r>
      <w:r w:rsidR="00F33271">
        <w:rPr>
          <w:rFonts w:eastAsia="MS Mincho" w:cs="Arial"/>
          <w:sz w:val="20"/>
          <w:szCs w:val="22"/>
          <w:lang w:val="en-GB" w:eastAsia="ja-JP"/>
        </w:rPr>
        <w:t xml:space="preserve"> Spain,</w:t>
      </w:r>
      <w:r w:rsidRPr="00C96521">
        <w:rPr>
          <w:rFonts w:eastAsia="MS Mincho" w:cs="Arial"/>
          <w:sz w:val="20"/>
          <w:szCs w:val="22"/>
          <w:lang w:val="en-GB" w:eastAsia="ja-JP"/>
        </w:rPr>
        <w:t xml:space="preserve"> </w:t>
      </w:r>
      <w:r w:rsidR="00F33271">
        <w:rPr>
          <w:rFonts w:eastAsia="MS Mincho" w:cs="Arial"/>
          <w:sz w:val="20"/>
          <w:szCs w:val="22"/>
          <w:lang w:val="en-GB" w:eastAsia="ja-JP"/>
        </w:rPr>
        <w:t xml:space="preserve">the FYR of </w:t>
      </w:r>
      <w:r w:rsidR="00F33271" w:rsidRPr="00C96521">
        <w:rPr>
          <w:rFonts w:eastAsia="MS Mincho" w:cs="Arial"/>
          <w:sz w:val="20"/>
          <w:szCs w:val="22"/>
          <w:lang w:val="en-GB" w:eastAsia="ja-JP"/>
        </w:rPr>
        <w:t xml:space="preserve">Macedonia </w:t>
      </w:r>
      <w:r w:rsidR="00F33271">
        <w:rPr>
          <w:rFonts w:eastAsia="MS Mincho" w:cs="Arial"/>
          <w:sz w:val="20"/>
          <w:szCs w:val="22"/>
          <w:lang w:val="en-GB" w:eastAsia="ja-JP"/>
        </w:rPr>
        <w:t>,</w:t>
      </w:r>
      <w:r w:rsidRPr="00C96521">
        <w:rPr>
          <w:rFonts w:eastAsia="MS Mincho" w:cs="Arial"/>
          <w:sz w:val="20"/>
          <w:szCs w:val="22"/>
          <w:lang w:val="en-GB" w:eastAsia="ja-JP"/>
        </w:rPr>
        <w:t xml:space="preserve">Tunisia, </w:t>
      </w:r>
      <w:r w:rsidR="00F33271">
        <w:rPr>
          <w:rFonts w:eastAsia="MS Mincho" w:cs="Arial"/>
          <w:sz w:val="20"/>
          <w:szCs w:val="22"/>
          <w:lang w:val="en-GB" w:eastAsia="ja-JP"/>
        </w:rPr>
        <w:t xml:space="preserve">and </w:t>
      </w:r>
      <w:r w:rsidRPr="00C96521">
        <w:rPr>
          <w:rFonts w:eastAsia="MS Mincho" w:cs="Arial"/>
          <w:sz w:val="20"/>
          <w:szCs w:val="22"/>
          <w:lang w:val="en-GB" w:eastAsia="ja-JP"/>
        </w:rPr>
        <w:t>Turkey. There is concern that if hunting is banned in one country, hunting effort will be displaced to countries where the practice is still allowed.</w:t>
      </w:r>
    </w:p>
    <w:p w14:paraId="31E16AA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FC5B946" w14:textId="07A62DF1"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Hunting organi</w:t>
      </w:r>
      <w:r w:rsidR="00F33271">
        <w:rPr>
          <w:rFonts w:eastAsia="MS Mincho" w:cs="Arial"/>
          <w:sz w:val="20"/>
          <w:szCs w:val="22"/>
          <w:lang w:val="en-GB" w:eastAsia="ja-JP"/>
        </w:rPr>
        <w:t>z</w:t>
      </w:r>
      <w:r w:rsidRPr="00C96521">
        <w:rPr>
          <w:rFonts w:eastAsia="MS Mincho" w:cs="Arial"/>
          <w:sz w:val="20"/>
          <w:szCs w:val="22"/>
          <w:lang w:val="en-GB" w:eastAsia="ja-JP"/>
        </w:rPr>
        <w:t xml:space="preserve">ations also carry out activities that are beneficial to the </w:t>
      </w:r>
      <w:r w:rsidR="00F33271">
        <w:rPr>
          <w:rFonts w:eastAsia="MS Mincho" w:cs="Arial"/>
          <w:sz w:val="20"/>
          <w:szCs w:val="22"/>
          <w:lang w:val="en-GB" w:eastAsia="ja-JP"/>
        </w:rPr>
        <w:t>T</w:t>
      </w:r>
      <w:r w:rsidRPr="00C96521">
        <w:rPr>
          <w:rFonts w:eastAsia="MS Mincho" w:cs="Arial"/>
          <w:sz w:val="20"/>
          <w:szCs w:val="22"/>
          <w:lang w:val="en-GB" w:eastAsia="ja-JP"/>
        </w:rPr>
        <w:t>urtle</w:t>
      </w:r>
      <w:r w:rsidR="00F33271">
        <w:rPr>
          <w:rFonts w:eastAsia="MS Mincho" w:cs="Arial"/>
          <w:sz w:val="20"/>
          <w:szCs w:val="22"/>
          <w:lang w:val="en-GB" w:eastAsia="ja-JP"/>
        </w:rPr>
        <w:t xml:space="preserve"> D</w:t>
      </w:r>
      <w:r w:rsidRPr="00C96521">
        <w:rPr>
          <w:rFonts w:eastAsia="MS Mincho" w:cs="Arial"/>
          <w:sz w:val="20"/>
          <w:szCs w:val="22"/>
          <w:lang w:val="en-GB" w:eastAsia="ja-JP"/>
        </w:rPr>
        <w:t xml:space="preserve">ove, such as restoring hedges and woodland, clearing springs, providing food directly, planting set-aside crops, voluntarily policing hunting activity, and limiting birds taken. Research by Rocha and Quillfeldt (2015) shows that hunting estates in south-west Spain, where food supplementation takes place, have higher young/adult ratios than control ones (estimated in the second half of August, prior to the opening of the hunting season). </w:t>
      </w:r>
    </w:p>
    <w:p w14:paraId="4F619123" w14:textId="77777777" w:rsidR="00C96521" w:rsidRPr="00C96521" w:rsidRDefault="00C96521" w:rsidP="00C96521">
      <w:pPr>
        <w:widowControl/>
        <w:autoSpaceDE/>
        <w:autoSpaceDN/>
        <w:adjustRightInd/>
        <w:spacing w:line="276" w:lineRule="auto"/>
        <w:rPr>
          <w:rFonts w:eastAsia="MS Mincho" w:cs="Arial"/>
          <w:color w:val="FF0000"/>
          <w:sz w:val="20"/>
          <w:szCs w:val="22"/>
          <w:lang w:val="en-GB" w:eastAsia="ja-JP"/>
        </w:rPr>
      </w:pPr>
    </w:p>
    <w:p w14:paraId="6D09DC54" w14:textId="77777777" w:rsidR="00C96521" w:rsidRPr="00C96521" w:rsidRDefault="00C96521" w:rsidP="00C96521">
      <w:pPr>
        <w:widowControl/>
        <w:rPr>
          <w:rFonts w:ascii="TimesNewRoman" w:eastAsia="MS Mincho" w:hAnsi="TimesNewRoman" w:cs="TimesNewRoman"/>
          <w:sz w:val="20"/>
          <w:szCs w:val="22"/>
          <w:lang w:val="en-GB" w:eastAsia="ja-JP"/>
        </w:rPr>
      </w:pPr>
    </w:p>
    <w:p w14:paraId="2E5682F2" w14:textId="77777777" w:rsidR="00C96521" w:rsidRPr="00C96521" w:rsidRDefault="00C96521" w:rsidP="00C96521">
      <w:pPr>
        <w:widowControl/>
        <w:rPr>
          <w:rFonts w:ascii="TimesNewRoman" w:eastAsia="MS Mincho" w:hAnsi="TimesNewRoman" w:cs="TimesNewRoman"/>
          <w:sz w:val="20"/>
          <w:szCs w:val="22"/>
          <w:lang w:val="en-GB" w:eastAsia="ja-JP"/>
        </w:rPr>
      </w:pPr>
    </w:p>
    <w:p w14:paraId="47EA3E47"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8" w:name="_Toc478646913"/>
      <w:r w:rsidRPr="00C96521">
        <w:rPr>
          <w:rFonts w:ascii="Cambria" w:eastAsia="MS Gothic" w:hAnsi="Cambria"/>
          <w:b/>
          <w:bCs/>
          <w:color w:val="4F81BD"/>
          <w:sz w:val="26"/>
          <w:szCs w:val="26"/>
          <w:lang w:val="en-GB" w:eastAsia="ja-JP"/>
        </w:rPr>
        <w:lastRenderedPageBreak/>
        <w:t>Other threats</w:t>
      </w:r>
      <w:bookmarkEnd w:id="28"/>
    </w:p>
    <w:p w14:paraId="006404C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8174D96" w14:textId="337CBE1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 number of additional threats to </w:t>
      </w:r>
      <w:r w:rsidR="00F33271">
        <w:rPr>
          <w:rFonts w:eastAsia="MS Mincho"/>
          <w:sz w:val="20"/>
          <w:szCs w:val="22"/>
          <w:lang w:val="en-GB" w:eastAsia="ja-JP"/>
        </w:rPr>
        <w:t>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oves have been identified, but are either considered to have a small impact or the degree of impact is unknown and further research is needed. In addition to those listed below, there may be mortality associated with collision with wind energy installations as well as electrocution and impact with power lines. It is possible that predation may be impacting the species (Hanane 2016b), and plastic pollution could pose a threat, as a study in Mediterranean forest areas in southern Spain found plastic granules in 3.8</w:t>
      </w:r>
      <w:r w:rsidR="00F33271">
        <w:rPr>
          <w:rFonts w:eastAsia="MS Mincho"/>
          <w:sz w:val="20"/>
          <w:szCs w:val="22"/>
          <w:lang w:val="en-GB" w:eastAsia="ja-JP"/>
        </w:rPr>
        <w:t xml:space="preserve"> per cent</w:t>
      </w:r>
      <w:r w:rsidRPr="00C96521">
        <w:rPr>
          <w:rFonts w:eastAsia="MS Mincho"/>
          <w:sz w:val="20"/>
          <w:szCs w:val="22"/>
          <w:lang w:val="en-GB" w:eastAsia="ja-JP"/>
        </w:rPr>
        <w:t xml:space="preserve"> of </w:t>
      </w:r>
      <w:r w:rsidR="00F33271">
        <w:rPr>
          <w:rFonts w:eastAsia="MS Mincho"/>
          <w:sz w:val="20"/>
          <w:szCs w:val="22"/>
          <w:lang w:val="en-GB" w:eastAsia="ja-JP"/>
        </w:rPr>
        <w:t>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 xml:space="preserve">ove digestive tracts analysed (Guttiérez-Galàn and Alonso 2016). </w:t>
      </w:r>
    </w:p>
    <w:p w14:paraId="5108356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2F69F2C"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29" w:name="_Toc478646914"/>
      <w:r w:rsidRPr="00C96521">
        <w:rPr>
          <w:rFonts w:ascii="Cambria" w:eastAsia="MS Gothic" w:hAnsi="Cambria"/>
          <w:b/>
          <w:bCs/>
          <w:color w:val="4F81BD"/>
          <w:sz w:val="20"/>
          <w:szCs w:val="22"/>
          <w:lang w:val="en-GB" w:eastAsia="ja-JP"/>
        </w:rPr>
        <w:t>Pesticides, agricultural chemicals and lead shot</w:t>
      </w:r>
      <w:bookmarkEnd w:id="29"/>
    </w:p>
    <w:p w14:paraId="0A4541B7"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DF6BE15" w14:textId="7DB2331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Increased use of pesticides and herbicides has the potential to threaten the species both directly and indirectly: direct poisoning through ingestion of agricultural chemicals, and indirectly by reducing the availability of weed seeds. There is no direct evidence to suggest that pesticides have been responsible for declines in t</w:t>
      </w:r>
      <w:r w:rsidR="00F33271">
        <w:rPr>
          <w:rFonts w:eastAsia="MS Mincho"/>
          <w:sz w:val="20"/>
          <w:szCs w:val="22"/>
          <w:lang w:val="en-GB" w:eastAsia="ja-JP"/>
        </w:rPr>
        <w:t>he 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ove, but avian species are known to be negatively affected with effects ranging from reduced reproductive success and immune response to mortality (Mineau and Palmer 2013). Granivorous birds may be susceptible to feeding on seeds treated with pesticides (Goulson 2013). For instance,</w:t>
      </w:r>
      <w:r w:rsidR="00F33271">
        <w:rPr>
          <w:rFonts w:eastAsia="MS Mincho"/>
          <w:sz w:val="20"/>
          <w:szCs w:val="22"/>
          <w:lang w:val="en-GB" w:eastAsia="ja-JP"/>
        </w:rPr>
        <w:t xml:space="preserve"> the</w:t>
      </w:r>
      <w:r w:rsidRPr="00C96521">
        <w:rPr>
          <w:rFonts w:eastAsia="MS Mincho"/>
          <w:sz w:val="20"/>
          <w:szCs w:val="22"/>
          <w:lang w:val="en-GB" w:eastAsia="ja-JP"/>
        </w:rPr>
        <w:t xml:space="preserve"> </w:t>
      </w:r>
      <w:r w:rsidR="00F33271">
        <w:rPr>
          <w:rFonts w:eastAsia="MS Mincho"/>
          <w:sz w:val="20"/>
          <w:szCs w:val="22"/>
          <w:lang w:val="en-GB" w:eastAsia="ja-JP"/>
        </w:rPr>
        <w:t>R</w:t>
      </w:r>
      <w:r w:rsidRPr="00C96521">
        <w:rPr>
          <w:rFonts w:eastAsia="MS Mincho"/>
          <w:sz w:val="20"/>
          <w:szCs w:val="22"/>
          <w:lang w:val="en-GB" w:eastAsia="ja-JP"/>
        </w:rPr>
        <w:t xml:space="preserve">ed-legged </w:t>
      </w:r>
      <w:r w:rsidR="00F33271">
        <w:rPr>
          <w:rFonts w:eastAsia="MS Mincho"/>
          <w:sz w:val="20"/>
          <w:szCs w:val="22"/>
          <w:lang w:val="en-GB" w:eastAsia="ja-JP"/>
        </w:rPr>
        <w:t>P</w:t>
      </w:r>
      <w:r w:rsidRPr="00C96521">
        <w:rPr>
          <w:rFonts w:eastAsia="MS Mincho"/>
          <w:sz w:val="20"/>
          <w:szCs w:val="22"/>
          <w:lang w:val="en-GB" w:eastAsia="ja-JP"/>
        </w:rPr>
        <w:t>artridge (</w:t>
      </w:r>
      <w:r w:rsidRPr="00C96521">
        <w:rPr>
          <w:rFonts w:eastAsia="MS Mincho"/>
          <w:i/>
          <w:sz w:val="20"/>
          <w:szCs w:val="22"/>
          <w:lang w:val="en-GB" w:eastAsia="ja-JP"/>
        </w:rPr>
        <w:t>Alectoris rufa</w:t>
      </w:r>
      <w:r w:rsidRPr="00C96521">
        <w:rPr>
          <w:rFonts w:eastAsia="MS Mincho"/>
          <w:sz w:val="20"/>
          <w:szCs w:val="22"/>
          <w:lang w:val="en-GB" w:eastAsia="ja-JP"/>
        </w:rPr>
        <w:t xml:space="preserve">) is known to be susceptible to at least three pesticides, with birds experiencing sublethal and lethal effects when fed wheat seed dressed in the substances (Lopez-Antia </w:t>
      </w:r>
      <w:r w:rsidRPr="00C96521">
        <w:rPr>
          <w:rFonts w:eastAsia="MS Mincho"/>
          <w:i/>
          <w:sz w:val="20"/>
          <w:szCs w:val="22"/>
          <w:lang w:val="en-GB" w:eastAsia="ja-JP"/>
        </w:rPr>
        <w:t>et al</w:t>
      </w:r>
      <w:r w:rsidRPr="00C96521">
        <w:rPr>
          <w:rFonts w:eastAsia="MS Mincho"/>
          <w:sz w:val="20"/>
          <w:szCs w:val="22"/>
          <w:lang w:val="en-GB" w:eastAsia="ja-JP"/>
        </w:rPr>
        <w:t xml:space="preserve"> 2013). </w:t>
      </w:r>
      <w:r w:rsidR="00F33271">
        <w:rPr>
          <w:rFonts w:eastAsia="MS Mincho"/>
          <w:sz w:val="20"/>
          <w:szCs w:val="22"/>
          <w:lang w:val="en-GB" w:eastAsia="ja-JP"/>
        </w:rPr>
        <w:t xml:space="preserve">The </w:t>
      </w:r>
      <w:r w:rsidRPr="00C96521">
        <w:rPr>
          <w:rFonts w:eastAsia="MS Mincho"/>
          <w:sz w:val="20"/>
          <w:szCs w:val="22"/>
          <w:lang w:val="en-GB" w:eastAsia="ja-JP"/>
        </w:rPr>
        <w:t xml:space="preserve">Feral </w:t>
      </w:r>
      <w:r w:rsidR="00F33271">
        <w:rPr>
          <w:rFonts w:eastAsia="MS Mincho"/>
          <w:sz w:val="20"/>
          <w:szCs w:val="22"/>
          <w:lang w:val="en-GB" w:eastAsia="ja-JP"/>
        </w:rPr>
        <w:t>P</w:t>
      </w:r>
      <w:r w:rsidRPr="00C96521">
        <w:rPr>
          <w:rFonts w:eastAsia="MS Mincho"/>
          <w:sz w:val="20"/>
          <w:szCs w:val="22"/>
          <w:lang w:val="en-GB" w:eastAsia="ja-JP"/>
        </w:rPr>
        <w:t>igeon (</w:t>
      </w:r>
      <w:r w:rsidRPr="00C96521">
        <w:rPr>
          <w:rFonts w:eastAsia="MS Mincho"/>
          <w:i/>
          <w:sz w:val="20"/>
          <w:szCs w:val="22"/>
          <w:lang w:val="en-GB" w:eastAsia="ja-JP"/>
        </w:rPr>
        <w:t>Columba livia</w:t>
      </w:r>
      <w:r w:rsidRPr="00C96521">
        <w:rPr>
          <w:rFonts w:eastAsia="MS Mincho"/>
          <w:sz w:val="20"/>
          <w:szCs w:val="22"/>
          <w:lang w:val="en-GB" w:eastAsia="ja-JP"/>
        </w:rPr>
        <w:t xml:space="preserve">) is also known to be susceptible to at least two pesticides and it has been calculated that a </w:t>
      </w:r>
      <w:r w:rsidR="00F33271">
        <w:rPr>
          <w:rFonts w:eastAsia="MS Mincho"/>
          <w:sz w:val="20"/>
          <w:szCs w:val="22"/>
          <w:lang w:val="en-GB" w:eastAsia="ja-JP"/>
        </w:rPr>
        <w:t>G</w:t>
      </w:r>
      <w:r w:rsidRPr="00C96521">
        <w:rPr>
          <w:rFonts w:eastAsia="MS Mincho"/>
          <w:sz w:val="20"/>
          <w:szCs w:val="22"/>
          <w:lang w:val="en-GB" w:eastAsia="ja-JP"/>
        </w:rPr>
        <w:t xml:space="preserve">rey </w:t>
      </w:r>
      <w:r w:rsidR="00F33271">
        <w:rPr>
          <w:rFonts w:eastAsia="MS Mincho"/>
          <w:sz w:val="20"/>
          <w:szCs w:val="22"/>
          <w:lang w:val="en-GB" w:eastAsia="ja-JP"/>
        </w:rPr>
        <w:t>P</w:t>
      </w:r>
      <w:r w:rsidRPr="00C96521">
        <w:rPr>
          <w:rFonts w:eastAsia="MS Mincho"/>
          <w:sz w:val="20"/>
          <w:szCs w:val="22"/>
          <w:lang w:val="en-GB" w:eastAsia="ja-JP"/>
        </w:rPr>
        <w:t>artridge (</w:t>
      </w:r>
      <w:r w:rsidRPr="00C96521">
        <w:rPr>
          <w:rFonts w:eastAsia="MS Mincho"/>
          <w:i/>
          <w:sz w:val="20"/>
          <w:szCs w:val="22"/>
          <w:lang w:val="en-GB" w:eastAsia="ja-JP"/>
        </w:rPr>
        <w:t>Perdix perdix</w:t>
      </w:r>
      <w:r w:rsidRPr="00C96521">
        <w:rPr>
          <w:rFonts w:eastAsia="MS Mincho"/>
          <w:sz w:val="20"/>
          <w:szCs w:val="22"/>
          <w:lang w:val="en-GB" w:eastAsia="ja-JP"/>
        </w:rPr>
        <w:t>) would have to feed on just six beet seeds treated with 0.9 mg of imidacloprid to have a 50</w:t>
      </w:r>
      <w:r w:rsidR="00F33271">
        <w:rPr>
          <w:rFonts w:eastAsia="MS Mincho"/>
          <w:sz w:val="20"/>
          <w:szCs w:val="22"/>
          <w:lang w:val="en-GB" w:eastAsia="ja-JP"/>
        </w:rPr>
        <w:t xml:space="preserve"> per cent</w:t>
      </w:r>
      <w:r w:rsidRPr="00C96521">
        <w:rPr>
          <w:rFonts w:eastAsia="MS Mincho"/>
          <w:sz w:val="20"/>
          <w:szCs w:val="22"/>
          <w:lang w:val="en-GB" w:eastAsia="ja-JP"/>
        </w:rPr>
        <w:t xml:space="preserve"> chance of being killed by the dose (Gibbons </w:t>
      </w:r>
      <w:r w:rsidRPr="00C96521">
        <w:rPr>
          <w:rFonts w:eastAsia="MS Mincho"/>
          <w:i/>
          <w:sz w:val="20"/>
          <w:szCs w:val="22"/>
          <w:lang w:val="en-GB" w:eastAsia="ja-JP"/>
        </w:rPr>
        <w:t>et al</w:t>
      </w:r>
      <w:r w:rsidRPr="00C96521">
        <w:rPr>
          <w:rFonts w:eastAsia="MS Mincho"/>
          <w:sz w:val="20"/>
          <w:szCs w:val="22"/>
          <w:lang w:val="en-GB" w:eastAsia="ja-JP"/>
        </w:rPr>
        <w:t xml:space="preserve"> 2015). </w:t>
      </w:r>
    </w:p>
    <w:p w14:paraId="1DE6F2B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FFAFE99" w14:textId="3EAB4CDF"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Niger, many of the records of </w:t>
      </w:r>
      <w:r w:rsidR="00F33271">
        <w:rPr>
          <w:rFonts w:eastAsia="MS Mincho"/>
          <w:sz w:val="20"/>
          <w:szCs w:val="22"/>
          <w:lang w:val="en-GB" w:eastAsia="ja-JP"/>
        </w:rPr>
        <w:t>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 xml:space="preserve">oves are from groups of dead birds. It is possible that some of these birds were accidentally poisoned by agricultural chemicals such as anti-parasite chemicals for livestock or by herbicides (Joost Brouwer </w:t>
      </w:r>
      <w:r w:rsidRPr="00C96521">
        <w:rPr>
          <w:rFonts w:eastAsia="MS Mincho"/>
          <w:i/>
          <w:sz w:val="20"/>
          <w:szCs w:val="22"/>
          <w:lang w:val="en-GB" w:eastAsia="ja-JP"/>
        </w:rPr>
        <w:t>pers comm</w:t>
      </w:r>
      <w:r w:rsidRPr="00C96521">
        <w:rPr>
          <w:rFonts w:eastAsia="MS Mincho"/>
          <w:sz w:val="20"/>
          <w:szCs w:val="22"/>
          <w:lang w:val="en-GB" w:eastAsia="ja-JP"/>
        </w:rPr>
        <w:t xml:space="preserve">). Irrigated farmland in the northern part of the Senegal River Valley is subject to high pesticide and fertilizer use, and coincides with large </w:t>
      </w:r>
      <w:r w:rsidR="00F33271">
        <w:rPr>
          <w:rFonts w:eastAsia="MS Mincho"/>
          <w:sz w:val="20"/>
          <w:szCs w:val="22"/>
          <w:lang w:val="en-GB" w:eastAsia="ja-JP"/>
        </w:rPr>
        <w:t>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 xml:space="preserve">ove roosts in acacia vegetation (Malang Sarr </w:t>
      </w:r>
      <w:r w:rsidRPr="00C96521">
        <w:rPr>
          <w:rFonts w:eastAsia="MS Mincho"/>
          <w:i/>
          <w:sz w:val="20"/>
          <w:szCs w:val="22"/>
          <w:lang w:val="en-GB" w:eastAsia="ja-JP"/>
        </w:rPr>
        <w:t>pers comm</w:t>
      </w:r>
      <w:r w:rsidRPr="00C96521">
        <w:rPr>
          <w:rFonts w:eastAsia="MS Mincho"/>
          <w:sz w:val="20"/>
          <w:szCs w:val="22"/>
          <w:lang w:val="en-GB" w:eastAsia="ja-JP"/>
        </w:rPr>
        <w:t xml:space="preserve">). Granular pesticides that are toxic to avifauna are still used in parts of Africa, including the Sahel (Wim Mullié </w:t>
      </w:r>
      <w:r w:rsidRPr="00C96521">
        <w:rPr>
          <w:rFonts w:eastAsia="MS Mincho"/>
          <w:i/>
          <w:sz w:val="20"/>
          <w:szCs w:val="22"/>
          <w:lang w:val="en-GB" w:eastAsia="ja-JP"/>
        </w:rPr>
        <w:t>pers comm</w:t>
      </w:r>
      <w:r w:rsidRPr="00C96521">
        <w:rPr>
          <w:rFonts w:eastAsia="MS Mincho"/>
          <w:sz w:val="20"/>
          <w:szCs w:val="22"/>
          <w:lang w:val="en-GB" w:eastAsia="ja-JP"/>
        </w:rPr>
        <w:t xml:space="preserve">). Birds that feed on grain or grit may accidentally ingest these granules which could lead to cases of poisoning. In the case of ingestion of toxic chemicals, the cause may not be obvious to those discovering the cases of mortality (Wim Mullié </w:t>
      </w:r>
      <w:r w:rsidRPr="00C96521">
        <w:rPr>
          <w:rFonts w:eastAsia="MS Mincho"/>
          <w:i/>
          <w:sz w:val="20"/>
          <w:szCs w:val="22"/>
          <w:lang w:val="en-GB" w:eastAsia="ja-JP"/>
        </w:rPr>
        <w:t>pers comm</w:t>
      </w:r>
      <w:r w:rsidRPr="00C96521">
        <w:rPr>
          <w:rFonts w:eastAsia="MS Mincho"/>
          <w:sz w:val="20"/>
          <w:szCs w:val="22"/>
          <w:lang w:val="en-GB" w:eastAsia="ja-JP"/>
        </w:rPr>
        <w:t xml:space="preserve">). For </w:t>
      </w:r>
      <w:r w:rsidR="00F33271">
        <w:rPr>
          <w:rFonts w:eastAsia="MS Mincho"/>
          <w:sz w:val="20"/>
          <w:szCs w:val="22"/>
          <w:lang w:val="en-GB" w:eastAsia="ja-JP"/>
        </w:rPr>
        <w:t>a 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ove to be affected by sprayed chemicals used to control Quelea (</w:t>
      </w:r>
      <w:r w:rsidRPr="00C96521">
        <w:rPr>
          <w:rFonts w:eastAsia="MS Mincho"/>
          <w:i/>
          <w:sz w:val="20"/>
          <w:szCs w:val="22"/>
          <w:lang w:val="en-GB" w:eastAsia="ja-JP"/>
        </w:rPr>
        <w:t>Quelea quelea</w:t>
      </w:r>
      <w:r w:rsidRPr="00C96521">
        <w:rPr>
          <w:rFonts w:eastAsia="MS Mincho"/>
          <w:sz w:val="20"/>
          <w:szCs w:val="22"/>
          <w:lang w:val="en-GB" w:eastAsia="ja-JP"/>
        </w:rPr>
        <w:t xml:space="preserve">), it would probably have to fly through a cloud of pesticide in order to accumulate a high enough dose, or for the entire roost to be sprayed. Spraying such chemicals involves expensive equipment so this activity is likely to be quite limited. Intake of veterinary drugs and subsequent poisoning is likely to be similarly limited (Wim Mullié </w:t>
      </w:r>
      <w:r w:rsidRPr="00C96521">
        <w:rPr>
          <w:rFonts w:eastAsia="MS Mincho"/>
          <w:i/>
          <w:sz w:val="20"/>
          <w:szCs w:val="22"/>
          <w:lang w:val="en-GB" w:eastAsia="ja-JP"/>
        </w:rPr>
        <w:t>pers comm</w:t>
      </w:r>
      <w:r w:rsidRPr="00C96521">
        <w:rPr>
          <w:rFonts w:eastAsia="MS Mincho"/>
          <w:sz w:val="20"/>
          <w:szCs w:val="22"/>
          <w:lang w:val="en-GB" w:eastAsia="ja-JP"/>
        </w:rPr>
        <w:t xml:space="preserve">). </w:t>
      </w:r>
    </w:p>
    <w:p w14:paraId="1B06076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157C440" w14:textId="64ACCCBA"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For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00F33271">
        <w:rPr>
          <w:rFonts w:eastAsia="MS Mincho"/>
          <w:sz w:val="20"/>
          <w:szCs w:val="22"/>
          <w:lang w:val="en-GB" w:eastAsia="ja-JP"/>
        </w:rPr>
        <w:t>s</w:t>
      </w:r>
      <w:r w:rsidR="00F33271" w:rsidRPr="00C96521">
        <w:rPr>
          <w:rFonts w:eastAsia="MS Mincho"/>
          <w:sz w:val="20"/>
          <w:szCs w:val="22"/>
          <w:lang w:val="en-GB" w:eastAsia="ja-JP"/>
        </w:rPr>
        <w:t xml:space="preserve"> </w:t>
      </w:r>
      <w:r w:rsidRPr="00C96521">
        <w:rPr>
          <w:rFonts w:eastAsia="MS Mincho"/>
          <w:sz w:val="20"/>
          <w:szCs w:val="22"/>
          <w:lang w:val="en-GB" w:eastAsia="ja-JP"/>
        </w:rPr>
        <w:t>breeding in the steppe zone of European Russia, dominated by intensive arable land (cereals, sunflower, sugar beet etc</w:t>
      </w:r>
      <w:r w:rsidR="00F33271">
        <w:rPr>
          <w:rFonts w:eastAsia="MS Mincho"/>
          <w:sz w:val="20"/>
          <w:szCs w:val="22"/>
          <w:lang w:val="en-GB" w:eastAsia="ja-JP"/>
        </w:rPr>
        <w:t>.</w:t>
      </w:r>
      <w:r w:rsidRPr="00C96521">
        <w:rPr>
          <w:rFonts w:eastAsia="MS Mincho"/>
          <w:sz w:val="20"/>
          <w:szCs w:val="22"/>
          <w:lang w:val="en-GB" w:eastAsia="ja-JP"/>
        </w:rPr>
        <w:t xml:space="preserve">), a significant increase in farming intensity took place in the 2010s. The main threats for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00F33271">
        <w:rPr>
          <w:rFonts w:eastAsia="MS Mincho"/>
          <w:sz w:val="20"/>
          <w:szCs w:val="22"/>
          <w:lang w:val="en-GB" w:eastAsia="ja-JP"/>
        </w:rPr>
        <w:t>s</w:t>
      </w:r>
      <w:r w:rsidR="00F33271" w:rsidRPr="00C96521">
        <w:rPr>
          <w:rFonts w:eastAsia="MS Mincho"/>
          <w:sz w:val="20"/>
          <w:szCs w:val="22"/>
          <w:lang w:val="en-GB" w:eastAsia="ja-JP"/>
        </w:rPr>
        <w:t xml:space="preserve"> </w:t>
      </w:r>
      <w:r w:rsidRPr="00C96521">
        <w:rPr>
          <w:rFonts w:eastAsia="MS Mincho"/>
          <w:sz w:val="20"/>
          <w:szCs w:val="22"/>
          <w:lang w:val="en-GB" w:eastAsia="ja-JP"/>
        </w:rPr>
        <w:t xml:space="preserve">are increased use of pesticides and poisoning by seeds treated with fungicides and pesticides. Spraying of pesticides from light aircraft takes place in some areas and poses a threat to the species as air-sprayed pesticides are disseminated by wind and can settle in shelter belts, the main nesting habitat of the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 xml:space="preserve">ove </w:t>
      </w:r>
      <w:r w:rsidRPr="00C96521">
        <w:rPr>
          <w:rFonts w:eastAsia="MS Mincho"/>
          <w:sz w:val="20"/>
          <w:szCs w:val="22"/>
          <w:lang w:val="en-GB" w:eastAsia="ja-JP"/>
        </w:rPr>
        <w:t xml:space="preserve">in this area. </w:t>
      </w:r>
    </w:p>
    <w:p w14:paraId="2F10BB6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FF2CE7D" w14:textId="5C9A4608"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the UK, increased use of herbicides and pesticides has reduced weed abundance and diversity within agricultural areas and it is likely that weed seed availability has been greatly reduced compared to the middle of the 20</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century (Browne and Aebischer 2003a). A shift in the species’ diet from predominantly weed seeds to cultivated crop seeds may, in part, reflect the loss of weeds from the agricultural landscape. However, an increase in the use of agricultural chemicals coincided with a number of other widespread changes to the farmed environment, including changes in sowing dates and tillage methods and an increase in inorganic fertili</w:t>
      </w:r>
      <w:r w:rsidR="00F33271">
        <w:rPr>
          <w:rFonts w:eastAsia="MS Mincho"/>
          <w:sz w:val="20"/>
          <w:szCs w:val="22"/>
          <w:lang w:val="en-GB" w:eastAsia="ja-JP"/>
        </w:rPr>
        <w:t>z</w:t>
      </w:r>
      <w:r w:rsidRPr="00C96521">
        <w:rPr>
          <w:rFonts w:eastAsia="MS Mincho"/>
          <w:sz w:val="20"/>
          <w:szCs w:val="22"/>
          <w:lang w:val="en-GB" w:eastAsia="ja-JP"/>
        </w:rPr>
        <w:t xml:space="preserve">er use. It is therefore difficult to disentangle the individual effects that </w:t>
      </w:r>
      <w:r w:rsidRPr="00C96521">
        <w:rPr>
          <w:rFonts w:eastAsia="MS Mincho"/>
          <w:sz w:val="20"/>
          <w:szCs w:val="22"/>
          <w:lang w:val="en-GB" w:eastAsia="ja-JP"/>
        </w:rPr>
        <w:lastRenderedPageBreak/>
        <w:t>these changes may have had. In Romania, reducing the use of insecticides and herbicides, and/or ensuring that they are applied outside the breeding season, are likely to be important conservation actions for the species (Petrovici 2015). The loss of ruderal plants owing to the use of herbicides, particularly early in the breeding season may also have affected the species in parts of Spain (Hidalgo de Trucios and Rocha 2005, Hidalgo de Trucios 2007).</w:t>
      </w:r>
    </w:p>
    <w:p w14:paraId="10E86A5A" w14:textId="77777777" w:rsidR="00C96521" w:rsidRPr="00C96521" w:rsidRDefault="00C96521" w:rsidP="00C96521">
      <w:pPr>
        <w:widowControl/>
        <w:rPr>
          <w:rFonts w:ascii="TimesNewRoman" w:eastAsia="MS Mincho" w:hAnsi="TimesNewRoman" w:cs="TimesNewRoman"/>
          <w:sz w:val="20"/>
          <w:szCs w:val="22"/>
          <w:lang w:val="en-GB" w:eastAsia="ja-JP"/>
        </w:rPr>
      </w:pPr>
    </w:p>
    <w:p w14:paraId="3F44C979" w14:textId="54EE472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As with many granivorous bird species the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 xml:space="preserve">ove </w:t>
      </w:r>
      <w:r w:rsidRPr="00C96521">
        <w:rPr>
          <w:rFonts w:eastAsia="MS Mincho"/>
          <w:sz w:val="20"/>
          <w:szCs w:val="22"/>
          <w:lang w:val="en-GB" w:eastAsia="ja-JP"/>
        </w:rPr>
        <w:t>may be exposed to the risk of ingesting spent lead pellets. In the USA, high ingestion rates have been reported for the Mourning Dove (</w:t>
      </w:r>
      <w:r w:rsidRPr="00C96521">
        <w:rPr>
          <w:rFonts w:eastAsia="MS Mincho"/>
          <w:i/>
          <w:sz w:val="20"/>
          <w:szCs w:val="22"/>
          <w:lang w:val="en-GB" w:eastAsia="ja-JP"/>
        </w:rPr>
        <w:t>Zenaida macroura</w:t>
      </w:r>
      <w:r w:rsidRPr="00C96521">
        <w:rPr>
          <w:rFonts w:eastAsia="MS Mincho"/>
          <w:sz w:val="20"/>
          <w:szCs w:val="22"/>
          <w:lang w:val="en-GB" w:eastAsia="ja-JP"/>
        </w:rPr>
        <w:t xml:space="preserve">) in areas where hunting activity is very intense (Shulz </w:t>
      </w:r>
      <w:r w:rsidRPr="00C96521">
        <w:rPr>
          <w:rFonts w:eastAsia="MS Mincho"/>
          <w:i/>
          <w:sz w:val="20"/>
          <w:szCs w:val="22"/>
          <w:lang w:val="en-GB" w:eastAsia="ja-JP"/>
        </w:rPr>
        <w:t>et al</w:t>
      </w:r>
      <w:r w:rsidRPr="00C96521">
        <w:rPr>
          <w:rFonts w:eastAsia="MS Mincho"/>
          <w:sz w:val="20"/>
          <w:szCs w:val="22"/>
          <w:lang w:val="en-GB" w:eastAsia="ja-JP"/>
        </w:rPr>
        <w:t xml:space="preserve"> 2006), and there are cases of ingestion by </w:t>
      </w:r>
      <w:r w:rsidR="00F33271">
        <w:rPr>
          <w:rFonts w:eastAsia="MS Mincho"/>
          <w:sz w:val="20"/>
          <w:szCs w:val="22"/>
          <w:lang w:val="en-GB" w:eastAsia="ja-JP"/>
        </w:rPr>
        <w:t>W</w:t>
      </w:r>
      <w:r w:rsidRPr="00C96521">
        <w:rPr>
          <w:rFonts w:eastAsia="MS Mincho"/>
          <w:sz w:val="20"/>
          <w:szCs w:val="22"/>
          <w:lang w:val="en-GB" w:eastAsia="ja-JP"/>
        </w:rPr>
        <w:t xml:space="preserve">ood </w:t>
      </w:r>
      <w:r w:rsidR="00F33271">
        <w:rPr>
          <w:rFonts w:eastAsia="MS Mincho"/>
          <w:sz w:val="20"/>
          <w:szCs w:val="22"/>
          <w:lang w:val="en-GB" w:eastAsia="ja-JP"/>
        </w:rPr>
        <w:t>P</w:t>
      </w:r>
      <w:r w:rsidRPr="00C96521">
        <w:rPr>
          <w:rFonts w:eastAsia="MS Mincho"/>
          <w:sz w:val="20"/>
          <w:szCs w:val="22"/>
          <w:lang w:val="en-GB" w:eastAsia="ja-JP"/>
        </w:rPr>
        <w:t>igeon (</w:t>
      </w:r>
      <w:r w:rsidRPr="00C96521">
        <w:rPr>
          <w:rFonts w:eastAsia="MS Mincho"/>
          <w:i/>
          <w:sz w:val="20"/>
          <w:szCs w:val="22"/>
          <w:lang w:val="en-GB" w:eastAsia="ja-JP"/>
        </w:rPr>
        <w:t>Columba palumbus</w:t>
      </w:r>
      <w:r w:rsidRPr="00C96521">
        <w:rPr>
          <w:rFonts w:eastAsia="MS Mincho"/>
          <w:sz w:val="20"/>
          <w:szCs w:val="22"/>
          <w:lang w:val="en-GB" w:eastAsia="ja-JP"/>
        </w:rPr>
        <w:t xml:space="preserve">) and </w:t>
      </w:r>
      <w:r w:rsidR="00F33271">
        <w:rPr>
          <w:rFonts w:eastAsia="MS Mincho"/>
          <w:sz w:val="20"/>
          <w:szCs w:val="22"/>
          <w:lang w:val="en-GB" w:eastAsia="ja-JP"/>
        </w:rPr>
        <w:t>R</w:t>
      </w:r>
      <w:r w:rsidRPr="00C96521">
        <w:rPr>
          <w:rFonts w:eastAsia="MS Mincho"/>
          <w:sz w:val="20"/>
          <w:szCs w:val="22"/>
          <w:lang w:val="en-GB" w:eastAsia="ja-JP"/>
        </w:rPr>
        <w:t xml:space="preserve">ock </w:t>
      </w:r>
      <w:r w:rsidR="00F33271">
        <w:rPr>
          <w:rFonts w:eastAsia="MS Mincho"/>
          <w:sz w:val="20"/>
          <w:szCs w:val="22"/>
          <w:lang w:val="en-GB" w:eastAsia="ja-JP"/>
        </w:rPr>
        <w:t>P</w:t>
      </w:r>
      <w:r w:rsidRPr="00C96521">
        <w:rPr>
          <w:rFonts w:eastAsia="MS Mincho"/>
          <w:sz w:val="20"/>
          <w:szCs w:val="22"/>
          <w:lang w:val="en-GB" w:eastAsia="ja-JP"/>
        </w:rPr>
        <w:t>igeon (</w:t>
      </w:r>
      <w:r w:rsidRPr="00C96521">
        <w:rPr>
          <w:rFonts w:eastAsia="MS Mincho"/>
          <w:i/>
          <w:sz w:val="20"/>
          <w:szCs w:val="22"/>
          <w:lang w:val="en-GB" w:eastAsia="ja-JP"/>
        </w:rPr>
        <w:t>C. livia</w:t>
      </w:r>
      <w:r w:rsidRPr="00C96521">
        <w:rPr>
          <w:rFonts w:eastAsia="MS Mincho"/>
          <w:sz w:val="20"/>
          <w:szCs w:val="22"/>
          <w:lang w:val="en-GB" w:eastAsia="ja-JP"/>
        </w:rPr>
        <w:t xml:space="preserve">) (Fisher </w:t>
      </w:r>
      <w:r w:rsidRPr="00C96521">
        <w:rPr>
          <w:rFonts w:eastAsia="MS Mincho"/>
          <w:i/>
          <w:sz w:val="20"/>
          <w:szCs w:val="22"/>
          <w:lang w:val="en-GB" w:eastAsia="ja-JP"/>
        </w:rPr>
        <w:t>et al</w:t>
      </w:r>
      <w:r w:rsidRPr="00C96521">
        <w:rPr>
          <w:rFonts w:eastAsia="MS Mincho"/>
          <w:sz w:val="20"/>
          <w:szCs w:val="22"/>
          <w:lang w:val="en-GB" w:eastAsia="ja-JP"/>
        </w:rPr>
        <w:t xml:space="preserve"> 2006). However, no reports of mortality owing to lead ingestion have been made and the rate of lead ingestion could be low as fields where the species feeds are ploughed annually. </w:t>
      </w:r>
      <w:r w:rsidR="00F33271">
        <w:rPr>
          <w:rFonts w:eastAsia="MS Mincho"/>
          <w:sz w:val="20"/>
          <w:szCs w:val="22"/>
          <w:lang w:val="en-GB" w:eastAsia="ja-JP"/>
        </w:rPr>
        <w:t xml:space="preserve"> </w:t>
      </w:r>
    </w:p>
    <w:p w14:paraId="4CF20B6F" w14:textId="77777777" w:rsidR="00C96521" w:rsidRPr="00C96521" w:rsidRDefault="00C96521" w:rsidP="00C96521">
      <w:pPr>
        <w:widowControl/>
        <w:rPr>
          <w:rFonts w:ascii="TimesNewRoman" w:eastAsia="MS Mincho" w:hAnsi="TimesNewRoman" w:cs="TimesNewRoman"/>
          <w:sz w:val="20"/>
          <w:szCs w:val="22"/>
          <w:lang w:val="en-GB" w:eastAsia="ja-JP"/>
        </w:rPr>
      </w:pPr>
    </w:p>
    <w:p w14:paraId="7CAD916A"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30" w:name="_Toc478646915"/>
      <w:r w:rsidRPr="00C96521">
        <w:rPr>
          <w:rFonts w:ascii="Cambria" w:eastAsia="MS Gothic" w:hAnsi="Cambria"/>
          <w:b/>
          <w:bCs/>
          <w:color w:val="4F81BD"/>
          <w:sz w:val="20"/>
          <w:szCs w:val="22"/>
          <w:lang w:val="en-GB" w:eastAsia="ja-JP"/>
        </w:rPr>
        <w:t>Drought and climate change</w:t>
      </w:r>
      <w:bookmarkEnd w:id="30"/>
    </w:p>
    <w:p w14:paraId="29B08586" w14:textId="77777777" w:rsidR="00C96521" w:rsidRPr="00C96521" w:rsidRDefault="00C96521" w:rsidP="00C96521">
      <w:pPr>
        <w:widowControl/>
        <w:rPr>
          <w:rFonts w:ascii="TimesNewRoman,Bold" w:eastAsia="MS Mincho" w:hAnsi="TimesNewRoman,Bold" w:cs="TimesNewRoman,Bold"/>
          <w:b/>
          <w:bCs/>
          <w:sz w:val="24"/>
          <w:lang w:val="en-GB" w:eastAsia="ja-JP"/>
        </w:rPr>
      </w:pPr>
    </w:p>
    <w:p w14:paraId="73FF1C73" w14:textId="240E500A"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Climate conditions (particularly drought) in wintering areas as well as across critical staging posts in Central Sahara can lead to an abnormally high mortality rate. In the 1970s and 1980s, the Sahelian regions of western Africa, which make up the principal wintering areas for western European populations of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Pr="00C96521">
        <w:rPr>
          <w:rFonts w:eastAsia="MS Mincho" w:cs="Arial"/>
          <w:sz w:val="20"/>
          <w:szCs w:val="22"/>
          <w:lang w:val="en-GB" w:eastAsia="ja-JP"/>
        </w:rPr>
        <w:t xml:space="preserve">, were hit by long periods of drought, annual rainfall only very infrequently going above the annual average and very often remaining well below (Jarry 1994). In the north of the Sahel, the rainy season is shortest (May/Jul-Aug/Oct), so in general, food and water will disappear there first (Joost Brouwer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However, in the past, changes in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 xml:space="preserve">ove </w:t>
      </w:r>
      <w:r w:rsidRPr="00C96521">
        <w:rPr>
          <w:rFonts w:eastAsia="MS Mincho" w:cs="Arial"/>
          <w:sz w:val="20"/>
          <w:szCs w:val="22"/>
          <w:lang w:val="en-GB" w:eastAsia="ja-JP"/>
        </w:rPr>
        <w:t xml:space="preserve">abundance in the UK did not show any strong correlation with severe drought years in the Sahel wintering grounds (Marchant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1990). Moreover, several species which are known to be affected by drought in the Sahel (</w:t>
      </w:r>
      <w:r w:rsidR="00F33271">
        <w:rPr>
          <w:rFonts w:eastAsia="MS Mincho" w:cs="Arial"/>
          <w:sz w:val="20"/>
          <w:szCs w:val="22"/>
          <w:lang w:val="en-GB" w:eastAsia="ja-JP"/>
        </w:rPr>
        <w:t>W</w:t>
      </w:r>
      <w:r w:rsidRPr="00C96521">
        <w:rPr>
          <w:rFonts w:eastAsia="MS Mincho" w:cs="Arial"/>
          <w:sz w:val="20"/>
          <w:szCs w:val="22"/>
          <w:lang w:val="en-GB" w:eastAsia="ja-JP"/>
        </w:rPr>
        <w:t xml:space="preserve">hitethroat </w:t>
      </w:r>
      <w:r w:rsidRPr="00C96521">
        <w:rPr>
          <w:rFonts w:eastAsia="MS Mincho" w:cs="Arial"/>
          <w:i/>
          <w:sz w:val="20"/>
          <w:szCs w:val="22"/>
          <w:lang w:val="en-GB" w:eastAsia="ja-JP"/>
        </w:rPr>
        <w:t>Sylvia communis</w:t>
      </w:r>
      <w:r w:rsidRPr="00C96521">
        <w:rPr>
          <w:rFonts w:eastAsia="MS Mincho" w:cs="Arial"/>
          <w:sz w:val="20"/>
          <w:szCs w:val="22"/>
          <w:lang w:val="en-GB" w:eastAsia="ja-JP"/>
        </w:rPr>
        <w:t xml:space="preserve"> and </w:t>
      </w:r>
      <w:r w:rsidR="00F33271">
        <w:rPr>
          <w:rFonts w:eastAsia="MS Mincho" w:cs="Arial"/>
          <w:sz w:val="20"/>
          <w:szCs w:val="22"/>
          <w:lang w:val="en-GB" w:eastAsia="ja-JP"/>
        </w:rPr>
        <w:t>S</w:t>
      </w:r>
      <w:r w:rsidR="00F33271" w:rsidRPr="00C96521">
        <w:rPr>
          <w:rFonts w:eastAsia="MS Mincho" w:cs="Arial"/>
          <w:sz w:val="20"/>
          <w:szCs w:val="22"/>
          <w:lang w:val="en-GB" w:eastAsia="ja-JP"/>
        </w:rPr>
        <w:t xml:space="preserve">edge </w:t>
      </w:r>
      <w:r w:rsidR="00F33271">
        <w:rPr>
          <w:rFonts w:eastAsia="MS Mincho" w:cs="Arial"/>
          <w:sz w:val="20"/>
          <w:szCs w:val="22"/>
          <w:lang w:val="en-GB" w:eastAsia="ja-JP"/>
        </w:rPr>
        <w:t>W</w:t>
      </w:r>
      <w:r w:rsidR="00F33271" w:rsidRPr="00C96521">
        <w:rPr>
          <w:rFonts w:eastAsia="MS Mincho" w:cs="Arial"/>
          <w:sz w:val="20"/>
          <w:szCs w:val="22"/>
          <w:lang w:val="en-GB" w:eastAsia="ja-JP"/>
        </w:rPr>
        <w:t xml:space="preserve">arbler </w:t>
      </w:r>
      <w:r w:rsidRPr="00C96521">
        <w:rPr>
          <w:rFonts w:eastAsia="MS Mincho" w:cs="Arial"/>
          <w:i/>
          <w:sz w:val="20"/>
          <w:szCs w:val="22"/>
          <w:lang w:val="en-GB" w:eastAsia="ja-JP"/>
        </w:rPr>
        <w:t>Acrocephalus schoenobaenus</w:t>
      </w:r>
      <w:r w:rsidRPr="00C96521">
        <w:rPr>
          <w:rFonts w:eastAsia="MS Mincho" w:cs="Arial"/>
          <w:sz w:val="20"/>
          <w:szCs w:val="22"/>
          <w:lang w:val="en-GB" w:eastAsia="ja-JP"/>
        </w:rPr>
        <w:t xml:space="preserve">) showed strong population increases during the 1990s in response to increasingly favourable rainfall conditions in the Sahel. High annual survival of birds in a population in France matched years with high cereal production in the Sahel and cereal production is often negatively linked to droughts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Similarly, rainfall in the arid Sahel region of West Africa was shown to have a significant impact on the population trend of UK breeding turtle-doves, with arid zone rainfall associated with a positive population change in the species. However, </w:t>
      </w:r>
      <w:r w:rsidRPr="00C96521">
        <w:rPr>
          <w:rFonts w:eastAsia="MS Mincho"/>
          <w:sz w:val="20"/>
          <w:szCs w:val="22"/>
          <w:lang w:val="en-GB" w:eastAsia="ja-JP"/>
        </w:rPr>
        <w:t>the percent of deviance explained by rainfall in the model examining inter-annual percentage change in abundance index was low, at 4</w:t>
      </w:r>
      <w:r w:rsidR="00F33271">
        <w:rPr>
          <w:rFonts w:eastAsia="MS Mincho"/>
          <w:sz w:val="20"/>
          <w:szCs w:val="22"/>
          <w:lang w:val="en-GB" w:eastAsia="ja-JP"/>
        </w:rPr>
        <w:t xml:space="preserve"> per cent</w:t>
      </w:r>
      <w:r w:rsidR="00F33271"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(Ockenden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2014). </w:t>
      </w:r>
      <w:r w:rsidR="00F33271">
        <w:rPr>
          <w:rFonts w:eastAsia="MS Mincho" w:cs="Arial"/>
          <w:sz w:val="20"/>
          <w:szCs w:val="22"/>
          <w:lang w:val="en-GB" w:eastAsia="ja-JP"/>
        </w:rPr>
        <w:t xml:space="preserve">  </w:t>
      </w:r>
    </w:p>
    <w:p w14:paraId="1CF35F84"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FA4089F" w14:textId="7DA3D9F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While the overall effects of climate change are poorly understood, recent data from a satellite-tracked bird showed that weather events, such as sandstorms, might have carry-over effects that affect productivity, such as birds being delayed in their return to the breeding grounds (RSPB 2016). In Niger, the end of the rainy season falls during the turtle-dove’s southward migration to the wintering grounds (Kusserow and Brouwer 2011). However, by March-April the weather conditions are hotter and drier, with migratory species, including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00F33271">
        <w:rPr>
          <w:rFonts w:eastAsia="MS Mincho"/>
          <w:sz w:val="20"/>
          <w:szCs w:val="22"/>
          <w:lang w:val="en-GB" w:eastAsia="ja-JP"/>
        </w:rPr>
        <w:t>s</w:t>
      </w:r>
      <w:r w:rsidRPr="00C96521">
        <w:rPr>
          <w:rFonts w:eastAsia="MS Mincho" w:cs="Arial"/>
          <w:sz w:val="20"/>
          <w:szCs w:val="22"/>
          <w:lang w:val="en-GB" w:eastAsia="ja-JP"/>
        </w:rPr>
        <w:t xml:space="preserve">, recorded visiting gardens in search of water (Kusserow and Brouwer 2011). The depletion of ancient underground water aquifers (particularly in Libya) due to over-abstraction have led to habitat decline in Saharan oases that act as critical staging posts along migratory routes. </w:t>
      </w:r>
    </w:p>
    <w:p w14:paraId="12EB820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FE8C85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Local weather conditions may also affect the species. In Greece, </w:t>
      </w:r>
      <w:r w:rsidRPr="00C96521">
        <w:rPr>
          <w:rFonts w:eastAsia="MS Mincho"/>
          <w:sz w:val="20"/>
          <w:szCs w:val="22"/>
          <w:lang w:val="en-GB" w:eastAsia="ja-JP"/>
        </w:rPr>
        <w:t xml:space="preserve">very low breeding densities were recorded during 2015, due to bad weather conditions during May and June (high rainfall) compared to 2016 (Dimitris Bakaloudis </w:t>
      </w:r>
      <w:r w:rsidRPr="00C96521">
        <w:rPr>
          <w:rFonts w:eastAsia="MS Mincho"/>
          <w:i/>
          <w:sz w:val="20"/>
          <w:szCs w:val="22"/>
          <w:lang w:val="en-GB" w:eastAsia="ja-JP"/>
        </w:rPr>
        <w:t>pers comm</w:t>
      </w:r>
      <w:r w:rsidRPr="00C96521">
        <w:rPr>
          <w:rFonts w:eastAsia="MS Mincho"/>
          <w:sz w:val="20"/>
          <w:szCs w:val="22"/>
          <w:lang w:val="en-GB" w:eastAsia="ja-JP"/>
        </w:rPr>
        <w:t>). In Cyprus, several thousand birds were found dead on the Paphos/Akamas coast following two days of severe storms in 1976 (Flint and Stewart 1992)</w:t>
      </w:r>
    </w:p>
    <w:p w14:paraId="505BBF5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AC7B2AF"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31" w:name="_Toc478646916"/>
      <w:r w:rsidRPr="00C96521">
        <w:rPr>
          <w:rFonts w:ascii="Cambria" w:eastAsia="MS Gothic" w:hAnsi="Cambria"/>
          <w:b/>
          <w:bCs/>
          <w:color w:val="4F81BD"/>
          <w:sz w:val="20"/>
          <w:szCs w:val="22"/>
          <w:lang w:val="en-GB" w:eastAsia="ja-JP"/>
        </w:rPr>
        <w:t>Competition with collared dove</w:t>
      </w:r>
      <w:bookmarkEnd w:id="31"/>
    </w:p>
    <w:p w14:paraId="0A1ED41F" w14:textId="77777777" w:rsidR="00C96521" w:rsidRPr="00C96521" w:rsidRDefault="00C96521" w:rsidP="00C96521">
      <w:pPr>
        <w:widowControl/>
        <w:rPr>
          <w:rFonts w:ascii="TimesNewRoman,Bold" w:eastAsia="MS Mincho" w:hAnsi="TimesNewRoman,Bold" w:cs="TimesNewRoman,Bold"/>
          <w:b/>
          <w:bCs/>
          <w:sz w:val="20"/>
          <w:szCs w:val="22"/>
          <w:lang w:val="en-GB" w:eastAsia="ja-JP"/>
        </w:rPr>
      </w:pPr>
    </w:p>
    <w:p w14:paraId="5BBC5624" w14:textId="793EF44D"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The </w:t>
      </w:r>
      <w:r w:rsidR="00F33271">
        <w:rPr>
          <w:rFonts w:eastAsia="MS Mincho" w:cs="Arial"/>
          <w:sz w:val="20"/>
          <w:szCs w:val="22"/>
          <w:lang w:val="en-GB" w:eastAsia="ja-JP"/>
        </w:rPr>
        <w:t>C</w:t>
      </w:r>
      <w:r w:rsidR="00F33271"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00F33271" w:rsidRPr="00C96521">
        <w:rPr>
          <w:rFonts w:eastAsia="MS Mincho" w:cs="Arial"/>
          <w:sz w:val="20"/>
          <w:szCs w:val="22"/>
          <w:lang w:val="en-GB" w:eastAsia="ja-JP"/>
        </w:rPr>
        <w:t xml:space="preserve">ove </w:t>
      </w:r>
      <w:r w:rsidRPr="00C96521">
        <w:rPr>
          <w:rFonts w:eastAsia="MS Mincho" w:cs="Arial"/>
          <w:sz w:val="20"/>
          <w:szCs w:val="22"/>
          <w:lang w:val="en-GB" w:eastAsia="ja-JP"/>
        </w:rPr>
        <w:t>(</w:t>
      </w:r>
      <w:r w:rsidRPr="00C96521">
        <w:rPr>
          <w:rFonts w:eastAsia="MS Mincho" w:cs="Arial"/>
          <w:i/>
          <w:sz w:val="20"/>
          <w:szCs w:val="22"/>
          <w:lang w:val="en-GB" w:eastAsia="ja-JP"/>
        </w:rPr>
        <w:t>Streptopelia decaocto</w:t>
      </w:r>
      <w:r w:rsidRPr="00C96521">
        <w:rPr>
          <w:rFonts w:eastAsia="MS Mincho" w:cs="Arial"/>
          <w:sz w:val="20"/>
          <w:szCs w:val="22"/>
          <w:lang w:val="en-GB" w:eastAsia="ja-JP"/>
        </w:rPr>
        <w:t xml:space="preserve">) has expanded throughout the Western Palearctic over the past few decades (Rocha and Hidalgo de Trucios 2000, 2002b). This species is mainly found in the vicinity of urban areas, especially in parks, avenues and other wooded areas. Its presence is usually linked to human activities, and it is often common around agriculture infrastructure (barns, farms, </w:t>
      </w:r>
      <w:r w:rsidRPr="00C96521">
        <w:rPr>
          <w:rFonts w:eastAsia="MS Mincho" w:cs="Arial"/>
          <w:sz w:val="20"/>
          <w:szCs w:val="22"/>
          <w:lang w:val="en-GB" w:eastAsia="ja-JP"/>
        </w:rPr>
        <w:lastRenderedPageBreak/>
        <w:t xml:space="preserve">livestock silos) where food is available. In central Spain (notably Extremadura) and in several parts of France where both species of dove occur, </w:t>
      </w:r>
      <w:r w:rsidR="00F33271">
        <w:rPr>
          <w:rFonts w:eastAsia="MS Mincho" w:cs="Arial"/>
          <w:sz w:val="20"/>
          <w:szCs w:val="22"/>
          <w:lang w:val="en-GB" w:eastAsia="ja-JP"/>
        </w:rPr>
        <w:t>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 xml:space="preserve">oves appear to compete, in some places, with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Dove</w:t>
      </w:r>
      <w:r w:rsidRPr="00C96521">
        <w:rPr>
          <w:rFonts w:eastAsia="MS Mincho" w:cs="Arial"/>
          <w:sz w:val="20"/>
          <w:szCs w:val="22"/>
          <w:lang w:val="en-GB" w:eastAsia="ja-JP"/>
        </w:rPr>
        <w:t xml:space="preserve">s. Overlap between </w:t>
      </w:r>
      <w:r w:rsidR="00F33271">
        <w:rPr>
          <w:rFonts w:eastAsia="MS Mincho" w:cs="Arial"/>
          <w:sz w:val="20"/>
          <w:szCs w:val="22"/>
          <w:lang w:val="en-GB" w:eastAsia="ja-JP"/>
        </w:rPr>
        <w:t>the 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 xml:space="preserve">ove and </w:t>
      </w:r>
      <w:r w:rsidR="00F33271">
        <w:rPr>
          <w:rFonts w:eastAsia="MS Mincho" w:cs="Arial"/>
          <w:sz w:val="20"/>
          <w:szCs w:val="22"/>
          <w:lang w:val="en-GB" w:eastAsia="ja-JP"/>
        </w:rPr>
        <w:t>T</w:t>
      </w:r>
      <w:r w:rsidRPr="00C96521">
        <w:rPr>
          <w:rFonts w:eastAsia="MS Mincho" w:cs="Arial"/>
          <w:sz w:val="20"/>
          <w:szCs w:val="22"/>
          <w:lang w:val="en-GB" w:eastAsia="ja-JP"/>
        </w:rPr>
        <w:t>urtle</w:t>
      </w:r>
      <w:r w:rsidR="00F33271">
        <w:rPr>
          <w:rFonts w:eastAsia="MS Mincho" w:cs="Arial"/>
          <w:sz w:val="20"/>
          <w:szCs w:val="22"/>
          <w:lang w:val="en-GB" w:eastAsia="ja-JP"/>
        </w:rPr>
        <w:t xml:space="preserve"> D</w:t>
      </w:r>
      <w:r w:rsidRPr="00C96521">
        <w:rPr>
          <w:rFonts w:eastAsia="MS Mincho" w:cs="Arial"/>
          <w:sz w:val="20"/>
          <w:szCs w:val="22"/>
          <w:lang w:val="en-GB" w:eastAsia="ja-JP"/>
        </w:rPr>
        <w:t>ove has been found in meadow (</w:t>
      </w:r>
      <w:r w:rsidRPr="00C96521">
        <w:rPr>
          <w:rFonts w:eastAsia="MS Mincho" w:cs="Arial"/>
          <w:i/>
          <w:sz w:val="20"/>
          <w:szCs w:val="22"/>
          <w:lang w:val="en-GB" w:eastAsia="ja-JP"/>
        </w:rPr>
        <w:t>dehesa</w:t>
      </w:r>
      <w:r w:rsidRPr="00C96521">
        <w:rPr>
          <w:rFonts w:eastAsia="MS Mincho" w:cs="Arial"/>
          <w:sz w:val="20"/>
          <w:szCs w:val="22"/>
          <w:lang w:val="en-GB" w:eastAsia="ja-JP"/>
        </w:rPr>
        <w:t xml:space="preserve">) habitats used by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00F33271">
        <w:rPr>
          <w:rFonts w:eastAsia="MS Mincho"/>
          <w:sz w:val="20"/>
          <w:szCs w:val="22"/>
          <w:lang w:val="en-GB" w:eastAsia="ja-JP"/>
        </w:rPr>
        <w:t>s</w:t>
      </w:r>
      <w:r w:rsidRPr="00C96521">
        <w:rPr>
          <w:rFonts w:eastAsia="MS Mincho" w:cs="Arial"/>
          <w:sz w:val="20"/>
          <w:szCs w:val="22"/>
          <w:lang w:val="en-GB" w:eastAsia="ja-JP"/>
        </w:rPr>
        <w:t xml:space="preserve"> in central, southern and western parts of the Iberian </w:t>
      </w:r>
      <w:r w:rsidR="00F33271">
        <w:rPr>
          <w:rFonts w:eastAsia="MS Mincho" w:cs="Arial"/>
          <w:sz w:val="20"/>
          <w:szCs w:val="22"/>
          <w:lang w:val="en-GB" w:eastAsia="ja-JP"/>
        </w:rPr>
        <w:t>P</w:t>
      </w:r>
      <w:r w:rsidRPr="00C96521">
        <w:rPr>
          <w:rFonts w:eastAsia="MS Mincho" w:cs="Arial"/>
          <w:sz w:val="20"/>
          <w:szCs w:val="22"/>
          <w:lang w:val="en-GB" w:eastAsia="ja-JP"/>
        </w:rPr>
        <w:t xml:space="preserve">eninsula (Rocha and Hidalgo de Trucios 1998, 2000, 2001b, 2002b, 2004a and 2004b). When comparing the presence/absence in places where both species could exist, Rocha and Hidalgo (2000) observed an exclusion relationship between the two. Furthermore, the analysis of densities of both species in the same places showed that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Pr="00C96521">
        <w:rPr>
          <w:rFonts w:eastAsia="MS Mincho" w:cs="Arial"/>
          <w:sz w:val="20"/>
          <w:szCs w:val="22"/>
          <w:lang w:val="en-GB" w:eastAsia="ja-JP"/>
        </w:rPr>
        <w:t xml:space="preserve"> densities decreased at the same time as </w:t>
      </w:r>
      <w:r w:rsidR="00F33271">
        <w:rPr>
          <w:rFonts w:eastAsia="MS Mincho" w:cs="Arial"/>
          <w:sz w:val="20"/>
          <w:szCs w:val="22"/>
          <w:lang w:val="en-GB" w:eastAsia="ja-JP"/>
        </w:rPr>
        <w:t>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 xml:space="preserve">ove densities increased. The same is true for Portugal (Dias 2016). The </w:t>
      </w:r>
      <w:r w:rsidR="00F33271">
        <w:rPr>
          <w:rFonts w:eastAsia="MS Mincho" w:cs="Arial"/>
          <w:sz w:val="20"/>
          <w:szCs w:val="22"/>
          <w:lang w:val="en-GB" w:eastAsia="ja-JP"/>
        </w:rPr>
        <w:t>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ove benefits from advantages such as its sedentary and territorial characters, larger size and aggressiveness (Fletcher 1979) and a high reproductive success - several clutches per year, with 66</w:t>
      </w:r>
      <w:r w:rsidR="00F33271">
        <w:rPr>
          <w:rFonts w:eastAsia="MS Mincho" w:cs="Arial"/>
          <w:sz w:val="20"/>
          <w:szCs w:val="22"/>
          <w:lang w:val="en-GB" w:eastAsia="ja-JP"/>
        </w:rPr>
        <w:t xml:space="preserve"> per cent</w:t>
      </w:r>
      <w:r w:rsidRPr="00C96521">
        <w:rPr>
          <w:rFonts w:eastAsia="MS Mincho" w:cs="Arial"/>
          <w:sz w:val="20"/>
          <w:szCs w:val="22"/>
          <w:lang w:val="en-GB" w:eastAsia="ja-JP"/>
        </w:rPr>
        <w:t xml:space="preserve"> success, versus fewer clutches and 35</w:t>
      </w:r>
      <w:r w:rsidR="00F33271">
        <w:rPr>
          <w:rFonts w:eastAsia="MS Mincho" w:cs="Arial"/>
          <w:sz w:val="20"/>
          <w:szCs w:val="22"/>
          <w:lang w:val="en-GB" w:eastAsia="ja-JP"/>
        </w:rPr>
        <w:t xml:space="preserve"> per cent</w:t>
      </w:r>
      <w:r w:rsidRPr="00C96521">
        <w:rPr>
          <w:rFonts w:eastAsia="MS Mincho" w:cs="Arial"/>
          <w:sz w:val="20"/>
          <w:szCs w:val="22"/>
          <w:lang w:val="en-GB" w:eastAsia="ja-JP"/>
        </w:rPr>
        <w:t xml:space="preserve"> success for the </w:t>
      </w:r>
      <w:r w:rsidR="00F33271">
        <w:rPr>
          <w:rFonts w:eastAsia="MS Mincho" w:cs="Arial"/>
          <w:sz w:val="20"/>
          <w:szCs w:val="22"/>
          <w:lang w:val="en-GB" w:eastAsia="ja-JP"/>
        </w:rPr>
        <w:t>T</w:t>
      </w:r>
      <w:r w:rsidRPr="00C96521">
        <w:rPr>
          <w:rFonts w:eastAsia="MS Mincho" w:cs="Arial"/>
          <w:sz w:val="20"/>
          <w:szCs w:val="22"/>
          <w:lang w:val="en-GB" w:eastAsia="ja-JP"/>
        </w:rPr>
        <w:t>urtle</w:t>
      </w:r>
      <w:r w:rsidR="00F33271">
        <w:rPr>
          <w:rFonts w:eastAsia="MS Mincho" w:cs="Arial"/>
          <w:sz w:val="20"/>
          <w:szCs w:val="22"/>
          <w:lang w:val="en-GB" w:eastAsia="ja-JP"/>
        </w:rPr>
        <w:t xml:space="preserve"> D</w:t>
      </w:r>
      <w:r w:rsidRPr="00C96521">
        <w:rPr>
          <w:rFonts w:eastAsia="MS Mincho" w:cs="Arial"/>
          <w:sz w:val="20"/>
          <w:szCs w:val="22"/>
          <w:lang w:val="en-GB" w:eastAsia="ja-JP"/>
        </w:rPr>
        <w:t xml:space="preserve">ove (Browne and Aebischer 2004). However, correlation does not necessarily mean causation and in eastern Europe, where </w:t>
      </w:r>
      <w:r w:rsidR="00F33271">
        <w:rPr>
          <w:rFonts w:eastAsia="MS Mincho" w:cs="Arial"/>
          <w:sz w:val="20"/>
          <w:szCs w:val="22"/>
          <w:lang w:val="en-GB" w:eastAsia="ja-JP"/>
        </w:rPr>
        <w:t>the 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 xml:space="preserve">ove has been present for longer than it has been in western Europe,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Pr="00C96521">
        <w:rPr>
          <w:rFonts w:eastAsia="MS Mincho" w:cs="Arial"/>
          <w:sz w:val="20"/>
          <w:szCs w:val="22"/>
          <w:lang w:val="en-GB" w:eastAsia="ja-JP"/>
        </w:rPr>
        <w:t xml:space="preserve"> populations have not decreased to such an extent. In Hungary, the </w:t>
      </w:r>
      <w:r w:rsidR="00F33271">
        <w:rPr>
          <w:rFonts w:eastAsia="MS Mincho" w:cs="Arial"/>
          <w:sz w:val="20"/>
          <w:szCs w:val="22"/>
          <w:lang w:val="en-GB" w:eastAsia="ja-JP"/>
        </w:rPr>
        <w:t>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 xml:space="preserve">ove nests near human settlements while the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Pr="00C96521">
        <w:rPr>
          <w:rFonts w:eastAsia="MS Mincho" w:cs="Arial"/>
          <w:sz w:val="20"/>
          <w:szCs w:val="22"/>
          <w:lang w:val="en-GB" w:eastAsia="ja-JP"/>
        </w:rPr>
        <w:t xml:space="preserve"> uses forest edge, woodland and shrub away from human habitation (Hadarics and Zalai 2008), but in Romania, competition</w:t>
      </w:r>
      <w:r w:rsidRPr="00C96521">
        <w:rPr>
          <w:rFonts w:eastAsia="MS Mincho"/>
          <w:sz w:val="20"/>
          <w:szCs w:val="22"/>
          <w:lang w:val="en-GB" w:eastAsia="ja-JP"/>
        </w:rPr>
        <w:t xml:space="preserve"> with </w:t>
      </w:r>
      <w:r w:rsidR="00F33271">
        <w:rPr>
          <w:rFonts w:eastAsia="MS Mincho"/>
          <w:sz w:val="20"/>
          <w:szCs w:val="22"/>
          <w:lang w:val="en-GB" w:eastAsia="ja-JP"/>
        </w:rPr>
        <w:t>C</w:t>
      </w:r>
      <w:r w:rsidRPr="00C96521">
        <w:rPr>
          <w:rFonts w:eastAsia="MS Mincho"/>
          <w:sz w:val="20"/>
          <w:szCs w:val="22"/>
          <w:lang w:val="en-GB" w:eastAsia="ja-JP"/>
        </w:rPr>
        <w:t xml:space="preserve">ollared </w:t>
      </w:r>
      <w:r w:rsidR="00F33271">
        <w:rPr>
          <w:rFonts w:eastAsia="MS Mincho"/>
          <w:sz w:val="20"/>
          <w:szCs w:val="22"/>
          <w:lang w:val="en-GB" w:eastAsia="ja-JP"/>
        </w:rPr>
        <w:t>D</w:t>
      </w:r>
      <w:r w:rsidRPr="00C96521">
        <w:rPr>
          <w:rFonts w:eastAsia="MS Mincho"/>
          <w:sz w:val="20"/>
          <w:szCs w:val="22"/>
          <w:lang w:val="en-GB" w:eastAsia="ja-JP"/>
        </w:rPr>
        <w:t xml:space="preserve">ove has caused </w:t>
      </w:r>
      <w:r w:rsidR="00F33271">
        <w:rPr>
          <w:rFonts w:eastAsia="MS Mincho"/>
          <w:sz w:val="20"/>
          <w:szCs w:val="22"/>
          <w:lang w:val="en-GB" w:eastAsia="ja-JP"/>
        </w:rPr>
        <w:t>the 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 xml:space="preserve">ove </w:t>
      </w:r>
      <w:r w:rsidRPr="00C96521">
        <w:rPr>
          <w:rFonts w:eastAsia="MS Mincho"/>
          <w:sz w:val="20"/>
          <w:szCs w:val="22"/>
          <w:lang w:val="en-GB" w:eastAsia="ja-JP"/>
        </w:rPr>
        <w:t xml:space="preserve"> to be lost from parks and cities at least in Transylvania and Banat (Munteanu 2009). </w:t>
      </w:r>
    </w:p>
    <w:p w14:paraId="63419BB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6FF7FE3" w14:textId="73E7DAB2"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sz w:val="20"/>
          <w:szCs w:val="22"/>
          <w:lang w:val="en-GB" w:eastAsia="ja-JP"/>
        </w:rPr>
        <w:t xml:space="preserve">It is possible that the role of potential competition between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 xml:space="preserve">ove </w:t>
      </w:r>
      <w:r w:rsidRPr="00C96521">
        <w:rPr>
          <w:rFonts w:eastAsia="MS Mincho"/>
          <w:sz w:val="20"/>
          <w:szCs w:val="22"/>
          <w:lang w:val="en-GB" w:eastAsia="ja-JP"/>
        </w:rPr>
        <w:t xml:space="preserve">and </w:t>
      </w:r>
      <w:r w:rsidR="00F33271">
        <w:rPr>
          <w:rFonts w:eastAsia="MS Mincho"/>
          <w:sz w:val="20"/>
          <w:szCs w:val="22"/>
          <w:lang w:val="en-GB" w:eastAsia="ja-JP"/>
        </w:rPr>
        <w:t>C</w:t>
      </w:r>
      <w:r w:rsidRPr="00C96521">
        <w:rPr>
          <w:rFonts w:eastAsia="MS Mincho"/>
          <w:sz w:val="20"/>
          <w:szCs w:val="22"/>
          <w:lang w:val="en-GB" w:eastAsia="ja-JP"/>
        </w:rPr>
        <w:t>ollared</w:t>
      </w:r>
      <w:r w:rsidR="00F33271" w:rsidRPr="00F33271">
        <w:rPr>
          <w:rFonts w:eastAsia="MS Mincho"/>
          <w:sz w:val="20"/>
          <w:szCs w:val="22"/>
          <w:lang w:val="en-GB" w:eastAsia="ja-JP"/>
        </w:rPr>
        <w:t xml:space="preserve"> </w:t>
      </w:r>
      <w:r w:rsidR="00F33271">
        <w:rPr>
          <w:rFonts w:eastAsia="MS Mincho"/>
          <w:sz w:val="20"/>
          <w:szCs w:val="22"/>
          <w:lang w:val="en-GB" w:eastAsia="ja-JP"/>
        </w:rPr>
        <w:t>D</w:t>
      </w:r>
      <w:r w:rsidR="00F33271" w:rsidRPr="00C96521">
        <w:rPr>
          <w:rFonts w:eastAsia="MS Mincho"/>
          <w:sz w:val="20"/>
          <w:szCs w:val="22"/>
          <w:lang w:val="en-GB" w:eastAsia="ja-JP"/>
        </w:rPr>
        <w:t xml:space="preserve">ove </w:t>
      </w:r>
      <w:r w:rsidRPr="00C96521">
        <w:rPr>
          <w:rFonts w:eastAsia="MS Mincho"/>
          <w:sz w:val="20"/>
          <w:szCs w:val="22"/>
          <w:lang w:val="en-GB" w:eastAsia="ja-JP"/>
        </w:rPr>
        <w:t xml:space="preserve">varies from one country to another. Unpublished data from the UK </w:t>
      </w:r>
      <w:r w:rsidRPr="00C96521">
        <w:rPr>
          <w:rFonts w:eastAsia="MS Mincho" w:cs="Arial"/>
          <w:sz w:val="20"/>
          <w:szCs w:val="22"/>
          <w:lang w:val="en-GB" w:eastAsia="ja-JP"/>
        </w:rPr>
        <w:t xml:space="preserve">(Dunn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2016c </w:t>
      </w:r>
      <w:r w:rsidRPr="00C96521">
        <w:rPr>
          <w:rFonts w:eastAsia="MS Mincho" w:cs="Arial"/>
          <w:i/>
          <w:sz w:val="20"/>
          <w:szCs w:val="22"/>
          <w:lang w:val="en-GB" w:eastAsia="ja-JP"/>
        </w:rPr>
        <w:t>under review</w:t>
      </w:r>
      <w:r w:rsidRPr="00C96521">
        <w:rPr>
          <w:rFonts w:eastAsia="MS Mincho" w:cs="Arial"/>
          <w:sz w:val="20"/>
          <w:szCs w:val="22"/>
          <w:lang w:val="en-GB" w:eastAsia="ja-JP"/>
        </w:rPr>
        <w:t xml:space="preserve">) show significant dietary overlap between all four UK farmland columbid species, and while the lowest overlap was between </w:t>
      </w:r>
      <w:r w:rsidR="00A922B2">
        <w:rPr>
          <w:rFonts w:eastAsia="MS Mincho" w:cs="Arial"/>
          <w:sz w:val="20"/>
          <w:szCs w:val="22"/>
          <w:lang w:val="en-GB" w:eastAsia="ja-JP"/>
        </w:rPr>
        <w:t>T</w:t>
      </w:r>
      <w:r w:rsidRPr="00C96521">
        <w:rPr>
          <w:rFonts w:eastAsia="MS Mincho" w:cs="Arial"/>
          <w:sz w:val="20"/>
          <w:szCs w:val="22"/>
          <w:lang w:val="en-GB" w:eastAsia="ja-JP"/>
        </w:rPr>
        <w:t xml:space="preserve">urtle and </w:t>
      </w:r>
      <w:r w:rsidR="00A922B2">
        <w:rPr>
          <w:rFonts w:eastAsia="MS Mincho" w:cs="Arial"/>
          <w:sz w:val="20"/>
          <w:szCs w:val="22"/>
          <w:lang w:val="en-GB" w:eastAsia="ja-JP"/>
        </w:rPr>
        <w:t>C</w:t>
      </w:r>
      <w:r w:rsidRPr="00C96521">
        <w:rPr>
          <w:rFonts w:eastAsia="MS Mincho" w:cs="Arial"/>
          <w:sz w:val="20"/>
          <w:szCs w:val="22"/>
          <w:lang w:val="en-GB" w:eastAsia="ja-JP"/>
        </w:rPr>
        <w:t xml:space="preserve">ollared </w:t>
      </w:r>
      <w:r w:rsidR="00A922B2">
        <w:rPr>
          <w:rFonts w:eastAsia="MS Mincho" w:cs="Arial"/>
          <w:sz w:val="20"/>
          <w:szCs w:val="22"/>
          <w:lang w:val="en-GB" w:eastAsia="ja-JP"/>
        </w:rPr>
        <w:t>D</w:t>
      </w:r>
      <w:r w:rsidRPr="00C96521">
        <w:rPr>
          <w:rFonts w:eastAsia="MS Mincho" w:cs="Arial"/>
          <w:sz w:val="20"/>
          <w:szCs w:val="22"/>
          <w:lang w:val="en-GB" w:eastAsia="ja-JP"/>
        </w:rPr>
        <w:t>oves, it was still significant. There is the possibility of indirect competition between the species, but sufficient disparity between their ecology, food and habitat requirements limits effects, and anecdotal observations indicate little, if any, direct competition in the form of aggressive behaviours, nest site limitations etc</w:t>
      </w:r>
      <w:r w:rsidR="00A922B2">
        <w:rPr>
          <w:rFonts w:eastAsia="MS Mincho" w:cs="Arial"/>
          <w:sz w:val="20"/>
          <w:szCs w:val="22"/>
          <w:lang w:val="en-GB" w:eastAsia="ja-JP"/>
        </w:rPr>
        <w:t>.</w:t>
      </w:r>
      <w:r w:rsidRPr="00C96521">
        <w:rPr>
          <w:rFonts w:eastAsia="MS Mincho" w:cs="Arial"/>
          <w:sz w:val="20"/>
          <w:szCs w:val="22"/>
          <w:lang w:val="en-GB" w:eastAsia="ja-JP"/>
        </w:rPr>
        <w:t xml:space="preserve"> (Tony Morris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w:t>
      </w:r>
    </w:p>
    <w:p w14:paraId="72DA217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5420787" w14:textId="6EF1359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Morocco, a recent expansion of </w:t>
      </w:r>
      <w:r w:rsidR="00A922B2">
        <w:rPr>
          <w:rFonts w:eastAsia="MS Mincho"/>
          <w:sz w:val="20"/>
          <w:szCs w:val="22"/>
          <w:lang w:val="en-GB" w:eastAsia="ja-JP"/>
        </w:rPr>
        <w:t>the L</w:t>
      </w:r>
      <w:r w:rsidRPr="00C96521">
        <w:rPr>
          <w:rFonts w:eastAsia="MS Mincho"/>
          <w:sz w:val="20"/>
          <w:szCs w:val="22"/>
          <w:lang w:val="en-GB" w:eastAsia="ja-JP"/>
        </w:rPr>
        <w:t xml:space="preserve">aughing </w:t>
      </w:r>
      <w:r w:rsidR="00A922B2">
        <w:rPr>
          <w:rFonts w:eastAsia="MS Mincho"/>
          <w:sz w:val="20"/>
          <w:szCs w:val="22"/>
          <w:lang w:val="en-GB" w:eastAsia="ja-JP"/>
        </w:rPr>
        <w:t>D</w:t>
      </w:r>
      <w:r w:rsidRPr="00C96521">
        <w:rPr>
          <w:rFonts w:eastAsia="MS Mincho"/>
          <w:sz w:val="20"/>
          <w:szCs w:val="22"/>
          <w:lang w:val="en-GB" w:eastAsia="ja-JP"/>
        </w:rPr>
        <w:t>ove (</w:t>
      </w:r>
      <w:r w:rsidRPr="00C96521">
        <w:rPr>
          <w:rFonts w:eastAsia="MS Mincho"/>
          <w:i/>
          <w:sz w:val="20"/>
          <w:szCs w:val="22"/>
          <w:lang w:val="en-GB" w:eastAsia="ja-JP"/>
        </w:rPr>
        <w:t>Streptopelia senegalensis</w:t>
      </w:r>
      <w:r w:rsidRPr="00C96521">
        <w:rPr>
          <w:rFonts w:eastAsia="MS Mincho"/>
          <w:sz w:val="20"/>
          <w:szCs w:val="22"/>
          <w:lang w:val="en-GB" w:eastAsia="ja-JP"/>
        </w:rPr>
        <w:t xml:space="preserve">) means that the range of </w:t>
      </w:r>
      <w:r w:rsidR="00A922B2">
        <w:rPr>
          <w:rFonts w:eastAsia="MS Mincho"/>
          <w:sz w:val="20"/>
          <w:szCs w:val="22"/>
          <w:lang w:val="en-GB" w:eastAsia="ja-JP"/>
        </w:rPr>
        <w:t>the T</w:t>
      </w:r>
      <w:r w:rsidR="00A922B2" w:rsidRPr="00C96521">
        <w:rPr>
          <w:rFonts w:eastAsia="MS Mincho"/>
          <w:sz w:val="20"/>
          <w:szCs w:val="22"/>
          <w:lang w:val="en-GB" w:eastAsia="ja-JP"/>
        </w:rPr>
        <w:t>urtle</w:t>
      </w:r>
      <w:r w:rsidR="00A922B2">
        <w:rPr>
          <w:rFonts w:eastAsia="MS Mincho"/>
          <w:sz w:val="20"/>
          <w:szCs w:val="22"/>
          <w:lang w:val="en-GB" w:eastAsia="ja-JP"/>
        </w:rPr>
        <w:t xml:space="preserve"> D</w:t>
      </w:r>
      <w:r w:rsidR="00A922B2" w:rsidRPr="00C96521">
        <w:rPr>
          <w:rFonts w:eastAsia="MS Mincho"/>
          <w:sz w:val="20"/>
          <w:szCs w:val="22"/>
          <w:lang w:val="en-GB" w:eastAsia="ja-JP"/>
        </w:rPr>
        <w:t xml:space="preserve">ove </w:t>
      </w:r>
      <w:r w:rsidRPr="00C96521">
        <w:rPr>
          <w:rFonts w:eastAsia="MS Mincho"/>
          <w:sz w:val="20"/>
          <w:szCs w:val="22"/>
          <w:lang w:val="en-GB" w:eastAsia="ja-JP"/>
        </w:rPr>
        <w:t xml:space="preserve">and </w:t>
      </w:r>
      <w:r w:rsidR="00A922B2">
        <w:rPr>
          <w:rFonts w:eastAsia="MS Mincho"/>
          <w:sz w:val="20"/>
          <w:szCs w:val="22"/>
          <w:lang w:val="en-GB" w:eastAsia="ja-JP"/>
        </w:rPr>
        <w:t>L</w:t>
      </w:r>
      <w:r w:rsidRPr="00C96521">
        <w:rPr>
          <w:rFonts w:eastAsia="MS Mincho"/>
          <w:sz w:val="20"/>
          <w:szCs w:val="22"/>
          <w:lang w:val="en-GB" w:eastAsia="ja-JP"/>
        </w:rPr>
        <w:t xml:space="preserve">aughing </w:t>
      </w:r>
      <w:r w:rsidR="00A922B2">
        <w:rPr>
          <w:rFonts w:eastAsia="MS Mincho"/>
          <w:sz w:val="20"/>
          <w:szCs w:val="22"/>
          <w:lang w:val="en-GB" w:eastAsia="ja-JP"/>
        </w:rPr>
        <w:t>D</w:t>
      </w:r>
      <w:r w:rsidRPr="00C96521">
        <w:rPr>
          <w:rFonts w:eastAsia="MS Mincho"/>
          <w:sz w:val="20"/>
          <w:szCs w:val="22"/>
          <w:lang w:val="en-GB" w:eastAsia="ja-JP"/>
        </w:rPr>
        <w:t xml:space="preserve">ove now overlap. While both species have slightly different nesting preferences, further work is needed to understand the extent of competition (Hanane 2015). Wood </w:t>
      </w:r>
      <w:r w:rsidR="00A922B2">
        <w:rPr>
          <w:rFonts w:eastAsia="MS Mincho"/>
          <w:sz w:val="20"/>
          <w:szCs w:val="22"/>
          <w:lang w:val="en-GB" w:eastAsia="ja-JP"/>
        </w:rPr>
        <w:t>P</w:t>
      </w:r>
      <w:r w:rsidRPr="00C96521">
        <w:rPr>
          <w:rFonts w:eastAsia="MS Mincho"/>
          <w:sz w:val="20"/>
          <w:szCs w:val="22"/>
          <w:lang w:val="en-GB" w:eastAsia="ja-JP"/>
        </w:rPr>
        <w:t>igeon</w:t>
      </w:r>
      <w:r w:rsidR="00A922B2">
        <w:rPr>
          <w:rFonts w:eastAsia="MS Mincho"/>
          <w:sz w:val="20"/>
          <w:szCs w:val="22"/>
          <w:lang w:val="en-GB" w:eastAsia="ja-JP"/>
        </w:rPr>
        <w:t>s</w:t>
      </w:r>
      <w:r w:rsidRPr="00C96521">
        <w:rPr>
          <w:rFonts w:eastAsia="MS Mincho"/>
          <w:sz w:val="20"/>
          <w:szCs w:val="22"/>
          <w:lang w:val="en-GB" w:eastAsia="ja-JP"/>
        </w:rPr>
        <w:t xml:space="preserve"> and </w:t>
      </w:r>
      <w:r w:rsidR="00A922B2">
        <w:rPr>
          <w:rFonts w:eastAsia="MS Mincho"/>
          <w:sz w:val="20"/>
          <w:szCs w:val="22"/>
          <w:lang w:val="en-GB" w:eastAsia="ja-JP"/>
        </w:rPr>
        <w:t>T</w:t>
      </w:r>
      <w:r w:rsidR="00A922B2" w:rsidRPr="00C96521">
        <w:rPr>
          <w:rFonts w:eastAsia="MS Mincho"/>
          <w:sz w:val="20"/>
          <w:szCs w:val="22"/>
          <w:lang w:val="en-GB" w:eastAsia="ja-JP"/>
        </w:rPr>
        <w:t>urtle</w:t>
      </w:r>
      <w:r w:rsidR="00A922B2">
        <w:rPr>
          <w:rFonts w:eastAsia="MS Mincho"/>
          <w:sz w:val="20"/>
          <w:szCs w:val="22"/>
          <w:lang w:val="en-GB" w:eastAsia="ja-JP"/>
        </w:rPr>
        <w:t xml:space="preserve"> D</w:t>
      </w:r>
      <w:r w:rsidR="00A922B2" w:rsidRPr="00C96521">
        <w:rPr>
          <w:rFonts w:eastAsia="MS Mincho"/>
          <w:sz w:val="20"/>
          <w:szCs w:val="22"/>
          <w:lang w:val="en-GB" w:eastAsia="ja-JP"/>
        </w:rPr>
        <w:t>ove</w:t>
      </w:r>
      <w:r w:rsidR="00A922B2">
        <w:rPr>
          <w:rFonts w:eastAsia="MS Mincho"/>
          <w:sz w:val="20"/>
          <w:szCs w:val="22"/>
          <w:lang w:val="en-GB" w:eastAsia="ja-JP"/>
        </w:rPr>
        <w:t>s</w:t>
      </w:r>
      <w:r w:rsidRPr="00C96521">
        <w:rPr>
          <w:rFonts w:eastAsia="MS Mincho"/>
          <w:sz w:val="20"/>
          <w:szCs w:val="22"/>
          <w:lang w:val="en-GB" w:eastAsia="ja-JP"/>
        </w:rPr>
        <w:t xml:space="preserve"> have also been shown to have different nesting preferences in </w:t>
      </w:r>
      <w:r w:rsidRPr="00C96521">
        <w:rPr>
          <w:rFonts w:eastAsia="MS Mincho"/>
          <w:i/>
          <w:sz w:val="20"/>
          <w:szCs w:val="22"/>
          <w:lang w:val="en-GB" w:eastAsia="ja-JP"/>
        </w:rPr>
        <w:t>Tetraclinis articulata</w:t>
      </w:r>
      <w:r w:rsidRPr="00C96521">
        <w:rPr>
          <w:rFonts w:eastAsia="MS Mincho"/>
          <w:sz w:val="20"/>
          <w:szCs w:val="22"/>
          <w:lang w:val="en-GB" w:eastAsia="ja-JP"/>
        </w:rPr>
        <w:t xml:space="preserve"> woodland in Morocco, with </w:t>
      </w:r>
      <w:r w:rsidR="00A922B2">
        <w:rPr>
          <w:rFonts w:eastAsia="MS Mincho"/>
          <w:sz w:val="20"/>
          <w:szCs w:val="22"/>
          <w:lang w:val="en-GB" w:eastAsia="ja-JP"/>
        </w:rPr>
        <w:t>W</w:t>
      </w:r>
      <w:r w:rsidRPr="00C96521">
        <w:rPr>
          <w:rFonts w:eastAsia="MS Mincho"/>
          <w:sz w:val="20"/>
          <w:szCs w:val="22"/>
          <w:lang w:val="en-GB" w:eastAsia="ja-JP"/>
        </w:rPr>
        <w:t xml:space="preserve">ood </w:t>
      </w:r>
      <w:r w:rsidR="00A922B2">
        <w:rPr>
          <w:rFonts w:eastAsia="MS Mincho"/>
          <w:sz w:val="20"/>
          <w:szCs w:val="22"/>
          <w:lang w:val="en-GB" w:eastAsia="ja-JP"/>
        </w:rPr>
        <w:t>P</w:t>
      </w:r>
      <w:r w:rsidRPr="00C96521">
        <w:rPr>
          <w:rFonts w:eastAsia="MS Mincho"/>
          <w:sz w:val="20"/>
          <w:szCs w:val="22"/>
          <w:lang w:val="en-GB" w:eastAsia="ja-JP"/>
        </w:rPr>
        <w:t>igeon</w:t>
      </w:r>
      <w:r w:rsidR="00A922B2">
        <w:rPr>
          <w:rFonts w:eastAsia="MS Mincho"/>
          <w:sz w:val="20"/>
          <w:szCs w:val="22"/>
          <w:lang w:val="en-GB" w:eastAsia="ja-JP"/>
        </w:rPr>
        <w:t>s</w:t>
      </w:r>
      <w:r w:rsidRPr="00C96521">
        <w:rPr>
          <w:rFonts w:eastAsia="MS Mincho"/>
          <w:sz w:val="20"/>
          <w:szCs w:val="22"/>
          <w:lang w:val="en-GB" w:eastAsia="ja-JP"/>
        </w:rPr>
        <w:t xml:space="preserve"> selecting taller and larger diameter trees for nesting, compared to </w:t>
      </w:r>
      <w:r w:rsidR="00A922B2">
        <w:rPr>
          <w:rFonts w:eastAsia="MS Mincho"/>
          <w:sz w:val="20"/>
          <w:szCs w:val="22"/>
          <w:lang w:val="en-GB" w:eastAsia="ja-JP"/>
        </w:rPr>
        <w:t>T</w:t>
      </w:r>
      <w:r w:rsidRPr="00C96521">
        <w:rPr>
          <w:rFonts w:eastAsia="MS Mincho"/>
          <w:sz w:val="20"/>
          <w:szCs w:val="22"/>
          <w:lang w:val="en-GB" w:eastAsia="ja-JP"/>
        </w:rPr>
        <w:t>urtle</w:t>
      </w:r>
      <w:r w:rsidR="00A922B2">
        <w:rPr>
          <w:rFonts w:eastAsia="MS Mincho"/>
          <w:sz w:val="20"/>
          <w:szCs w:val="22"/>
          <w:lang w:val="en-GB" w:eastAsia="ja-JP"/>
        </w:rPr>
        <w:t xml:space="preserve"> D</w:t>
      </w:r>
      <w:r w:rsidRPr="00C96521">
        <w:rPr>
          <w:rFonts w:eastAsia="MS Mincho"/>
          <w:sz w:val="20"/>
          <w:szCs w:val="22"/>
          <w:lang w:val="en-GB" w:eastAsia="ja-JP"/>
        </w:rPr>
        <w:t>ove (Hanane and Yassin 2017).</w:t>
      </w:r>
    </w:p>
    <w:p w14:paraId="41279C4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7A378FC"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shd w:val="clear" w:color="auto" w:fill="FFFFFF"/>
          <w:lang w:val="en-GB" w:eastAsia="ja-JP"/>
        </w:rPr>
      </w:pPr>
      <w:bookmarkStart w:id="32" w:name="_Toc478646917"/>
      <w:r w:rsidRPr="00C96521">
        <w:rPr>
          <w:rFonts w:ascii="Cambria" w:eastAsia="MS Gothic" w:hAnsi="Cambria"/>
          <w:b/>
          <w:bCs/>
          <w:color w:val="4F81BD"/>
          <w:sz w:val="20"/>
          <w:szCs w:val="22"/>
          <w:shd w:val="clear" w:color="auto" w:fill="FFFFFF"/>
          <w:lang w:val="en-GB" w:eastAsia="ja-JP"/>
        </w:rPr>
        <w:t>Disease</w:t>
      </w:r>
      <w:bookmarkEnd w:id="32"/>
    </w:p>
    <w:p w14:paraId="4565149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51D2E148" w14:textId="21ADD3E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i/>
          <w:sz w:val="20"/>
          <w:szCs w:val="22"/>
          <w:lang w:val="en-GB" w:eastAsia="ja-JP"/>
        </w:rPr>
        <w:t>Trichomonas gallinae</w:t>
      </w:r>
      <w:r w:rsidRPr="00C96521">
        <w:rPr>
          <w:rFonts w:eastAsia="MS Mincho" w:cs="Arial"/>
          <w:sz w:val="20"/>
          <w:szCs w:val="22"/>
          <w:lang w:val="en-GB" w:eastAsia="ja-JP"/>
        </w:rPr>
        <w:t xml:space="preserve"> is a pathogen in wild birds, linked to recent declines in finch (Fringillidae) populations across Europe (Robinson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2010). Globally, the main hosts for this parasite are species of </w:t>
      </w:r>
      <w:r w:rsidRPr="00C96521">
        <w:rPr>
          <w:rFonts w:eastAsia="MS Mincho" w:cs="Arial"/>
          <w:i/>
          <w:sz w:val="20"/>
          <w:szCs w:val="22"/>
          <w:lang w:val="en-GB" w:eastAsia="ja-JP"/>
        </w:rPr>
        <w:t>Columbidae</w:t>
      </w:r>
      <w:r w:rsidRPr="00C96521">
        <w:rPr>
          <w:rFonts w:eastAsia="MS Mincho" w:cs="Arial"/>
          <w:sz w:val="20"/>
          <w:szCs w:val="22"/>
          <w:lang w:val="en-GB" w:eastAsia="ja-JP"/>
        </w:rPr>
        <w:t xml:space="preserve"> (doves and pigeons). Recent work has shown that almost all wild </w:t>
      </w:r>
      <w:r w:rsidR="00A922B2">
        <w:rPr>
          <w:rFonts w:eastAsia="MS Mincho"/>
          <w:sz w:val="20"/>
          <w:szCs w:val="22"/>
          <w:lang w:val="en-GB" w:eastAsia="ja-JP"/>
        </w:rPr>
        <w:t>T</w:t>
      </w:r>
      <w:r w:rsidR="00A922B2" w:rsidRPr="00C96521">
        <w:rPr>
          <w:rFonts w:eastAsia="MS Mincho"/>
          <w:sz w:val="20"/>
          <w:szCs w:val="22"/>
          <w:lang w:val="en-GB" w:eastAsia="ja-JP"/>
        </w:rPr>
        <w:t>urtle</w:t>
      </w:r>
      <w:r w:rsidR="00A922B2">
        <w:rPr>
          <w:rFonts w:eastAsia="MS Mincho"/>
          <w:sz w:val="20"/>
          <w:szCs w:val="22"/>
          <w:lang w:val="en-GB" w:eastAsia="ja-JP"/>
        </w:rPr>
        <w:t xml:space="preserve"> D</w:t>
      </w:r>
      <w:r w:rsidR="00A922B2" w:rsidRPr="00C96521">
        <w:rPr>
          <w:rFonts w:eastAsia="MS Mincho"/>
          <w:sz w:val="20"/>
          <w:szCs w:val="22"/>
          <w:lang w:val="en-GB" w:eastAsia="ja-JP"/>
        </w:rPr>
        <w:t>ove</w:t>
      </w:r>
      <w:r w:rsidR="00A922B2">
        <w:rPr>
          <w:rFonts w:eastAsia="MS Mincho"/>
          <w:sz w:val="20"/>
          <w:szCs w:val="22"/>
          <w:lang w:val="en-GB" w:eastAsia="ja-JP"/>
        </w:rPr>
        <w:t>s</w:t>
      </w:r>
      <w:r w:rsidR="00A922B2" w:rsidRPr="00C96521">
        <w:rPr>
          <w:rFonts w:eastAsia="MS Mincho"/>
          <w:sz w:val="20"/>
          <w:szCs w:val="22"/>
          <w:lang w:val="en-GB" w:eastAsia="ja-JP"/>
        </w:rPr>
        <w:t xml:space="preserve"> </w:t>
      </w:r>
      <w:r w:rsidRPr="00C96521">
        <w:rPr>
          <w:rFonts w:eastAsia="MS Mincho" w:cs="Arial"/>
          <w:sz w:val="20"/>
          <w:szCs w:val="22"/>
          <w:lang w:val="en-GB" w:eastAsia="ja-JP"/>
        </w:rPr>
        <w:t xml:space="preserve">sampled (France, the UK, Burkina Faso and Senegal) were infected, whether showing clinical signs or not, and that lesions can cause mortality in both adults and nestlings through subsequent starvation and/or suffocation (Lennon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2013, Stockdale </w:t>
      </w:r>
      <w:r w:rsidRPr="00C96521">
        <w:rPr>
          <w:rFonts w:eastAsia="MS Mincho" w:cs="Arial"/>
          <w:i/>
          <w:sz w:val="20"/>
          <w:szCs w:val="22"/>
          <w:lang w:val="en-GB" w:eastAsia="ja-JP"/>
        </w:rPr>
        <w:t xml:space="preserve">et al </w:t>
      </w:r>
      <w:r w:rsidRPr="00C96521">
        <w:rPr>
          <w:rFonts w:eastAsia="MS Mincho" w:cs="Arial"/>
          <w:sz w:val="20"/>
          <w:szCs w:val="22"/>
          <w:lang w:val="en-GB" w:eastAsia="ja-JP"/>
        </w:rPr>
        <w:t xml:space="preserve">2015, Dunn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2016b). In the UK, a single strain of </w:t>
      </w:r>
      <w:r w:rsidRPr="00C96521">
        <w:rPr>
          <w:rFonts w:eastAsia="MS Mincho" w:cs="Arial"/>
          <w:i/>
          <w:sz w:val="20"/>
          <w:szCs w:val="22"/>
          <w:lang w:val="en-GB" w:eastAsia="ja-JP"/>
        </w:rPr>
        <w:t>T. gallinae</w:t>
      </w:r>
      <w:r w:rsidRPr="00C96521">
        <w:rPr>
          <w:rFonts w:eastAsia="MS Mincho" w:cs="Arial"/>
          <w:sz w:val="20"/>
          <w:szCs w:val="22"/>
          <w:lang w:val="en-GB" w:eastAsia="ja-JP"/>
        </w:rPr>
        <w:t xml:space="preserve"> has accounted for all known mortality in </w:t>
      </w:r>
      <w:r w:rsidR="00A922B2">
        <w:rPr>
          <w:rFonts w:eastAsia="MS Mincho"/>
          <w:sz w:val="20"/>
          <w:szCs w:val="22"/>
          <w:lang w:val="en-GB" w:eastAsia="ja-JP"/>
        </w:rPr>
        <w:t>T</w:t>
      </w:r>
      <w:r w:rsidR="00A922B2" w:rsidRPr="00C96521">
        <w:rPr>
          <w:rFonts w:eastAsia="MS Mincho"/>
          <w:sz w:val="20"/>
          <w:szCs w:val="22"/>
          <w:lang w:val="en-GB" w:eastAsia="ja-JP"/>
        </w:rPr>
        <w:t>urtle</w:t>
      </w:r>
      <w:r w:rsidR="00A922B2">
        <w:rPr>
          <w:rFonts w:eastAsia="MS Mincho"/>
          <w:sz w:val="20"/>
          <w:szCs w:val="22"/>
          <w:lang w:val="en-GB" w:eastAsia="ja-JP"/>
        </w:rPr>
        <w:t xml:space="preserve"> D</w:t>
      </w:r>
      <w:r w:rsidR="00A922B2" w:rsidRPr="00C96521">
        <w:rPr>
          <w:rFonts w:eastAsia="MS Mincho"/>
          <w:sz w:val="20"/>
          <w:szCs w:val="22"/>
          <w:lang w:val="en-GB" w:eastAsia="ja-JP"/>
        </w:rPr>
        <w:t>ove</w:t>
      </w:r>
      <w:r w:rsidR="00A922B2">
        <w:rPr>
          <w:rFonts w:eastAsia="MS Mincho"/>
          <w:sz w:val="20"/>
          <w:szCs w:val="22"/>
          <w:lang w:val="en-GB" w:eastAsia="ja-JP"/>
        </w:rPr>
        <w:t>s</w:t>
      </w:r>
      <w:r w:rsidRPr="00C96521">
        <w:rPr>
          <w:rFonts w:eastAsia="MS Mincho" w:cs="Arial"/>
          <w:sz w:val="20"/>
          <w:szCs w:val="22"/>
          <w:lang w:val="en-GB" w:eastAsia="ja-JP"/>
        </w:rPr>
        <w:t xml:space="preserve">. This strain is the same as that found in </w:t>
      </w:r>
      <w:r w:rsidR="00A922B2">
        <w:rPr>
          <w:rFonts w:eastAsia="MS Mincho" w:cs="Arial"/>
          <w:sz w:val="20"/>
          <w:szCs w:val="22"/>
          <w:lang w:val="en-GB" w:eastAsia="ja-JP"/>
        </w:rPr>
        <w:t>G</w:t>
      </w:r>
      <w:r w:rsidRPr="00C96521">
        <w:rPr>
          <w:rFonts w:eastAsia="MS Mincho" w:cs="Arial"/>
          <w:sz w:val="20"/>
          <w:szCs w:val="22"/>
          <w:lang w:val="en-GB" w:eastAsia="ja-JP"/>
        </w:rPr>
        <w:t>reenfinches (</w:t>
      </w:r>
      <w:r w:rsidRPr="00C96521">
        <w:rPr>
          <w:rFonts w:eastAsia="MS Mincho" w:cs="Arial"/>
          <w:i/>
          <w:sz w:val="20"/>
          <w:szCs w:val="22"/>
          <w:lang w:val="en-GB" w:eastAsia="ja-JP"/>
        </w:rPr>
        <w:t>Chloris chloris</w:t>
      </w:r>
      <w:r w:rsidRPr="00C96521">
        <w:rPr>
          <w:rFonts w:eastAsia="MS Mincho" w:cs="Arial"/>
          <w:sz w:val="20"/>
          <w:szCs w:val="22"/>
          <w:lang w:val="en-GB" w:eastAsia="ja-JP"/>
        </w:rPr>
        <w:t xml:space="preserve">), and is known to have population-level effects. Wild birds are more likely to be infected where supplementary food is provided for game birds. There is also the possibility of cross-infection from collared doves at foraging sites. The implications (alone or in combination with other threats) for </w:t>
      </w:r>
      <w:r w:rsidR="00A922B2">
        <w:rPr>
          <w:rFonts w:eastAsia="MS Mincho"/>
          <w:sz w:val="20"/>
          <w:szCs w:val="22"/>
          <w:lang w:val="en-GB" w:eastAsia="ja-JP"/>
        </w:rPr>
        <w:t>T</w:t>
      </w:r>
      <w:r w:rsidR="00A922B2" w:rsidRPr="00C96521">
        <w:rPr>
          <w:rFonts w:eastAsia="MS Mincho"/>
          <w:sz w:val="20"/>
          <w:szCs w:val="22"/>
          <w:lang w:val="en-GB" w:eastAsia="ja-JP"/>
        </w:rPr>
        <w:t>urtle</w:t>
      </w:r>
      <w:r w:rsidR="00A922B2">
        <w:rPr>
          <w:rFonts w:eastAsia="MS Mincho"/>
          <w:sz w:val="20"/>
          <w:szCs w:val="22"/>
          <w:lang w:val="en-GB" w:eastAsia="ja-JP"/>
        </w:rPr>
        <w:t xml:space="preserve"> D</w:t>
      </w:r>
      <w:r w:rsidR="00A922B2" w:rsidRPr="00C96521">
        <w:rPr>
          <w:rFonts w:eastAsia="MS Mincho"/>
          <w:sz w:val="20"/>
          <w:szCs w:val="22"/>
          <w:lang w:val="en-GB" w:eastAsia="ja-JP"/>
        </w:rPr>
        <w:t xml:space="preserve">ove </w:t>
      </w:r>
      <w:r w:rsidRPr="00C96521">
        <w:rPr>
          <w:rFonts w:eastAsia="MS Mincho" w:cs="Arial"/>
          <w:sz w:val="20"/>
          <w:szCs w:val="22"/>
          <w:lang w:val="en-GB" w:eastAsia="ja-JP"/>
        </w:rPr>
        <w:t xml:space="preserve">populations are unclear. </w:t>
      </w:r>
    </w:p>
    <w:p w14:paraId="2219627F" w14:textId="77777777" w:rsidR="00C96521" w:rsidRPr="00C96521" w:rsidRDefault="00C96521" w:rsidP="00C96521">
      <w:pPr>
        <w:widowControl/>
        <w:autoSpaceDE/>
        <w:autoSpaceDN/>
        <w:adjustRightInd/>
        <w:spacing w:line="276" w:lineRule="auto"/>
        <w:rPr>
          <w:rFonts w:eastAsia="MS Mincho"/>
          <w:sz w:val="20"/>
          <w:szCs w:val="22"/>
          <w:lang w:val="en-GB" w:eastAsia="ja-JP"/>
        </w:rPr>
        <w:sectPr w:rsidR="00C96521" w:rsidRPr="00C96521" w:rsidSect="00C96521">
          <w:pgSz w:w="11920" w:h="16840"/>
          <w:pgMar w:top="1276" w:right="1300" w:bottom="920" w:left="1300" w:header="730" w:footer="738" w:gutter="0"/>
          <w:cols w:space="720"/>
          <w:docGrid w:linePitch="299"/>
        </w:sectPr>
      </w:pPr>
    </w:p>
    <w:p w14:paraId="42E465B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F1F3DE7"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33" w:name="_Toc478646918"/>
      <w:r w:rsidRPr="00C96521">
        <w:rPr>
          <w:rFonts w:ascii="Cambria" w:eastAsia="MS Gothic" w:hAnsi="Cambria"/>
          <w:b/>
          <w:bCs/>
          <w:color w:val="4F81BD"/>
          <w:sz w:val="26"/>
          <w:szCs w:val="26"/>
          <w:lang w:val="en-GB" w:eastAsia="ja-JP"/>
        </w:rPr>
        <w:t>Problem tree</w:t>
      </w:r>
      <w:bookmarkEnd w:id="33"/>
    </w:p>
    <w:p w14:paraId="7C969CA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903EB43" w14:textId="77777777" w:rsidR="00C96521" w:rsidRPr="00C96521" w:rsidRDefault="00C96521" w:rsidP="00C96521">
      <w:pPr>
        <w:widowControl/>
        <w:autoSpaceDE/>
        <w:autoSpaceDN/>
        <w:adjustRightInd/>
        <w:spacing w:line="276" w:lineRule="auto"/>
        <w:rPr>
          <w:rFonts w:eastAsia="MS Mincho"/>
          <w:sz w:val="20"/>
          <w:szCs w:val="22"/>
          <w:lang w:val="en-GB" w:eastAsia="ja-JP"/>
        </w:rPr>
        <w:sectPr w:rsidR="00C96521" w:rsidRPr="00C96521" w:rsidSect="00C96521">
          <w:pgSz w:w="16840" w:h="11920" w:orient="landscape"/>
          <w:pgMar w:top="1300" w:right="920" w:bottom="1300" w:left="1276" w:header="730" w:footer="738" w:gutter="0"/>
          <w:cols w:space="720"/>
          <w:titlePg/>
          <w:docGrid w:linePitch="299"/>
        </w:sectPr>
      </w:pPr>
      <w:r w:rsidRPr="00C96521">
        <w:rPr>
          <w:rFonts w:eastAsia="MS Mincho"/>
          <w:sz w:val="20"/>
          <w:szCs w:val="22"/>
          <w:lang w:val="en-GB" w:eastAsia="ja-JP"/>
        </w:rPr>
        <w:object w:dxaOrig="7206" w:dyaOrig="5397" w14:anchorId="34925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1.25pt;height:381.75pt" o:ole="">
            <v:imagedata r:id="rId49" o:title=""/>
          </v:shape>
          <o:OLEObject Type="Embed" ProgID="PowerPoint.Slide.12" ShapeID="_x0000_i1025" DrawAspect="Content" ObjectID="_1557298841" r:id="rId50"/>
        </w:object>
      </w:r>
    </w:p>
    <w:p w14:paraId="66653F48"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34" w:name="_Toc478646919"/>
      <w:r w:rsidRPr="00C96521">
        <w:rPr>
          <w:rFonts w:eastAsia="MS Gothic"/>
          <w:b/>
          <w:bCs/>
          <w:color w:val="365F91"/>
          <w:sz w:val="32"/>
          <w:szCs w:val="28"/>
          <w:lang w:val="en-GB" w:eastAsia="ja-JP"/>
        </w:rPr>
        <w:lastRenderedPageBreak/>
        <w:t>Annex 3: JUSTIFICATION OF CONSERVATION and/or MANAGEMENT OBJECTIVES</w:t>
      </w:r>
      <w:bookmarkEnd w:id="34"/>
    </w:p>
    <w:p w14:paraId="5539941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CF3BFAE" w14:textId="5A739360" w:rsidR="00C96521" w:rsidRPr="00C96521" w:rsidRDefault="00C96521" w:rsidP="00C96521">
      <w:pPr>
        <w:widowControl/>
        <w:autoSpaceDE/>
        <w:autoSpaceDN/>
        <w:adjustRightInd/>
        <w:spacing w:line="276" w:lineRule="auto"/>
        <w:rPr>
          <w:rFonts w:eastAsia="MS Mincho"/>
          <w:color w:val="FF0000"/>
          <w:sz w:val="20"/>
          <w:szCs w:val="22"/>
          <w:lang w:val="en-GB" w:eastAsia="ja-JP"/>
        </w:rPr>
      </w:pPr>
      <w:r w:rsidRPr="00C96521">
        <w:rPr>
          <w:rFonts w:eastAsia="MS Mincho"/>
          <w:color w:val="FF0000"/>
          <w:sz w:val="20"/>
          <w:szCs w:val="22"/>
          <w:lang w:val="en-GB" w:eastAsia="ja-JP"/>
        </w:rPr>
        <w:t>[Editors' note: work to develop appropriate ha</w:t>
      </w:r>
      <w:r w:rsidR="00CB5111">
        <w:rPr>
          <w:rFonts w:eastAsia="MS Mincho"/>
          <w:color w:val="FF0000"/>
          <w:sz w:val="20"/>
          <w:szCs w:val="22"/>
          <w:lang w:val="en-GB" w:eastAsia="ja-JP"/>
        </w:rPr>
        <w:t>bitat-based actions for Turtle D</w:t>
      </w:r>
      <w:r w:rsidRPr="00C96521">
        <w:rPr>
          <w:rFonts w:eastAsia="MS Mincho"/>
          <w:color w:val="FF0000"/>
          <w:sz w:val="20"/>
          <w:szCs w:val="22"/>
          <w:lang w:val="en-GB" w:eastAsia="ja-JP"/>
        </w:rPr>
        <w:t>ove is ongoing during the consultation on this first draft]</w:t>
      </w:r>
    </w:p>
    <w:p w14:paraId="4E0D30F4" w14:textId="031CACE8"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35" w:name="_Toc478646920"/>
      <w:r w:rsidRPr="00C96521">
        <w:rPr>
          <w:rFonts w:ascii="Cambria" w:eastAsia="MS Gothic" w:hAnsi="Cambria"/>
          <w:b/>
          <w:bCs/>
          <w:color w:val="4F81BD"/>
          <w:sz w:val="26"/>
          <w:szCs w:val="26"/>
          <w:lang w:val="en-GB" w:eastAsia="ja-JP"/>
        </w:rPr>
        <w:t>Habitat Creation and Management for Turtle</w:t>
      </w:r>
      <w:r w:rsidR="00085172">
        <w:rPr>
          <w:rFonts w:ascii="Cambria" w:eastAsia="MS Gothic" w:hAnsi="Cambria"/>
          <w:b/>
          <w:bCs/>
          <w:color w:val="4F81BD"/>
          <w:sz w:val="26"/>
          <w:szCs w:val="26"/>
          <w:lang w:val="en-GB" w:eastAsia="ja-JP"/>
        </w:rPr>
        <w:t xml:space="preserve"> D</w:t>
      </w:r>
      <w:r w:rsidRPr="00C96521">
        <w:rPr>
          <w:rFonts w:ascii="Cambria" w:eastAsia="MS Gothic" w:hAnsi="Cambria"/>
          <w:b/>
          <w:bCs/>
          <w:color w:val="4F81BD"/>
          <w:sz w:val="26"/>
          <w:szCs w:val="26"/>
          <w:lang w:val="en-GB" w:eastAsia="ja-JP"/>
        </w:rPr>
        <w:t>oves on the European Breeding Grounds: case studies of option research, development and deployment from the UK</w:t>
      </w:r>
      <w:bookmarkEnd w:id="35"/>
    </w:p>
    <w:p w14:paraId="6B1BEA1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8EF5775"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Tony Morris, RSPB</w:t>
      </w:r>
    </w:p>
    <w:p w14:paraId="00FAEFDC" w14:textId="77777777" w:rsidR="00C96521" w:rsidRPr="00C96521" w:rsidRDefault="00C96521" w:rsidP="00C96521">
      <w:pPr>
        <w:widowControl/>
        <w:autoSpaceDE/>
        <w:autoSpaceDN/>
        <w:adjustRightInd/>
        <w:rPr>
          <w:rFonts w:eastAsia="MS Mincho" w:cs="Arial"/>
          <w:sz w:val="20"/>
          <w:szCs w:val="20"/>
          <w:lang w:val="en-GB" w:eastAsia="ja-JP"/>
        </w:rPr>
      </w:pPr>
      <w:r w:rsidRPr="00C96521">
        <w:rPr>
          <w:rFonts w:eastAsia="MS Mincho" w:cs="Arial"/>
          <w:sz w:val="20"/>
          <w:szCs w:val="20"/>
          <w:lang w:val="en-GB" w:eastAsia="ja-JP"/>
        </w:rPr>
        <w:t xml:space="preserve"> </w:t>
      </w:r>
    </w:p>
    <w:p w14:paraId="35D081EC" w14:textId="03676F3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Studies in the UK have shown that European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ove</w:t>
      </w:r>
      <w:r w:rsidR="00085172">
        <w:rPr>
          <w:rFonts w:eastAsia="MS Mincho"/>
          <w:sz w:val="20"/>
          <w:szCs w:val="22"/>
          <w:lang w:val="en-GB" w:eastAsia="ja-JP"/>
        </w:rPr>
        <w:t>s</w:t>
      </w:r>
      <w:r w:rsidR="00085172" w:rsidRPr="00C96521">
        <w:rPr>
          <w:rFonts w:eastAsia="MS Mincho"/>
          <w:sz w:val="20"/>
          <w:szCs w:val="22"/>
          <w:lang w:val="en-GB" w:eastAsia="ja-JP"/>
        </w:rPr>
        <w:t xml:space="preserve"> </w:t>
      </w:r>
      <w:r w:rsidRPr="00C96521">
        <w:rPr>
          <w:rFonts w:eastAsia="MS Mincho"/>
          <w:sz w:val="20"/>
          <w:szCs w:val="22"/>
          <w:lang w:val="en-GB" w:eastAsia="ja-JP"/>
        </w:rPr>
        <w:t xml:space="preserve">have shorter breeding seasons (by 12 days) and only produce one-third to a half of the number of clutches and young per pair than they did in the 1960s (Browne and Aebischer 2003b; 2004). This is almost certainly linked to a shortage of food, particularly during the first part of the breeding season, before the seeds from arable crops become available (Browne and Aebischer 2003a). It is also likely to be the reason that birds have been recorded travelling long distances to find food and for the number of recent records of use of garden bird feeding stations (Browne and Aebischer 2003b, RSPB </w:t>
      </w:r>
      <w:r w:rsidRPr="00C96521">
        <w:rPr>
          <w:rFonts w:eastAsia="MS Mincho"/>
          <w:i/>
          <w:sz w:val="20"/>
          <w:szCs w:val="22"/>
          <w:lang w:val="en-GB" w:eastAsia="ja-JP"/>
        </w:rPr>
        <w:t>unpublished data</w:t>
      </w:r>
      <w:r w:rsidRPr="00C96521">
        <w:rPr>
          <w:rFonts w:eastAsia="MS Mincho"/>
          <w:sz w:val="20"/>
          <w:szCs w:val="22"/>
          <w:lang w:val="en-GB" w:eastAsia="ja-JP"/>
        </w:rPr>
        <w:t>). This has led to a truncation of the breeding season, with an earlier departure date in autumn, so that pairs now average 1.5-2.1 clutches per season, as opposed to 3 in the 1960s. This has significantly reduced the number of chicks fledged per pair per breeding season, from 2.1 in the 1960s to 1.3 in the late 1990s (Browne and Aebischer 2004). This change alone largely accounts for the observed decline in the UK breeding population, and therefore the underlying cause is primarily changes in farming practices, especially those which have reduced the abundance and diversity of arable flora, such as the increased use of agro-chemicals and the switch from spring to autumn-sowing of crops.</w:t>
      </w:r>
    </w:p>
    <w:p w14:paraId="1B14FAA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EE0954A" w14:textId="76AA409D"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English case studies on Agri-environment Option research, development, and deployment (via Agri-environment Schemes) illustrate some of the management techniques that may provide suitable nesting and foraging habitat. Since 2015, a package of Agri-environment Options for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ove</w:t>
      </w:r>
      <w:r w:rsidR="00085172">
        <w:rPr>
          <w:rFonts w:eastAsia="MS Mincho"/>
          <w:sz w:val="20"/>
          <w:szCs w:val="22"/>
          <w:lang w:val="en-GB" w:eastAsia="ja-JP"/>
        </w:rPr>
        <w:t>s</w:t>
      </w:r>
      <w:r w:rsidR="00085172" w:rsidRPr="00C96521">
        <w:rPr>
          <w:rFonts w:eastAsia="MS Mincho"/>
          <w:sz w:val="20"/>
          <w:szCs w:val="22"/>
          <w:lang w:val="en-GB" w:eastAsia="ja-JP"/>
        </w:rPr>
        <w:t xml:space="preserve"> </w:t>
      </w:r>
      <w:r w:rsidRPr="00C96521">
        <w:rPr>
          <w:rFonts w:eastAsia="MS Mincho"/>
          <w:sz w:val="20"/>
          <w:szCs w:val="22"/>
          <w:lang w:val="en-GB" w:eastAsia="ja-JP"/>
        </w:rPr>
        <w:t xml:space="preserve">has been available in the </w:t>
      </w:r>
      <w:r w:rsidRPr="00C96521">
        <w:rPr>
          <w:rFonts w:eastAsia="MS Mincho"/>
          <w:i/>
          <w:sz w:val="20"/>
          <w:szCs w:val="22"/>
          <w:lang w:val="en-GB" w:eastAsia="ja-JP"/>
        </w:rPr>
        <w:t>Higher Tier</w:t>
      </w:r>
      <w:r w:rsidRPr="00C96521">
        <w:rPr>
          <w:rFonts w:eastAsia="MS Mincho"/>
          <w:sz w:val="20"/>
          <w:szCs w:val="22"/>
          <w:lang w:val="en-GB" w:eastAsia="ja-JP"/>
        </w:rPr>
        <w:t xml:space="preserve"> of the Countryside Stewardship Scheme to qualifying landowners/managers in England. Some of these require further development to </w:t>
      </w:r>
      <w:r w:rsidR="00085172" w:rsidRPr="00C96521">
        <w:rPr>
          <w:rFonts w:eastAsia="MS Mincho"/>
          <w:sz w:val="20"/>
          <w:szCs w:val="22"/>
          <w:lang w:val="en-GB" w:eastAsia="ja-JP"/>
        </w:rPr>
        <w:t>optimi</w:t>
      </w:r>
      <w:r w:rsidR="00085172">
        <w:rPr>
          <w:rFonts w:eastAsia="MS Mincho"/>
          <w:sz w:val="20"/>
          <w:szCs w:val="22"/>
          <w:lang w:val="en-GB" w:eastAsia="ja-JP"/>
        </w:rPr>
        <w:t>z</w:t>
      </w:r>
      <w:r w:rsidR="00085172" w:rsidRPr="00C96521">
        <w:rPr>
          <w:rFonts w:eastAsia="MS Mincho"/>
          <w:sz w:val="20"/>
          <w:szCs w:val="22"/>
          <w:lang w:val="en-GB" w:eastAsia="ja-JP"/>
        </w:rPr>
        <w:t xml:space="preserve">e </w:t>
      </w:r>
      <w:r w:rsidRPr="00C96521">
        <w:rPr>
          <w:rFonts w:eastAsia="MS Mincho"/>
          <w:sz w:val="20"/>
          <w:szCs w:val="22"/>
          <w:lang w:val="en-GB" w:eastAsia="ja-JP"/>
        </w:rPr>
        <w:t>their potential, but nevertheless they provide case studies into some of the pitfalls of habitat creation. Other habitat types of potential value (e</w:t>
      </w:r>
      <w:r w:rsidR="00085172">
        <w:rPr>
          <w:rFonts w:eastAsia="MS Mincho"/>
          <w:sz w:val="20"/>
          <w:szCs w:val="22"/>
          <w:lang w:val="en-GB" w:eastAsia="ja-JP"/>
        </w:rPr>
        <w:t>.</w:t>
      </w:r>
      <w:r w:rsidRPr="00C96521">
        <w:rPr>
          <w:rFonts w:eastAsia="MS Mincho"/>
          <w:sz w:val="20"/>
          <w:szCs w:val="22"/>
          <w:lang w:val="en-GB" w:eastAsia="ja-JP"/>
        </w:rPr>
        <w:t>g</w:t>
      </w:r>
      <w:r w:rsidR="00085172">
        <w:rPr>
          <w:rFonts w:eastAsia="MS Mincho"/>
          <w:sz w:val="20"/>
          <w:szCs w:val="22"/>
          <w:lang w:val="en-GB" w:eastAsia="ja-JP"/>
        </w:rPr>
        <w:t>.</w:t>
      </w:r>
      <w:r w:rsidRPr="00C96521">
        <w:rPr>
          <w:rFonts w:eastAsia="MS Mincho"/>
          <w:sz w:val="20"/>
          <w:szCs w:val="22"/>
          <w:lang w:val="en-GB" w:eastAsia="ja-JP"/>
        </w:rPr>
        <w:t xml:space="preserve"> flower-rich low-input grasslands) require research and development before there is confidence in their value to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ove</w:t>
      </w:r>
      <w:r w:rsidR="00085172">
        <w:rPr>
          <w:rFonts w:eastAsia="MS Mincho"/>
          <w:sz w:val="20"/>
          <w:szCs w:val="22"/>
          <w:lang w:val="en-GB" w:eastAsia="ja-JP"/>
        </w:rPr>
        <w:t>s</w:t>
      </w:r>
      <w:r w:rsidRPr="00C96521">
        <w:rPr>
          <w:rFonts w:eastAsia="MS Mincho"/>
          <w:sz w:val="20"/>
          <w:szCs w:val="22"/>
          <w:lang w:val="en-GB" w:eastAsia="ja-JP"/>
        </w:rPr>
        <w:t xml:space="preserve">. In all cases, the techniques have only been trialled (and in some cases rolled out) in England, and further development is needed to determine what forms of habitat management are most appropriate to different areas of Europe. These may vary considerably, for example due to the factors limiting the population, local differences in vegetation, soil, climatic conditions and land management practices that determine suitability and practicality, and policy mechanisms that affect the ability to deploy measures. </w:t>
      </w:r>
    </w:p>
    <w:p w14:paraId="58CBE95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21C35D9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Nesting Habitat</w:t>
      </w:r>
    </w:p>
    <w:p w14:paraId="5EEA190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5D03EEC" w14:textId="7C7DACC9" w:rsidR="00C96521" w:rsidRPr="00C96521" w:rsidRDefault="00085172" w:rsidP="00C96521">
      <w:pPr>
        <w:widowControl/>
        <w:autoSpaceDE/>
        <w:autoSpaceDN/>
        <w:adjustRightInd/>
        <w:spacing w:line="276" w:lineRule="auto"/>
        <w:rPr>
          <w:rFonts w:eastAsia="MS Mincho"/>
          <w:sz w:val="20"/>
          <w:szCs w:val="22"/>
          <w:lang w:val="en-GB" w:eastAsia="ja-JP"/>
        </w:rPr>
      </w:pPr>
      <w:r>
        <w:rPr>
          <w:rFonts w:eastAsia="MS Mincho"/>
          <w:sz w:val="20"/>
          <w:szCs w:val="22"/>
          <w:lang w:val="en-GB" w:eastAsia="ja-JP"/>
        </w:rPr>
        <w:t>T</w:t>
      </w:r>
      <w:r w:rsidRPr="00C96521">
        <w:rPr>
          <w:rFonts w:eastAsia="MS Mincho"/>
          <w:sz w:val="20"/>
          <w:szCs w:val="22"/>
          <w:lang w:val="en-GB" w:eastAsia="ja-JP"/>
        </w:rPr>
        <w:t>urtle</w:t>
      </w:r>
      <w:r>
        <w:rPr>
          <w:rFonts w:eastAsia="MS Mincho"/>
          <w:sz w:val="20"/>
          <w:szCs w:val="22"/>
          <w:lang w:val="en-GB" w:eastAsia="ja-JP"/>
        </w:rPr>
        <w:t xml:space="preserve"> D</w:t>
      </w:r>
      <w:r w:rsidRPr="00C96521">
        <w:rPr>
          <w:rFonts w:eastAsia="MS Mincho"/>
          <w:sz w:val="20"/>
          <w:szCs w:val="22"/>
          <w:lang w:val="en-GB" w:eastAsia="ja-JP"/>
        </w:rPr>
        <w:t>ove</w:t>
      </w:r>
      <w:r>
        <w:rPr>
          <w:rFonts w:eastAsia="MS Mincho"/>
          <w:sz w:val="20"/>
          <w:szCs w:val="22"/>
          <w:lang w:val="en-GB" w:eastAsia="ja-JP"/>
        </w:rPr>
        <w:t xml:space="preserve">s </w:t>
      </w:r>
      <w:r w:rsidR="00C96521" w:rsidRPr="00C96521">
        <w:rPr>
          <w:rFonts w:eastAsia="MS Mincho"/>
          <w:sz w:val="20"/>
          <w:szCs w:val="22"/>
          <w:lang w:val="en-GB" w:eastAsia="ja-JP"/>
        </w:rPr>
        <w:t>select areas of scrub or hedgerows at least 4m wide and at least 3m tall, especially those containing standard trees for song posts and nest placement (Figure 16). Scrubby edges to banks, watercourses, reservoirs, gravel pits and ponds appear to be particularly selected, although it is unclear whether these wet-edge habitats are favoured solely because they provide good, overgrown nesting habitat (because they are difficult to access to cut and remove wooded vegetation), or because they also provide additional resources, most likely, drinking water (Dunn and Morris 2012).</w:t>
      </w:r>
    </w:p>
    <w:p w14:paraId="310AC1D8"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w:t>
      </w:r>
    </w:p>
    <w:p w14:paraId="04BB5AB5" w14:textId="4D8B194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the UK, many species of tree or shrub are used as nest sites, but there is some evidence of selection for thorny shrubs such as </w:t>
      </w:r>
      <w:r w:rsidRPr="00C96521">
        <w:rPr>
          <w:rFonts w:eastAsia="MS Mincho"/>
          <w:i/>
          <w:sz w:val="20"/>
          <w:szCs w:val="22"/>
          <w:lang w:val="en-GB" w:eastAsia="ja-JP"/>
        </w:rPr>
        <w:t>Crataegus</w:t>
      </w:r>
      <w:r w:rsidRPr="00C96521">
        <w:rPr>
          <w:rFonts w:eastAsia="MS Mincho"/>
          <w:sz w:val="20"/>
          <w:szCs w:val="22"/>
          <w:lang w:val="en-GB" w:eastAsia="ja-JP"/>
        </w:rPr>
        <w:t xml:space="preserve"> and </w:t>
      </w:r>
      <w:r w:rsidRPr="00C96521">
        <w:rPr>
          <w:rFonts w:eastAsia="MS Mincho"/>
          <w:i/>
          <w:sz w:val="20"/>
          <w:szCs w:val="22"/>
          <w:lang w:val="en-GB" w:eastAsia="ja-JP"/>
        </w:rPr>
        <w:t>Prunus</w:t>
      </w:r>
      <w:r w:rsidRPr="00C96521">
        <w:rPr>
          <w:rFonts w:eastAsia="MS Mincho"/>
          <w:sz w:val="20"/>
          <w:szCs w:val="22"/>
          <w:lang w:val="en-GB" w:eastAsia="ja-JP"/>
        </w:rPr>
        <w:t xml:space="preserve"> </w:t>
      </w:r>
      <w:r w:rsidRPr="00C96521">
        <w:rPr>
          <w:rFonts w:eastAsia="MS Mincho"/>
          <w:i/>
          <w:sz w:val="20"/>
          <w:szCs w:val="22"/>
          <w:lang w:val="en-GB" w:eastAsia="ja-JP"/>
        </w:rPr>
        <w:t>spp</w:t>
      </w:r>
      <w:r w:rsidRPr="00C96521">
        <w:rPr>
          <w:rFonts w:eastAsia="MS Mincho"/>
          <w:sz w:val="20"/>
          <w:szCs w:val="22"/>
          <w:lang w:val="en-GB" w:eastAsia="ja-JP"/>
        </w:rPr>
        <w:t xml:space="preserve">, often covered with climbers such as </w:t>
      </w:r>
      <w:r w:rsidRPr="00C96521">
        <w:rPr>
          <w:rFonts w:eastAsia="MS Mincho"/>
          <w:i/>
          <w:sz w:val="20"/>
          <w:szCs w:val="22"/>
          <w:lang w:val="en-GB" w:eastAsia="ja-JP"/>
        </w:rPr>
        <w:lastRenderedPageBreak/>
        <w:t>Rosaceae</w:t>
      </w:r>
      <w:r w:rsidRPr="00C96521">
        <w:rPr>
          <w:rFonts w:eastAsia="MS Mincho"/>
          <w:sz w:val="20"/>
          <w:szCs w:val="22"/>
          <w:lang w:val="en-GB" w:eastAsia="ja-JP"/>
        </w:rPr>
        <w:t xml:space="preserve">, </w:t>
      </w:r>
      <w:r w:rsidRPr="00C96521">
        <w:rPr>
          <w:rFonts w:eastAsia="MS Mincho"/>
          <w:i/>
          <w:sz w:val="20"/>
          <w:szCs w:val="22"/>
          <w:lang w:val="en-GB" w:eastAsia="ja-JP"/>
        </w:rPr>
        <w:t>Rubus</w:t>
      </w:r>
      <w:r w:rsidRPr="00C96521">
        <w:rPr>
          <w:rFonts w:eastAsia="MS Mincho"/>
          <w:sz w:val="20"/>
          <w:szCs w:val="22"/>
          <w:lang w:val="en-GB" w:eastAsia="ja-JP"/>
        </w:rPr>
        <w:t xml:space="preserve">, </w:t>
      </w:r>
      <w:r w:rsidRPr="00C96521">
        <w:rPr>
          <w:rFonts w:eastAsia="MS Mincho"/>
          <w:i/>
          <w:sz w:val="20"/>
          <w:szCs w:val="22"/>
          <w:lang w:val="en-GB" w:eastAsia="ja-JP"/>
        </w:rPr>
        <w:t>Hedera</w:t>
      </w:r>
      <w:r w:rsidRPr="00C96521">
        <w:rPr>
          <w:rFonts w:eastAsia="MS Mincho"/>
          <w:sz w:val="20"/>
          <w:szCs w:val="22"/>
          <w:lang w:val="en-GB" w:eastAsia="ja-JP"/>
        </w:rPr>
        <w:t xml:space="preserve"> and </w:t>
      </w:r>
      <w:r w:rsidRPr="00C96521">
        <w:rPr>
          <w:rFonts w:eastAsia="MS Mincho"/>
          <w:i/>
          <w:sz w:val="20"/>
          <w:szCs w:val="22"/>
          <w:lang w:val="en-GB" w:eastAsia="ja-JP"/>
        </w:rPr>
        <w:t>Caprifoliaceae</w:t>
      </w:r>
      <w:r w:rsidRPr="00C96521">
        <w:rPr>
          <w:rFonts w:eastAsia="MS Mincho"/>
          <w:sz w:val="20"/>
          <w:szCs w:val="22"/>
          <w:lang w:val="en-GB" w:eastAsia="ja-JP"/>
        </w:rPr>
        <w:t xml:space="preserve"> </w:t>
      </w:r>
      <w:r w:rsidRPr="00C96521">
        <w:rPr>
          <w:rFonts w:eastAsia="MS Mincho"/>
          <w:i/>
          <w:sz w:val="20"/>
          <w:szCs w:val="22"/>
          <w:lang w:val="en-GB" w:eastAsia="ja-JP"/>
        </w:rPr>
        <w:t>spp</w:t>
      </w:r>
      <w:r w:rsidRPr="00C96521">
        <w:rPr>
          <w:rFonts w:eastAsia="MS Mincho"/>
          <w:sz w:val="20"/>
          <w:szCs w:val="22"/>
          <w:lang w:val="en-GB" w:eastAsia="ja-JP"/>
        </w:rPr>
        <w:t xml:space="preserve">. RSPB research (2011-14) indicates a narrower range of nesting habitats than reported in previous studies such as Browne and Aebischer (2003a), which detailed use of a wider range of habitats, including coniferous trees, old orchards and shorter, frequently cut hedgerows. This narrowing of the range of nesting habitats may reflect a relaxation of density-dependent pressures as the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 xml:space="preserve">ove </w:t>
      </w:r>
      <w:r w:rsidRPr="00C96521">
        <w:rPr>
          <w:rFonts w:eastAsia="MS Mincho"/>
          <w:sz w:val="20"/>
          <w:szCs w:val="22"/>
          <w:lang w:val="en-GB" w:eastAsia="ja-JP"/>
        </w:rPr>
        <w:t>population declines, leading to the abandonment of more marginal habitats and greater selection of “preferred” habitats types that are no longer limited.</w:t>
      </w:r>
    </w:p>
    <w:p w14:paraId="2293801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FA4A308"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drawing>
          <wp:inline distT="0" distB="0" distL="0" distR="0" wp14:anchorId="2B0A89D7" wp14:editId="4E56D05A">
            <wp:extent cx="2813755" cy="2088000"/>
            <wp:effectExtent l="19050" t="0" r="5645" b="0"/>
            <wp:docPr id="8" name="Picture 3" descr="F7_3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7_3_block.jpg"/>
                    <pic:cNvPicPr>
                      <a:picLocks noChangeAspect="1" noChangeArrowheads="1"/>
                    </pic:cNvPicPr>
                  </pic:nvPicPr>
                  <pic:blipFill>
                    <a:blip r:embed="rId51" cstate="print"/>
                    <a:srcRect t="18739" b="25000"/>
                    <a:stretch>
                      <a:fillRect/>
                    </a:stretch>
                  </pic:blipFill>
                  <pic:spPr bwMode="auto">
                    <a:xfrm>
                      <a:off x="0" y="0"/>
                      <a:ext cx="2813755" cy="2088000"/>
                    </a:xfrm>
                    <a:prstGeom prst="rect">
                      <a:avLst/>
                    </a:prstGeom>
                    <a:noFill/>
                    <a:ln w="9525">
                      <a:noFill/>
                      <a:miter lim="800000"/>
                      <a:headEnd/>
                      <a:tailEnd/>
                    </a:ln>
                  </pic:spPr>
                </pic:pic>
              </a:graphicData>
            </a:graphic>
          </wp:inline>
        </w:drawing>
      </w:r>
      <w:r w:rsidRPr="00C96521">
        <w:rPr>
          <w:rFonts w:eastAsia="MS Mincho"/>
          <w:noProof/>
          <w:sz w:val="20"/>
          <w:szCs w:val="22"/>
        </w:rPr>
        <w:drawing>
          <wp:inline distT="0" distB="0" distL="0" distR="0" wp14:anchorId="7383DEF7" wp14:editId="250D9481">
            <wp:extent cx="2847613" cy="2088000"/>
            <wp:effectExtent l="19050" t="0" r="0" b="0"/>
            <wp:docPr id="10" name="Picture 2" descr="TD scru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 scrub1"/>
                    <pic:cNvPicPr>
                      <a:picLocks noChangeAspect="1" noChangeArrowheads="1"/>
                    </pic:cNvPicPr>
                  </pic:nvPicPr>
                  <pic:blipFill>
                    <a:blip r:embed="rId52" cstate="print"/>
                    <a:srcRect/>
                    <a:stretch>
                      <a:fillRect/>
                    </a:stretch>
                  </pic:blipFill>
                  <pic:spPr bwMode="auto">
                    <a:xfrm>
                      <a:off x="0" y="0"/>
                      <a:ext cx="2847613" cy="2088000"/>
                    </a:xfrm>
                    <a:prstGeom prst="rect">
                      <a:avLst/>
                    </a:prstGeom>
                    <a:noFill/>
                    <a:ln w="9525">
                      <a:noFill/>
                      <a:miter lim="800000"/>
                      <a:headEnd/>
                      <a:tailEnd/>
                    </a:ln>
                  </pic:spPr>
                </pic:pic>
              </a:graphicData>
            </a:graphic>
          </wp:inline>
        </w:drawing>
      </w:r>
    </w:p>
    <w:p w14:paraId="3A0F2CBE"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Figure 16. A typical hedgerow and patch of scrub used by turtle-doves for song-posts and nesting.</w:t>
      </w:r>
    </w:p>
    <w:p w14:paraId="73344FC2"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38E4C468" w14:textId="7E2062B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Nesting habitat alone is thought unlikely to be limiting the population, as nesting areas previously utili</w:t>
      </w:r>
      <w:r w:rsidR="00085172">
        <w:rPr>
          <w:rFonts w:eastAsia="MS Mincho"/>
          <w:sz w:val="20"/>
          <w:szCs w:val="22"/>
          <w:lang w:val="en-GB" w:eastAsia="ja-JP"/>
        </w:rPr>
        <w:t>z</w:t>
      </w:r>
      <w:r w:rsidRPr="00C96521">
        <w:rPr>
          <w:rFonts w:eastAsia="MS Mincho"/>
          <w:sz w:val="20"/>
          <w:szCs w:val="22"/>
          <w:lang w:val="en-GB" w:eastAsia="ja-JP"/>
        </w:rPr>
        <w:t xml:space="preserve">ed by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ove</w:t>
      </w:r>
      <w:r w:rsidR="00085172">
        <w:rPr>
          <w:rFonts w:eastAsia="MS Mincho"/>
          <w:sz w:val="20"/>
          <w:szCs w:val="22"/>
          <w:lang w:val="en-GB" w:eastAsia="ja-JP"/>
        </w:rPr>
        <w:t>s</w:t>
      </w:r>
      <w:r w:rsidR="00085172" w:rsidRPr="00C96521">
        <w:rPr>
          <w:rFonts w:eastAsia="MS Mincho"/>
          <w:sz w:val="20"/>
          <w:szCs w:val="22"/>
          <w:lang w:val="en-GB" w:eastAsia="ja-JP"/>
        </w:rPr>
        <w:t xml:space="preserve"> </w:t>
      </w:r>
      <w:r w:rsidRPr="00C96521">
        <w:rPr>
          <w:rFonts w:eastAsia="MS Mincho"/>
          <w:sz w:val="20"/>
          <w:szCs w:val="22"/>
          <w:lang w:val="en-GB" w:eastAsia="ja-JP"/>
        </w:rPr>
        <w:t>where habitat has not altered are no longer used due to a reduced density of breeding birds (Dunn and Morris 2012). However, lack of suitable nesting habitat may be important at a local scale, and a combination of nesting and foraging habitat together in close proximity is known to be important for recently fledged young.</w:t>
      </w:r>
    </w:p>
    <w:p w14:paraId="3B4F983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78FF017" w14:textId="3AF611C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Table 5 summari</w:t>
      </w:r>
      <w:r w:rsidR="00085172">
        <w:rPr>
          <w:rFonts w:eastAsia="MS Mincho"/>
          <w:sz w:val="20"/>
          <w:szCs w:val="22"/>
          <w:lang w:val="en-GB" w:eastAsia="ja-JP"/>
        </w:rPr>
        <w:t>z</w:t>
      </w:r>
      <w:r w:rsidRPr="00C96521">
        <w:rPr>
          <w:rFonts w:eastAsia="MS Mincho"/>
          <w:sz w:val="20"/>
          <w:szCs w:val="22"/>
          <w:lang w:val="en-GB" w:eastAsia="ja-JP"/>
        </w:rPr>
        <w:t xml:space="preserve">es the nesting habitat requirements of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Doves</w:t>
      </w:r>
      <w:r w:rsidRPr="00C96521">
        <w:rPr>
          <w:rFonts w:eastAsia="MS Mincho"/>
          <w:sz w:val="20"/>
          <w:szCs w:val="22"/>
          <w:lang w:val="en-GB" w:eastAsia="ja-JP"/>
        </w:rPr>
        <w:t xml:space="preserve">and how these can be met by the Countryside Stewardship Agri-environment Options tailored for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Doves</w:t>
      </w:r>
      <w:r w:rsidRPr="00C96521">
        <w:rPr>
          <w:rFonts w:eastAsia="MS Mincho"/>
          <w:sz w:val="20"/>
          <w:szCs w:val="22"/>
          <w:lang w:val="en-GB" w:eastAsia="ja-JP"/>
        </w:rPr>
        <w:t xml:space="preserve">. Depending on the character of the hedgerows, landowners are advised to consider allowing hedges to reach and then maintain a minimum height of 3m and a minimum width of 4m for at least some of the hedgerows where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ove</w:t>
      </w:r>
      <w:r w:rsidR="00085172">
        <w:rPr>
          <w:rFonts w:eastAsia="MS Mincho"/>
          <w:sz w:val="20"/>
          <w:szCs w:val="22"/>
          <w:lang w:val="en-GB" w:eastAsia="ja-JP"/>
        </w:rPr>
        <w:t>s</w:t>
      </w:r>
      <w:r w:rsidR="00085172" w:rsidRPr="00C96521">
        <w:rPr>
          <w:rFonts w:eastAsia="MS Mincho"/>
          <w:sz w:val="20"/>
          <w:szCs w:val="22"/>
          <w:lang w:val="en-GB" w:eastAsia="ja-JP"/>
        </w:rPr>
        <w:t xml:space="preserve"> </w:t>
      </w:r>
      <w:r w:rsidRPr="00C96521">
        <w:rPr>
          <w:rFonts w:eastAsia="MS Mincho"/>
          <w:sz w:val="20"/>
          <w:szCs w:val="22"/>
          <w:lang w:val="en-GB" w:eastAsia="ja-JP"/>
        </w:rPr>
        <w:t xml:space="preserve">are likely to breed as part of option </w:t>
      </w:r>
      <w:r w:rsidRPr="00C96521">
        <w:rPr>
          <w:rFonts w:eastAsia="MS Mincho"/>
          <w:i/>
          <w:sz w:val="20"/>
          <w:szCs w:val="22"/>
          <w:lang w:val="en-GB" w:eastAsia="ja-JP"/>
        </w:rPr>
        <w:t xml:space="preserve">BE3 Management of Hedgerows. </w:t>
      </w:r>
      <w:r w:rsidRPr="00C96521">
        <w:rPr>
          <w:rFonts w:eastAsia="MS Mincho"/>
          <w:sz w:val="20"/>
          <w:szCs w:val="22"/>
          <w:lang w:val="en-GB" w:eastAsia="ja-JP"/>
        </w:rPr>
        <w:t>As scrub typically matures in 15 years, it is recommended to cut one-fifteenth of the scrub every year or one fifth every third year when using Countryside Stewardship options WD7 and WD8, to restore and maintain a varied age structure, including mature areas suitable for nesting.</w:t>
      </w:r>
    </w:p>
    <w:p w14:paraId="67FA885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14D06F7"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Table 5. Nesting habitat requirements of turtle-doves and how these can be met by Countryside Stewardship Agri-environment Options.</w:t>
      </w:r>
    </w:p>
    <w:p w14:paraId="5310DC4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1701"/>
        <w:gridCol w:w="3147"/>
      </w:tblGrid>
      <w:tr w:rsidR="00C96521" w:rsidRPr="00C96521" w14:paraId="61B3A50E" w14:textId="77777777" w:rsidTr="00C96521">
        <w:trPr>
          <w:trHeight w:val="866"/>
        </w:trPr>
        <w:tc>
          <w:tcPr>
            <w:tcW w:w="4219" w:type="dxa"/>
          </w:tcPr>
          <w:p w14:paraId="48DFE351"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Resource requirement</w:t>
            </w:r>
          </w:p>
        </w:tc>
        <w:tc>
          <w:tcPr>
            <w:tcW w:w="1701" w:type="dxa"/>
          </w:tcPr>
          <w:p w14:paraId="50206B7F"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Minimum quantity</w:t>
            </w:r>
            <w:r w:rsidRPr="00C96521">
              <w:rPr>
                <w:rFonts w:eastAsia="MS Mincho"/>
                <w:sz w:val="20"/>
                <w:szCs w:val="22"/>
                <w:lang w:val="en-GB" w:eastAsia="ja-JP"/>
              </w:rPr>
              <w:t xml:space="preserve"> </w:t>
            </w:r>
            <w:r w:rsidRPr="00C96521">
              <w:rPr>
                <w:rFonts w:eastAsia="MS Mincho"/>
                <w:i/>
                <w:sz w:val="20"/>
                <w:szCs w:val="22"/>
                <w:lang w:val="en-GB" w:eastAsia="ja-JP"/>
              </w:rPr>
              <w:t>(per 100 ha of farmed land)</w:t>
            </w:r>
          </w:p>
        </w:tc>
        <w:tc>
          <w:tcPr>
            <w:tcW w:w="3147" w:type="dxa"/>
          </w:tcPr>
          <w:p w14:paraId="06C8D583"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Relevant Countryside Stewardship Options</w:t>
            </w:r>
          </w:p>
        </w:tc>
      </w:tr>
      <w:tr w:rsidR="00C96521" w:rsidRPr="00C96521" w14:paraId="4237D902" w14:textId="77777777" w:rsidTr="00C96521">
        <w:trPr>
          <w:trHeight w:val="1408"/>
        </w:trPr>
        <w:tc>
          <w:tcPr>
            <w:tcW w:w="4219" w:type="dxa"/>
          </w:tcPr>
          <w:p w14:paraId="43CFF934"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Wide hedgerows or areas of scrub, at least 3m tall, especially those with thorny shrubs and climbers.</w:t>
            </w:r>
          </w:p>
          <w:p w14:paraId="1C98280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444F3E8"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A pond or other source of accessible water on the holding or nearby also benefits turtle-doves.</w:t>
            </w:r>
          </w:p>
        </w:tc>
        <w:tc>
          <w:tcPr>
            <w:tcW w:w="1701" w:type="dxa"/>
          </w:tcPr>
          <w:p w14:paraId="344DD0D1" w14:textId="43800B7D"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500m–2</w:t>
            </w:r>
            <w:r w:rsidR="00085172">
              <w:rPr>
                <w:rFonts w:eastAsia="MS Mincho"/>
                <w:sz w:val="20"/>
                <w:szCs w:val="22"/>
                <w:lang w:val="en-GB" w:eastAsia="ja-JP"/>
              </w:rPr>
              <w:t>,</w:t>
            </w:r>
            <w:r w:rsidRPr="00C96521">
              <w:rPr>
                <w:rFonts w:eastAsia="MS Mincho"/>
                <w:sz w:val="20"/>
                <w:szCs w:val="22"/>
                <w:lang w:val="en-GB" w:eastAsia="ja-JP"/>
              </w:rPr>
              <w:t xml:space="preserve">000m </w:t>
            </w:r>
          </w:p>
        </w:tc>
        <w:tc>
          <w:tcPr>
            <w:tcW w:w="3147" w:type="dxa"/>
          </w:tcPr>
          <w:p w14:paraId="2850AAFC"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BE3 Management of Hedgerows.</w:t>
            </w:r>
          </w:p>
          <w:p w14:paraId="39BC3CD8"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WD7 Management of Successional Areas and Scrub.</w:t>
            </w:r>
          </w:p>
          <w:p w14:paraId="05770643"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WD8 Creation of Successional Areas and Scrub.</w:t>
            </w:r>
          </w:p>
        </w:tc>
      </w:tr>
    </w:tbl>
    <w:p w14:paraId="738D030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3BB2E6B" w14:textId="6EEF01D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An evaluation of 20 Higher-tier Agri-environment Agreements with a pilot version of a package of measures for turtle-dove, which included both nesting and foraging habitats on the same site, showed that 58</w:t>
      </w:r>
      <w:r w:rsidR="00085172">
        <w:rPr>
          <w:rFonts w:eastAsia="MS Mincho"/>
          <w:sz w:val="20"/>
          <w:szCs w:val="22"/>
          <w:lang w:val="en-GB" w:eastAsia="ja-JP"/>
        </w:rPr>
        <w:t xml:space="preserve"> per cent</w:t>
      </w:r>
      <w:r w:rsidR="00085172" w:rsidRPr="00C96521">
        <w:rPr>
          <w:rFonts w:eastAsia="MS Mincho"/>
          <w:sz w:val="20"/>
          <w:szCs w:val="22"/>
          <w:lang w:val="en-GB" w:eastAsia="ja-JP"/>
        </w:rPr>
        <w:t xml:space="preserve"> </w:t>
      </w:r>
      <w:r w:rsidRPr="00C96521">
        <w:rPr>
          <w:rFonts w:eastAsia="MS Mincho"/>
          <w:sz w:val="20"/>
          <w:szCs w:val="22"/>
          <w:lang w:val="en-GB" w:eastAsia="ja-JP"/>
        </w:rPr>
        <w:t xml:space="preserve">of evaluated sections of tall hedges and scrub potentially provided suitable nesting </w:t>
      </w:r>
      <w:r w:rsidRPr="00C96521">
        <w:rPr>
          <w:rFonts w:eastAsia="MS Mincho"/>
          <w:sz w:val="20"/>
          <w:szCs w:val="22"/>
          <w:lang w:val="en-GB" w:eastAsia="ja-JP"/>
        </w:rPr>
        <w:lastRenderedPageBreak/>
        <w:t>sites nesting habitat for turtle-doves: sections were at least 3</w:t>
      </w:r>
      <w:r w:rsidR="00085172">
        <w:rPr>
          <w:rFonts w:eastAsia="MS Mincho"/>
          <w:sz w:val="20"/>
          <w:szCs w:val="22"/>
          <w:lang w:val="en-GB" w:eastAsia="ja-JP"/>
        </w:rPr>
        <w:t xml:space="preserve"> </w:t>
      </w:r>
      <w:r w:rsidRPr="00C96521">
        <w:rPr>
          <w:rFonts w:eastAsia="MS Mincho"/>
          <w:sz w:val="20"/>
          <w:szCs w:val="22"/>
          <w:lang w:val="en-GB" w:eastAsia="ja-JP"/>
        </w:rPr>
        <w:t>m</w:t>
      </w:r>
      <w:r w:rsidR="00085172">
        <w:rPr>
          <w:rFonts w:eastAsia="MS Mincho"/>
          <w:sz w:val="20"/>
          <w:szCs w:val="22"/>
          <w:lang w:val="en-GB" w:eastAsia="ja-JP"/>
        </w:rPr>
        <w:t>etres</w:t>
      </w:r>
      <w:r w:rsidRPr="00C96521">
        <w:rPr>
          <w:rFonts w:eastAsia="MS Mincho"/>
          <w:sz w:val="20"/>
          <w:szCs w:val="22"/>
          <w:lang w:val="en-GB" w:eastAsia="ja-JP"/>
        </w:rPr>
        <w:t xml:space="preserve"> tall, at least 4</w:t>
      </w:r>
      <w:r w:rsidR="00085172">
        <w:rPr>
          <w:rFonts w:eastAsia="MS Mincho"/>
          <w:sz w:val="20"/>
          <w:szCs w:val="22"/>
          <w:lang w:val="en-GB" w:eastAsia="ja-JP"/>
        </w:rPr>
        <w:t xml:space="preserve"> </w:t>
      </w:r>
      <w:r w:rsidRPr="00C96521">
        <w:rPr>
          <w:rFonts w:eastAsia="MS Mincho"/>
          <w:sz w:val="20"/>
          <w:szCs w:val="22"/>
          <w:lang w:val="en-GB" w:eastAsia="ja-JP"/>
        </w:rPr>
        <w:t>m</w:t>
      </w:r>
      <w:r w:rsidR="00085172">
        <w:rPr>
          <w:rFonts w:eastAsia="MS Mincho"/>
          <w:sz w:val="20"/>
          <w:szCs w:val="22"/>
          <w:lang w:val="en-GB" w:eastAsia="ja-JP"/>
        </w:rPr>
        <w:t>etres</w:t>
      </w:r>
      <w:r w:rsidRPr="00C96521">
        <w:rPr>
          <w:rFonts w:eastAsia="MS Mincho"/>
          <w:sz w:val="20"/>
          <w:szCs w:val="22"/>
          <w:lang w:val="en-GB" w:eastAsia="ja-JP"/>
        </w:rPr>
        <w:t xml:space="preserve"> wide and had climbing plants present for nest concealment (Walker and Morris 2016).</w:t>
      </w:r>
    </w:p>
    <w:p w14:paraId="3EF07BF0" w14:textId="5B2EFB3D" w:rsidR="00C96521" w:rsidRPr="00C96521" w:rsidRDefault="00C96521" w:rsidP="00C96521">
      <w:pPr>
        <w:widowControl/>
        <w:autoSpaceDE/>
        <w:autoSpaceDN/>
        <w:adjustRightInd/>
        <w:spacing w:line="276" w:lineRule="auto"/>
        <w:rPr>
          <w:rFonts w:eastAsia="MS Mincho"/>
          <w:sz w:val="20"/>
          <w:szCs w:val="22"/>
          <w:lang w:val="en-GB" w:eastAsia="ja-JP"/>
        </w:rPr>
      </w:pPr>
    </w:p>
    <w:p w14:paraId="2ACF8174"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Foraging Habitat</w:t>
      </w:r>
    </w:p>
    <w:p w14:paraId="75A5FBC1"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7BB8194A" w14:textId="468407E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 xml:space="preserve">ove </w:t>
      </w:r>
      <w:r w:rsidRPr="00C96521">
        <w:rPr>
          <w:rFonts w:eastAsia="MS Mincho"/>
          <w:sz w:val="20"/>
          <w:szCs w:val="22"/>
          <w:lang w:val="en-GB" w:eastAsia="ja-JP"/>
        </w:rPr>
        <w:t xml:space="preserve">is an obligate granivore (it only eats seeds, although very small amounts of green plant material and invertebrates such as snails have occasional been recorded in the diet). In the UK, </w:t>
      </w:r>
      <w:r w:rsidRPr="00C96521">
        <w:rPr>
          <w:rFonts w:eastAsia="MS Mincho"/>
          <w:i/>
          <w:sz w:val="20"/>
          <w:szCs w:val="22"/>
          <w:lang w:val="en-GB" w:eastAsia="ja-JP"/>
        </w:rPr>
        <w:t>Fumaria</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xml:space="preserve"> historically formed the mainstay of its diet, with seeds of other plants associated with arable fields (such as </w:t>
      </w:r>
      <w:r w:rsidRPr="00C96521">
        <w:rPr>
          <w:rFonts w:eastAsia="MS Mincho"/>
          <w:i/>
          <w:sz w:val="20"/>
          <w:szCs w:val="22"/>
          <w:lang w:val="en-GB" w:eastAsia="ja-JP"/>
        </w:rPr>
        <w:t>Stellaria media</w:t>
      </w:r>
      <w:r w:rsidRPr="00C96521">
        <w:rPr>
          <w:rFonts w:eastAsia="MS Mincho"/>
          <w:sz w:val="20"/>
          <w:szCs w:val="22"/>
          <w:lang w:val="en-GB" w:eastAsia="ja-JP"/>
        </w:rPr>
        <w:t xml:space="preserve">, </w:t>
      </w:r>
      <w:r w:rsidRPr="00C96521">
        <w:rPr>
          <w:rFonts w:eastAsia="MS Mincho"/>
          <w:i/>
          <w:sz w:val="20"/>
          <w:szCs w:val="22"/>
          <w:lang w:val="en-GB" w:eastAsia="ja-JP"/>
        </w:rPr>
        <w:t>Anagallis arvensis</w:t>
      </w:r>
      <w:r w:rsidRPr="00C96521">
        <w:rPr>
          <w:rFonts w:eastAsia="MS Mincho"/>
          <w:sz w:val="20"/>
          <w:szCs w:val="22"/>
          <w:lang w:val="en-GB" w:eastAsia="ja-JP"/>
        </w:rPr>
        <w:t xml:space="preserve">, </w:t>
      </w:r>
      <w:r w:rsidRPr="00C96521">
        <w:rPr>
          <w:rFonts w:eastAsia="MS Mincho"/>
          <w:i/>
          <w:sz w:val="20"/>
          <w:szCs w:val="22"/>
          <w:lang w:val="en-GB" w:eastAsia="ja-JP"/>
        </w:rPr>
        <w:t>Geraniaceae</w:t>
      </w:r>
      <w:r w:rsidRPr="00C96521">
        <w:rPr>
          <w:rFonts w:eastAsia="MS Mincho"/>
          <w:sz w:val="20"/>
          <w:szCs w:val="22"/>
          <w:lang w:val="en-GB" w:eastAsia="ja-JP"/>
        </w:rPr>
        <w:t xml:space="preserve">, </w:t>
      </w:r>
      <w:r w:rsidRPr="00C96521">
        <w:rPr>
          <w:rFonts w:eastAsia="MS Mincho"/>
          <w:i/>
          <w:sz w:val="20"/>
          <w:szCs w:val="22"/>
          <w:lang w:val="en-GB" w:eastAsia="ja-JP"/>
        </w:rPr>
        <w:t>Amaranthaceae</w:t>
      </w:r>
      <w:r w:rsidRPr="00C96521">
        <w:rPr>
          <w:rFonts w:eastAsia="MS Mincho"/>
          <w:sz w:val="20"/>
          <w:szCs w:val="22"/>
          <w:lang w:val="en-GB" w:eastAsia="ja-JP"/>
        </w:rPr>
        <w:t xml:space="preserve"> and </w:t>
      </w:r>
      <w:r w:rsidRPr="00C96521">
        <w:rPr>
          <w:rFonts w:eastAsia="MS Mincho"/>
          <w:i/>
          <w:sz w:val="20"/>
          <w:szCs w:val="22"/>
          <w:lang w:val="en-GB" w:eastAsia="ja-JP"/>
        </w:rPr>
        <w:t>Poa</w:t>
      </w:r>
      <w:r w:rsidRPr="00C96521">
        <w:rPr>
          <w:rFonts w:eastAsia="MS Mincho"/>
          <w:sz w:val="20"/>
          <w:szCs w:val="22"/>
          <w:lang w:val="en-GB" w:eastAsia="ja-JP"/>
        </w:rPr>
        <w:t xml:space="preserve">) also being common. Before widespread agricultural intensification, seeds of </w:t>
      </w:r>
      <w:r w:rsidRPr="00C96521">
        <w:rPr>
          <w:rFonts w:eastAsia="MS Mincho"/>
          <w:i/>
          <w:sz w:val="20"/>
          <w:szCs w:val="22"/>
          <w:lang w:val="en-GB" w:eastAsia="ja-JP"/>
        </w:rPr>
        <w:t>Trifolium</w:t>
      </w:r>
      <w:r w:rsidRPr="00C96521">
        <w:rPr>
          <w:rFonts w:eastAsia="MS Mincho"/>
          <w:sz w:val="20"/>
          <w:szCs w:val="22"/>
          <w:lang w:val="en-GB" w:eastAsia="ja-JP"/>
        </w:rPr>
        <w:t xml:space="preserve"> </w:t>
      </w:r>
      <w:r w:rsidRPr="00C96521">
        <w:rPr>
          <w:rFonts w:eastAsia="MS Mincho"/>
          <w:i/>
          <w:sz w:val="20"/>
          <w:szCs w:val="22"/>
          <w:lang w:val="en-GB" w:eastAsia="ja-JP"/>
        </w:rPr>
        <w:t>spp</w:t>
      </w:r>
      <w:r w:rsidRPr="00C96521">
        <w:rPr>
          <w:rFonts w:eastAsia="MS Mincho"/>
          <w:sz w:val="20"/>
          <w:szCs w:val="22"/>
          <w:lang w:val="en-GB" w:eastAsia="ja-JP"/>
        </w:rPr>
        <w:t xml:space="preserve"> were also commonly taken from short-term rotational grass and legume leys. However, in recent decades, the seeds of arable crops (especially cereals and brassicas such as oil-seed rape </w:t>
      </w:r>
      <w:r w:rsidRPr="00C96521">
        <w:rPr>
          <w:rFonts w:eastAsia="MS Mincho"/>
          <w:i/>
          <w:sz w:val="20"/>
          <w:szCs w:val="22"/>
          <w:lang w:val="en-GB" w:eastAsia="ja-JP"/>
        </w:rPr>
        <w:t>Brassica napus</w:t>
      </w:r>
      <w:r w:rsidRPr="00C96521">
        <w:rPr>
          <w:rFonts w:eastAsia="MS Mincho"/>
          <w:sz w:val="20"/>
          <w:szCs w:val="22"/>
          <w:lang w:val="en-GB" w:eastAsia="ja-JP"/>
        </w:rPr>
        <w:t xml:space="preserve">) have become an especially important part of the diet later in the breeding season. A recent dietary study based on molecular techniques confirmed the importance of both natural and anthropogenic food sources (including, for the first time, seeds originating from garden/game bird feeders). Adult birds have been recorded travelling considerable distances, sometimes as far as 10km, from their breeding territories to exploit locally abundant food supplies, such as spilt grain and weed-rich fields. </w:t>
      </w:r>
    </w:p>
    <w:p w14:paraId="60AF279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A8EA180" w14:textId="7118F50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Turtle</w:t>
      </w:r>
      <w:r w:rsidR="00085172">
        <w:rPr>
          <w:rFonts w:eastAsia="MS Mincho"/>
          <w:sz w:val="20"/>
          <w:szCs w:val="22"/>
          <w:lang w:val="en-GB" w:eastAsia="ja-JP"/>
        </w:rPr>
        <w:t xml:space="preserve"> D</w:t>
      </w:r>
      <w:r w:rsidRPr="00C96521">
        <w:rPr>
          <w:rFonts w:eastAsia="MS Mincho"/>
          <w:sz w:val="20"/>
          <w:szCs w:val="22"/>
          <w:lang w:val="en-GB" w:eastAsia="ja-JP"/>
        </w:rPr>
        <w:t>oves obtain most of their food from the ground, and providing a sparse, patchy sward that enables the birds to detect and access the seeds is very important for this species. Typical characteristics of foraging locations show mean vegetation height &lt;20cm and mean bare soil forms 60</w:t>
      </w:r>
      <w:r w:rsidR="00085172">
        <w:rPr>
          <w:rFonts w:eastAsia="MS Mincho"/>
          <w:sz w:val="20"/>
          <w:szCs w:val="22"/>
          <w:lang w:val="en-GB" w:eastAsia="ja-JP"/>
        </w:rPr>
        <w:t xml:space="preserve"> per cent</w:t>
      </w:r>
      <w:r w:rsidRPr="00C96521">
        <w:rPr>
          <w:rFonts w:eastAsia="MS Mincho"/>
          <w:sz w:val="20"/>
          <w:szCs w:val="22"/>
          <w:lang w:val="en-GB" w:eastAsia="ja-JP"/>
        </w:rPr>
        <w:t xml:space="preserve"> of ground cover (Browne and Aebischer 2003a, Dunn </w:t>
      </w:r>
      <w:r w:rsidRPr="00C96521">
        <w:rPr>
          <w:rFonts w:eastAsia="MS Mincho"/>
          <w:i/>
          <w:sz w:val="20"/>
          <w:szCs w:val="22"/>
          <w:lang w:val="en-GB" w:eastAsia="ja-JP"/>
        </w:rPr>
        <w:t>et al</w:t>
      </w:r>
      <w:r w:rsidRPr="00C96521">
        <w:rPr>
          <w:rFonts w:eastAsia="MS Mincho"/>
          <w:sz w:val="20"/>
          <w:szCs w:val="22"/>
          <w:lang w:val="en-GB" w:eastAsia="ja-JP"/>
        </w:rPr>
        <w:t xml:space="preserve"> 2015). Territories are more likely to be lost from areas with less bare ground and fallow (Dunn and Morris 2012), traditionally habitats rich in accessible arable plant seed.</w:t>
      </w:r>
    </w:p>
    <w:p w14:paraId="0CD6769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A8FE5C2" w14:textId="0CB204D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Creation and management of marginal strips/plots of early-seeding plants that retain an open structure from mid-April into late summer provide good foraging habitat for </w:t>
      </w:r>
      <w:r w:rsidR="00085172">
        <w:rPr>
          <w:rFonts w:eastAsia="MS Mincho"/>
          <w:sz w:val="20"/>
          <w:szCs w:val="22"/>
          <w:lang w:val="en-GB" w:eastAsia="ja-JP"/>
        </w:rPr>
        <w:t>T</w:t>
      </w:r>
      <w:r w:rsidRPr="00C96521">
        <w:rPr>
          <w:rFonts w:eastAsia="MS Mincho"/>
          <w:sz w:val="20"/>
          <w:szCs w:val="22"/>
          <w:lang w:val="en-GB" w:eastAsia="ja-JP"/>
        </w:rPr>
        <w:t>urtle</w:t>
      </w:r>
      <w:r w:rsidR="00085172">
        <w:rPr>
          <w:rFonts w:eastAsia="MS Mincho"/>
          <w:sz w:val="20"/>
          <w:szCs w:val="22"/>
          <w:lang w:val="en-GB" w:eastAsia="ja-JP"/>
        </w:rPr>
        <w:t xml:space="preserve"> D</w:t>
      </w:r>
      <w:r w:rsidRPr="00C96521">
        <w:rPr>
          <w:rFonts w:eastAsia="MS Mincho"/>
          <w:sz w:val="20"/>
          <w:szCs w:val="22"/>
          <w:lang w:val="en-GB" w:eastAsia="ja-JP"/>
        </w:rPr>
        <w:t xml:space="preserve">oves. In Countryside Stewardship, these can be created in two main ways (Table 6). </w:t>
      </w:r>
    </w:p>
    <w:p w14:paraId="1D6DFCB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F85165B" w14:textId="1FC624CD"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Table 6. Summary of</w:t>
      </w:r>
      <w:r w:rsidRPr="00C96521">
        <w:rPr>
          <w:rFonts w:eastAsia="MS Mincho"/>
          <w:b/>
          <w:i/>
          <w:sz w:val="20"/>
          <w:szCs w:val="22"/>
          <w:lang w:val="en-GB" w:eastAsia="ja-JP"/>
        </w:rPr>
        <w:t xml:space="preserve"> </w:t>
      </w:r>
      <w:r w:rsidRPr="00C96521">
        <w:rPr>
          <w:rFonts w:eastAsia="MS Mincho"/>
          <w:i/>
          <w:sz w:val="20"/>
          <w:szCs w:val="22"/>
          <w:lang w:val="en-GB" w:eastAsia="ja-JP"/>
        </w:rPr>
        <w:t xml:space="preserve">the foraging habitat requirements of </w:t>
      </w:r>
      <w:r w:rsidR="00085172">
        <w:rPr>
          <w:rFonts w:eastAsia="MS Mincho"/>
          <w:i/>
          <w:sz w:val="20"/>
          <w:szCs w:val="22"/>
          <w:lang w:val="en-GB" w:eastAsia="ja-JP"/>
        </w:rPr>
        <w:t>T</w:t>
      </w:r>
      <w:r w:rsidRPr="00C96521">
        <w:rPr>
          <w:rFonts w:eastAsia="MS Mincho"/>
          <w:i/>
          <w:sz w:val="20"/>
          <w:szCs w:val="22"/>
          <w:lang w:val="en-GB" w:eastAsia="ja-JP"/>
        </w:rPr>
        <w:t>urtle</w:t>
      </w:r>
      <w:r w:rsidR="00085172">
        <w:rPr>
          <w:rFonts w:eastAsia="MS Mincho"/>
          <w:i/>
          <w:sz w:val="20"/>
          <w:szCs w:val="22"/>
          <w:lang w:val="en-GB" w:eastAsia="ja-JP"/>
        </w:rPr>
        <w:t xml:space="preserve"> D</w:t>
      </w:r>
      <w:r w:rsidRPr="00C96521">
        <w:rPr>
          <w:rFonts w:eastAsia="MS Mincho"/>
          <w:i/>
          <w:sz w:val="20"/>
          <w:szCs w:val="22"/>
          <w:lang w:val="en-GB" w:eastAsia="ja-JP"/>
        </w:rPr>
        <w:t xml:space="preserve">oves and how these can be met by Countryside Stewardship Agri-environment Options tailored for </w:t>
      </w:r>
      <w:r w:rsidR="00085172">
        <w:rPr>
          <w:rFonts w:eastAsia="MS Mincho"/>
          <w:i/>
          <w:sz w:val="20"/>
          <w:szCs w:val="22"/>
          <w:lang w:val="en-GB" w:eastAsia="ja-JP"/>
        </w:rPr>
        <w:t>T</w:t>
      </w:r>
      <w:r w:rsidRPr="00C96521">
        <w:rPr>
          <w:rFonts w:eastAsia="MS Mincho"/>
          <w:i/>
          <w:sz w:val="20"/>
          <w:szCs w:val="22"/>
          <w:lang w:val="en-GB" w:eastAsia="ja-JP"/>
        </w:rPr>
        <w:t>urtle</w:t>
      </w:r>
      <w:r w:rsidR="00085172">
        <w:rPr>
          <w:rFonts w:eastAsia="MS Mincho"/>
          <w:i/>
          <w:sz w:val="20"/>
          <w:szCs w:val="22"/>
          <w:lang w:val="en-GB" w:eastAsia="ja-JP"/>
        </w:rPr>
        <w:t xml:space="preserve"> D</w:t>
      </w:r>
      <w:r w:rsidRPr="00C96521">
        <w:rPr>
          <w:rFonts w:eastAsia="MS Mincho"/>
          <w:i/>
          <w:sz w:val="20"/>
          <w:szCs w:val="22"/>
          <w:lang w:val="en-GB" w:eastAsia="ja-JP"/>
        </w:rPr>
        <w:t>oves.</w:t>
      </w:r>
    </w:p>
    <w:p w14:paraId="4FB77008"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1843"/>
        <w:gridCol w:w="3572"/>
      </w:tblGrid>
      <w:tr w:rsidR="00C96521" w:rsidRPr="00C96521" w14:paraId="263831F8" w14:textId="77777777" w:rsidTr="00C96521">
        <w:trPr>
          <w:trHeight w:val="866"/>
        </w:trPr>
        <w:tc>
          <w:tcPr>
            <w:tcW w:w="3652" w:type="dxa"/>
          </w:tcPr>
          <w:p w14:paraId="4B51CDFA"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Resource requirement</w:t>
            </w:r>
          </w:p>
        </w:tc>
        <w:tc>
          <w:tcPr>
            <w:tcW w:w="1843" w:type="dxa"/>
          </w:tcPr>
          <w:p w14:paraId="1C57DF51"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Minimum quantity</w:t>
            </w:r>
            <w:r w:rsidRPr="00C96521">
              <w:rPr>
                <w:rFonts w:eastAsia="MS Mincho"/>
                <w:sz w:val="20"/>
                <w:szCs w:val="22"/>
                <w:lang w:val="en-GB" w:eastAsia="ja-JP"/>
              </w:rPr>
              <w:t xml:space="preserve"> </w:t>
            </w:r>
            <w:r w:rsidRPr="00C96521">
              <w:rPr>
                <w:rFonts w:eastAsia="MS Mincho"/>
                <w:i/>
                <w:sz w:val="20"/>
                <w:szCs w:val="22"/>
                <w:lang w:val="en-GB" w:eastAsia="ja-JP"/>
              </w:rPr>
              <w:t>(per 100 ha of farmed land)</w:t>
            </w:r>
          </w:p>
        </w:tc>
        <w:tc>
          <w:tcPr>
            <w:tcW w:w="3572" w:type="dxa"/>
          </w:tcPr>
          <w:p w14:paraId="721EE4B0"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Relevant Countryside Stewardship Options</w:t>
            </w:r>
          </w:p>
        </w:tc>
      </w:tr>
      <w:tr w:rsidR="00C96521" w:rsidRPr="00C96521" w14:paraId="661A8AFC" w14:textId="77777777" w:rsidTr="00C96521">
        <w:trPr>
          <w:trHeight w:val="1058"/>
        </w:trPr>
        <w:tc>
          <w:tcPr>
            <w:tcW w:w="3652" w:type="dxa"/>
          </w:tcPr>
          <w:p w14:paraId="54E1BEA6"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sz w:val="20"/>
                <w:szCs w:val="22"/>
                <w:lang w:val="en-GB" w:eastAsia="ja-JP"/>
              </w:rPr>
              <w:t>Marginal strips or plots with early-seeding plants that retain openness from mid-April to July, to allow birds to access the seeds, ideally situated within 300m of suitable nesting habitat.</w:t>
            </w:r>
          </w:p>
        </w:tc>
        <w:tc>
          <w:tcPr>
            <w:tcW w:w="1843" w:type="dxa"/>
          </w:tcPr>
          <w:p w14:paraId="735BD20C"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2-3 ha</w:t>
            </w:r>
          </w:p>
        </w:tc>
        <w:tc>
          <w:tcPr>
            <w:tcW w:w="3572" w:type="dxa"/>
          </w:tcPr>
          <w:p w14:paraId="24961E3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Ideally, a combination of:</w:t>
            </w:r>
          </w:p>
          <w:p w14:paraId="2E1196DF"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AB1 Nectar Flower Mix with SP9 Threatened Species Supplement.</w:t>
            </w:r>
          </w:p>
          <w:p w14:paraId="73D5A4A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AB11 Cultivated Areas for Arable Plants.</w:t>
            </w:r>
          </w:p>
        </w:tc>
      </w:tr>
    </w:tbl>
    <w:p w14:paraId="2352CA2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A22F804"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Sown plant mixes</w:t>
      </w:r>
    </w:p>
    <w:p w14:paraId="6A9178D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9D66DBB" w14:textId="5534ED9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 tailored management option has been devised by an RSPB/Natural England project aimed at providing optimal foraging conditions for </w:t>
      </w:r>
      <w:r w:rsidR="00085172">
        <w:rPr>
          <w:rFonts w:eastAsia="MS Mincho"/>
          <w:sz w:val="20"/>
          <w:szCs w:val="22"/>
          <w:lang w:val="en-GB" w:eastAsia="ja-JP"/>
        </w:rPr>
        <w:t>T</w:t>
      </w:r>
      <w:r w:rsidRPr="00C96521">
        <w:rPr>
          <w:rFonts w:eastAsia="MS Mincho"/>
          <w:sz w:val="20"/>
          <w:szCs w:val="22"/>
          <w:lang w:val="en-GB" w:eastAsia="ja-JP"/>
        </w:rPr>
        <w:t>urtle</w:t>
      </w:r>
      <w:r w:rsidR="00085172">
        <w:rPr>
          <w:rFonts w:eastAsia="MS Mincho"/>
          <w:sz w:val="20"/>
          <w:szCs w:val="22"/>
          <w:lang w:val="en-GB" w:eastAsia="ja-JP"/>
        </w:rPr>
        <w:t xml:space="preserve"> D</w:t>
      </w:r>
      <w:r w:rsidRPr="00C96521">
        <w:rPr>
          <w:rFonts w:eastAsia="MS Mincho"/>
          <w:sz w:val="20"/>
          <w:szCs w:val="22"/>
          <w:lang w:val="en-GB" w:eastAsia="ja-JP"/>
        </w:rPr>
        <w:t xml:space="preserve">oves: early-seeding plants known to be important in the diet within a sparse sward that enables the birds to have access to the seeds on the ground. Two hectares of the plant mix was sown on each of eight sites (six of which ran concurrently) to test the suitability of seed production and access over two-year periods. The sown mix was based on plant species known to be present in turtle-dove diet historically, and was designed to deliver a phenology of different seeds across most the breeding season from May until September. The research trials found that the sown plots provided plentiful seed, but that ground became too overgrown by mid-summer (especially in the second year) to allow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Doves</w:t>
      </w:r>
      <w:r w:rsidRPr="00C96521">
        <w:rPr>
          <w:rFonts w:eastAsia="MS Mincho"/>
          <w:sz w:val="20"/>
          <w:szCs w:val="22"/>
          <w:lang w:val="en-GB" w:eastAsia="ja-JP"/>
        </w:rPr>
        <w:t xml:space="preserve">access (Dunn </w:t>
      </w:r>
      <w:r w:rsidRPr="00C96521">
        <w:rPr>
          <w:rFonts w:eastAsia="MS Mincho"/>
          <w:i/>
          <w:sz w:val="20"/>
          <w:szCs w:val="22"/>
          <w:lang w:val="en-GB" w:eastAsia="ja-JP"/>
        </w:rPr>
        <w:t>et al</w:t>
      </w:r>
      <w:r w:rsidRPr="00C96521">
        <w:rPr>
          <w:rFonts w:eastAsia="MS Mincho"/>
          <w:sz w:val="20"/>
          <w:szCs w:val="22"/>
          <w:lang w:val="en-GB" w:eastAsia="ja-JP"/>
        </w:rPr>
        <w:t xml:space="preserve"> 2015). Further management was included to keep the sown mix more open, and has been adopted in the Countryside Stewardship option.</w:t>
      </w:r>
    </w:p>
    <w:p w14:paraId="623C88A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7537A2F" w14:textId="5B7E086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Sown seed mixes for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Doves</w:t>
      </w:r>
      <w:r w:rsidRPr="00C96521">
        <w:rPr>
          <w:rFonts w:eastAsia="MS Mincho"/>
          <w:sz w:val="20"/>
          <w:szCs w:val="22"/>
          <w:lang w:val="en-GB" w:eastAsia="ja-JP"/>
        </w:rPr>
        <w:t xml:space="preserve">in Countryside Stewardship are delivered by a modified version of AB1 Nectar Flower Mix, with the additional costs associated with establishing and managing a modified seed mix specifically for turtle-doves met by the payment of a SP9 Threatened Species Supplement, an additional £120/ha per annum. To tailor this option for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Doves</w:t>
      </w:r>
      <w:r w:rsidRPr="00C96521">
        <w:rPr>
          <w:rFonts w:eastAsia="MS Mincho"/>
          <w:sz w:val="20"/>
          <w:szCs w:val="22"/>
          <w:lang w:val="en-GB" w:eastAsia="ja-JP"/>
        </w:rPr>
        <w:t>, specific management must be applied to the AB1 Nectar Flower Mix:</w:t>
      </w:r>
    </w:p>
    <w:p w14:paraId="68833F2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E1AB275" w14:textId="0CF37AF9" w:rsidR="00C96521" w:rsidRPr="00C96521" w:rsidRDefault="00C96521" w:rsidP="00C96521">
      <w:pPr>
        <w:widowControl/>
        <w:numPr>
          <w:ilvl w:val="0"/>
          <w:numId w:val="44"/>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establish a seed mixture of 25</w:t>
      </w:r>
      <w:r w:rsidR="00085172">
        <w:rPr>
          <w:rFonts w:eastAsia="MS Mincho"/>
          <w:sz w:val="20"/>
          <w:szCs w:val="22"/>
          <w:lang w:val="en-GB" w:eastAsia="ja-JP"/>
        </w:rPr>
        <w:t xml:space="preserve"> per cent</w:t>
      </w:r>
      <w:r w:rsidRPr="00C96521">
        <w:rPr>
          <w:rFonts w:eastAsia="MS Mincho"/>
          <w:sz w:val="20"/>
          <w:szCs w:val="22"/>
          <w:lang w:val="en-GB" w:eastAsia="ja-JP"/>
        </w:rPr>
        <w:t xml:space="preserve"> (by weight) </w:t>
      </w:r>
      <w:r w:rsidRPr="00C96521">
        <w:rPr>
          <w:rFonts w:eastAsia="MS Mincho"/>
          <w:i/>
          <w:sz w:val="20"/>
          <w:szCs w:val="22"/>
          <w:lang w:val="en-GB" w:eastAsia="ja-JP"/>
        </w:rPr>
        <w:t>Vicia sativa</w:t>
      </w:r>
      <w:r w:rsidRPr="00C96521">
        <w:rPr>
          <w:rFonts w:eastAsia="MS Mincho"/>
          <w:sz w:val="20"/>
          <w:szCs w:val="22"/>
          <w:lang w:val="en-GB" w:eastAsia="ja-JP"/>
        </w:rPr>
        <w:t xml:space="preserve"> (variety “early English”), 20</w:t>
      </w:r>
      <w:r w:rsidR="00085172">
        <w:rPr>
          <w:rFonts w:eastAsia="MS Mincho"/>
          <w:sz w:val="20"/>
          <w:szCs w:val="22"/>
          <w:lang w:val="en-GB" w:eastAsia="ja-JP"/>
        </w:rPr>
        <w:t xml:space="preserve"> per cent</w:t>
      </w:r>
      <w:r w:rsidRPr="00C96521">
        <w:rPr>
          <w:rFonts w:eastAsia="MS Mincho"/>
          <w:sz w:val="20"/>
          <w:szCs w:val="22"/>
          <w:lang w:val="en-GB" w:eastAsia="ja-JP"/>
        </w:rPr>
        <w:t xml:space="preserve"> </w:t>
      </w:r>
      <w:r w:rsidRPr="00C96521">
        <w:rPr>
          <w:rFonts w:eastAsia="MS Mincho"/>
          <w:i/>
          <w:sz w:val="20"/>
          <w:szCs w:val="22"/>
          <w:lang w:val="en-GB" w:eastAsia="ja-JP"/>
        </w:rPr>
        <w:t>Lotus corniculatus</w:t>
      </w:r>
      <w:r w:rsidRPr="00C96521">
        <w:rPr>
          <w:rFonts w:eastAsia="MS Mincho"/>
          <w:sz w:val="20"/>
          <w:szCs w:val="22"/>
          <w:lang w:val="en-GB" w:eastAsia="ja-JP"/>
        </w:rPr>
        <w:t>, 20</w:t>
      </w:r>
      <w:r w:rsidR="00085172">
        <w:rPr>
          <w:rFonts w:eastAsia="MS Mincho"/>
          <w:sz w:val="20"/>
          <w:szCs w:val="22"/>
          <w:lang w:val="en-GB" w:eastAsia="ja-JP"/>
        </w:rPr>
        <w:t xml:space="preserve"> per cent</w:t>
      </w:r>
      <w:r w:rsidRPr="00C96521">
        <w:rPr>
          <w:rFonts w:eastAsia="MS Mincho"/>
          <w:sz w:val="20"/>
          <w:szCs w:val="22"/>
          <w:lang w:val="en-GB" w:eastAsia="ja-JP"/>
        </w:rPr>
        <w:t xml:space="preserve"> </w:t>
      </w:r>
      <w:r w:rsidRPr="00C96521">
        <w:rPr>
          <w:rFonts w:eastAsia="MS Mincho"/>
          <w:i/>
          <w:sz w:val="20"/>
          <w:szCs w:val="22"/>
          <w:lang w:val="en-GB" w:eastAsia="ja-JP"/>
        </w:rPr>
        <w:t>Trifolium repens</w:t>
      </w:r>
      <w:r w:rsidRPr="00C96521">
        <w:rPr>
          <w:rFonts w:eastAsia="MS Mincho"/>
          <w:sz w:val="20"/>
          <w:szCs w:val="22"/>
          <w:lang w:val="en-GB" w:eastAsia="ja-JP"/>
        </w:rPr>
        <w:t>, 20</w:t>
      </w:r>
      <w:r w:rsidR="00085172">
        <w:rPr>
          <w:rFonts w:eastAsia="MS Mincho"/>
          <w:sz w:val="20"/>
          <w:szCs w:val="22"/>
          <w:lang w:val="en-GB" w:eastAsia="ja-JP"/>
        </w:rPr>
        <w:t xml:space="preserve"> per cent</w:t>
      </w:r>
      <w:r w:rsidRPr="00C96521">
        <w:rPr>
          <w:rFonts w:eastAsia="MS Mincho"/>
          <w:sz w:val="20"/>
          <w:szCs w:val="22"/>
          <w:lang w:val="en-GB" w:eastAsia="ja-JP"/>
        </w:rPr>
        <w:t xml:space="preserve"> </w:t>
      </w:r>
      <w:r w:rsidRPr="00C96521">
        <w:rPr>
          <w:rFonts w:eastAsia="MS Mincho"/>
          <w:i/>
          <w:sz w:val="20"/>
          <w:szCs w:val="22"/>
          <w:lang w:val="en-GB" w:eastAsia="ja-JP"/>
        </w:rPr>
        <w:t>Medicago lupulina</w:t>
      </w:r>
      <w:r w:rsidRPr="00C96521">
        <w:rPr>
          <w:rFonts w:eastAsia="MS Mincho"/>
          <w:sz w:val="20"/>
          <w:szCs w:val="22"/>
          <w:lang w:val="en-GB" w:eastAsia="ja-JP"/>
        </w:rPr>
        <w:t>, 10</w:t>
      </w:r>
      <w:r w:rsidR="00085172">
        <w:rPr>
          <w:rFonts w:eastAsia="MS Mincho"/>
          <w:sz w:val="20"/>
          <w:szCs w:val="22"/>
          <w:lang w:val="en-GB" w:eastAsia="ja-JP"/>
        </w:rPr>
        <w:t xml:space="preserve"> per cent</w:t>
      </w:r>
      <w:r w:rsidRPr="00C96521">
        <w:rPr>
          <w:rFonts w:eastAsia="MS Mincho"/>
          <w:sz w:val="20"/>
          <w:szCs w:val="22"/>
          <w:lang w:val="en-GB" w:eastAsia="ja-JP"/>
        </w:rPr>
        <w:t xml:space="preserve"> </w:t>
      </w:r>
      <w:r w:rsidRPr="00C96521">
        <w:rPr>
          <w:rFonts w:eastAsia="MS Mincho"/>
          <w:i/>
          <w:sz w:val="20"/>
          <w:szCs w:val="22"/>
          <w:lang w:val="en-GB" w:eastAsia="ja-JP"/>
        </w:rPr>
        <w:t>Trifolium pratense</w:t>
      </w:r>
      <w:r w:rsidRPr="00C96521">
        <w:rPr>
          <w:rFonts w:eastAsia="MS Mincho"/>
          <w:sz w:val="20"/>
          <w:szCs w:val="22"/>
          <w:lang w:val="en-GB" w:eastAsia="ja-JP"/>
        </w:rPr>
        <w:t xml:space="preserve"> and 5</w:t>
      </w:r>
      <w:r w:rsidR="00085172">
        <w:rPr>
          <w:rFonts w:eastAsia="MS Mincho"/>
          <w:sz w:val="20"/>
          <w:szCs w:val="22"/>
          <w:lang w:val="en-GB" w:eastAsia="ja-JP"/>
        </w:rPr>
        <w:t xml:space="preserve"> per cent</w:t>
      </w:r>
      <w:r w:rsidRPr="00C96521">
        <w:rPr>
          <w:rFonts w:eastAsia="MS Mincho"/>
          <w:sz w:val="20"/>
          <w:szCs w:val="22"/>
          <w:lang w:val="en-GB" w:eastAsia="ja-JP"/>
        </w:rPr>
        <w:t xml:space="preserve"> </w:t>
      </w:r>
      <w:r w:rsidRPr="00C96521">
        <w:rPr>
          <w:rFonts w:eastAsia="MS Mincho"/>
          <w:i/>
          <w:sz w:val="20"/>
          <w:szCs w:val="22"/>
          <w:lang w:val="en-GB" w:eastAsia="ja-JP"/>
        </w:rPr>
        <w:t>Fumaria officinalis</w:t>
      </w:r>
      <w:r w:rsidRPr="00C96521">
        <w:rPr>
          <w:rFonts w:eastAsia="MS Mincho"/>
          <w:sz w:val="20"/>
          <w:szCs w:val="22"/>
          <w:lang w:val="en-GB" w:eastAsia="ja-JP"/>
        </w:rPr>
        <w:t xml:space="preserve"> at a seed rate of 10–15 kg/ha;</w:t>
      </w:r>
    </w:p>
    <w:p w14:paraId="313CEC93" w14:textId="4F85365E" w:rsidR="00C96521" w:rsidRPr="00C96521" w:rsidRDefault="00C96521" w:rsidP="00C96521">
      <w:pPr>
        <w:widowControl/>
        <w:numPr>
          <w:ilvl w:val="0"/>
          <w:numId w:val="44"/>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establish in blocks and/or strips between 1 August and 15 October;</w:t>
      </w:r>
    </w:p>
    <w:p w14:paraId="094C947A" w14:textId="4608A548" w:rsidR="00C96521" w:rsidRPr="00C96521" w:rsidRDefault="00C96521" w:rsidP="00C96521">
      <w:pPr>
        <w:widowControl/>
        <w:numPr>
          <w:ilvl w:val="0"/>
          <w:numId w:val="44"/>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rotationally cut 50</w:t>
      </w:r>
      <w:r w:rsidR="00085172">
        <w:rPr>
          <w:rFonts w:eastAsia="MS Mincho"/>
          <w:sz w:val="20"/>
          <w:szCs w:val="22"/>
          <w:lang w:val="en-GB" w:eastAsia="ja-JP"/>
        </w:rPr>
        <w:t xml:space="preserve"> per cent</w:t>
      </w:r>
      <w:r w:rsidRPr="00C96521">
        <w:rPr>
          <w:rFonts w:eastAsia="MS Mincho"/>
          <w:sz w:val="20"/>
          <w:szCs w:val="22"/>
          <w:lang w:val="en-GB" w:eastAsia="ja-JP"/>
        </w:rPr>
        <w:t xml:space="preserve"> of the plot area each year between 15 June and 7 July; do not cut the same area in successive years;</w:t>
      </w:r>
    </w:p>
    <w:p w14:paraId="59E8D453" w14:textId="2C812263" w:rsidR="00C96521" w:rsidRPr="00C96521" w:rsidRDefault="00C96521" w:rsidP="00C96521">
      <w:pPr>
        <w:widowControl/>
        <w:numPr>
          <w:ilvl w:val="0"/>
          <w:numId w:val="44"/>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cut the whole area between 1 September and 30 September, removing cuttings to avoid patches of dead material developing;</w:t>
      </w:r>
    </w:p>
    <w:p w14:paraId="54266358" w14:textId="77777777" w:rsidR="00C96521" w:rsidRPr="00C96521" w:rsidRDefault="00C96521" w:rsidP="00C96521">
      <w:pPr>
        <w:widowControl/>
        <w:numPr>
          <w:ilvl w:val="0"/>
          <w:numId w:val="44"/>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mixes may need to be re-sown every two years.</w:t>
      </w:r>
    </w:p>
    <w:p w14:paraId="5FBE161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A623225" w14:textId="6F85219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Experience from the RSPB/Natural England research project suggests that undertaking these additional management prescriptions are vital to achieve successful establishment and maintenance of suitable conditions for foraging birds during the lifetime of the Countryside Stewardship Agri-environment Agreement. Each plot has to maintain seed production through the season as well as maintain an open and accessible structure with a minimum of 30-50</w:t>
      </w:r>
      <w:r w:rsidR="004D5651">
        <w:rPr>
          <w:rFonts w:eastAsia="MS Mincho"/>
          <w:sz w:val="20"/>
          <w:szCs w:val="22"/>
          <w:lang w:val="en-GB" w:eastAsia="ja-JP"/>
        </w:rPr>
        <w:t xml:space="preserve"> per cent</w:t>
      </w:r>
      <w:r w:rsidR="004D5651" w:rsidRPr="00C96521">
        <w:rPr>
          <w:rFonts w:eastAsia="MS Mincho"/>
          <w:sz w:val="20"/>
          <w:szCs w:val="22"/>
          <w:lang w:val="en-GB" w:eastAsia="ja-JP"/>
        </w:rPr>
        <w:t xml:space="preserve"> </w:t>
      </w:r>
      <w:r w:rsidRPr="00C96521">
        <w:rPr>
          <w:rFonts w:eastAsia="MS Mincho"/>
          <w:sz w:val="20"/>
          <w:szCs w:val="22"/>
          <w:lang w:val="en-GB" w:eastAsia="ja-JP"/>
        </w:rPr>
        <w:t xml:space="preserve">bare ground (Figure 17), which can be a difficult balance to achieve. This is very different from the desired structure of a standard nectar mix plot for pollinating insects. Visiting the plots regularly through the season (and especially in early spring) to determine whether both seed and bare/sparsely vegetated ground are present is highly desirable. </w:t>
      </w:r>
    </w:p>
    <w:p w14:paraId="442A7B59"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2CCAF13B"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drawing>
          <wp:inline distT="0" distB="0" distL="0" distR="0" wp14:anchorId="1506EC90" wp14:editId="45ADFFAB">
            <wp:extent cx="5724525" cy="3800475"/>
            <wp:effectExtent l="19050" t="0" r="9525" b="0"/>
            <wp:docPr id="11" name="Picture 3" descr="TD mix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 mix photo 1"/>
                    <pic:cNvPicPr>
                      <a:picLocks noChangeAspect="1" noChangeArrowheads="1"/>
                    </pic:cNvPicPr>
                  </pic:nvPicPr>
                  <pic:blipFill>
                    <a:blip r:embed="rId53" cstate="print"/>
                    <a:srcRect/>
                    <a:stretch>
                      <a:fillRect/>
                    </a:stretch>
                  </pic:blipFill>
                  <pic:spPr bwMode="auto">
                    <a:xfrm>
                      <a:off x="0" y="0"/>
                      <a:ext cx="5724525" cy="3800475"/>
                    </a:xfrm>
                    <a:prstGeom prst="rect">
                      <a:avLst/>
                    </a:prstGeom>
                    <a:noFill/>
                    <a:ln w="9525">
                      <a:noFill/>
                      <a:miter lim="800000"/>
                      <a:headEnd/>
                      <a:tailEnd/>
                    </a:ln>
                  </pic:spPr>
                </pic:pic>
              </a:graphicData>
            </a:graphic>
          </wp:inline>
        </w:drawing>
      </w:r>
    </w:p>
    <w:p w14:paraId="00952D7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5FEF211"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Figure 17. A well-managed AB1 Nectar Flower Mix with SP9 Threatened Species Supplement, delivering turtle-dove foraging habitat, with open structure and large amounts of bare ground.</w:t>
      </w:r>
    </w:p>
    <w:p w14:paraId="5099785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AAA012A" w14:textId="4ACA3FE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lastRenderedPageBreak/>
        <w:t xml:space="preserve">There are indications from the evaluation of 20 Agri-environment Agreements with a pilot version of the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package that this composition of seed mix may still not be optimal despite some amendments to the management, as 69</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evaluated plots were deemed to contain insufficient suitable seed or access for turtle-doves (Walker and Morris 2016). In part, this is likely to have been due to the tall, dense structure of modern leguminous cultivars (designed primarily to maximise forage delivery for livestock) coupled with the highly fertile nature of arable fields, which routinely received high input of inorganic nitrogen fertiliser when commercially cropped. The RSPB plans to investigate alternative sown seed mixes further, for example with lower sowing rates/reduced clover content / revised species components, but such evaluations will not take place before 2018 at the earliest. However, Walker and Morris (2016) did find a marginally significant tendency for turtle-dove abundance to increase with increasing area of AB1 Nectar Flower Mix with SP9 Threatened Species Supplement on the 20 turtle-dove package pilot sites.</w:t>
      </w:r>
    </w:p>
    <w:p w14:paraId="56FB692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5FD95D3" w14:textId="03357C4A"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Care needs to be taken when deploying plots of sown seed mixes on holdings where there is evidence of or a high likelihood that rare arable plants and/or a high quality (diverse) arable plant assemblage is present. In these situations, locating cultivated plots on the sensitive parts of the holding or on field margins (the first 12</w:t>
      </w:r>
      <w:r w:rsidR="004D5651">
        <w:rPr>
          <w:rFonts w:eastAsia="MS Mincho"/>
          <w:sz w:val="20"/>
          <w:szCs w:val="22"/>
          <w:lang w:val="en-GB" w:eastAsia="ja-JP"/>
        </w:rPr>
        <w:t xml:space="preserve"> </w:t>
      </w:r>
      <w:r w:rsidRPr="00C96521">
        <w:rPr>
          <w:rFonts w:eastAsia="MS Mincho"/>
          <w:sz w:val="20"/>
          <w:szCs w:val="22"/>
          <w:lang w:val="en-GB" w:eastAsia="ja-JP"/>
        </w:rPr>
        <w:t>m</w:t>
      </w:r>
      <w:r w:rsidR="004D5651">
        <w:rPr>
          <w:rFonts w:eastAsia="MS Mincho"/>
          <w:sz w:val="20"/>
          <w:szCs w:val="22"/>
          <w:lang w:val="en-GB" w:eastAsia="ja-JP"/>
        </w:rPr>
        <w:t>etres</w:t>
      </w:r>
      <w:r w:rsidRPr="00C96521">
        <w:rPr>
          <w:rFonts w:eastAsia="MS Mincho"/>
          <w:sz w:val="20"/>
          <w:szCs w:val="22"/>
          <w:lang w:val="en-GB" w:eastAsia="ja-JP"/>
        </w:rPr>
        <w:t xml:space="preserve"> from the field boundary), while employing sown plots elsewhere, may provide a better option. Furthermore, cultivated plots may provide a better option if there are already populations of </w:t>
      </w:r>
      <w:r w:rsidRPr="00C96521">
        <w:rPr>
          <w:rFonts w:eastAsia="MS Mincho"/>
          <w:i/>
          <w:sz w:val="20"/>
          <w:szCs w:val="22"/>
          <w:lang w:val="en-GB" w:eastAsia="ja-JP"/>
        </w:rPr>
        <w:t>Fumaria officinalis</w:t>
      </w:r>
      <w:r w:rsidRPr="00C96521">
        <w:rPr>
          <w:rFonts w:eastAsia="MS Mincho"/>
          <w:sz w:val="20"/>
          <w:szCs w:val="22"/>
          <w:lang w:val="en-GB" w:eastAsia="ja-JP"/>
        </w:rPr>
        <w:t xml:space="preserve"> or other species of small-seeded arable plants present on the holding. Plots should be located on level ground and not adjacent to watercourses, to minimise the risks of soil loss and run-off.</w:t>
      </w:r>
    </w:p>
    <w:p w14:paraId="6C6969E9" w14:textId="77777777" w:rsidR="00C96521" w:rsidRPr="00C96521" w:rsidRDefault="00C96521" w:rsidP="00C96521">
      <w:pPr>
        <w:widowControl/>
        <w:autoSpaceDE/>
        <w:autoSpaceDN/>
        <w:adjustRightInd/>
        <w:spacing w:line="276" w:lineRule="auto"/>
        <w:rPr>
          <w:rFonts w:eastAsia="MS Mincho"/>
          <w:b/>
          <w:i/>
          <w:sz w:val="20"/>
          <w:szCs w:val="22"/>
          <w:lang w:val="en-GB" w:eastAsia="ja-JP"/>
        </w:rPr>
      </w:pPr>
    </w:p>
    <w:p w14:paraId="2310FA92"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Cultivated areas</w:t>
      </w:r>
    </w:p>
    <w:p w14:paraId="5D696E4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0B99A2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No study has specifically evaluated the benefit of cultivated, uncropped areas in providing a source of naturally-regenerating seed for turtle-doves. However, the Brown and Aebischer (2003a) study of foraging locations from radio-tagged birds, plus anecdotal casual observations, suggest that if managed in the correct way and in the presence of an abundant and diverse seed bank (most likely on lighter sandy or chalky soils or in areas with a shorter, less-intensive history of crop production), cultivated, uncropped areas can provide abundant, accessible sources of seed from arable species known to be present in turtle-dove diet. </w:t>
      </w:r>
    </w:p>
    <w:p w14:paraId="5B5C832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71FF145" w14:textId="459658B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England, Agri-environment Schemes have long contained management options that provide for the annual cultivation of uncropped areas for arable plant communities, or ground-nesting birds such as Eurasian </w:t>
      </w:r>
      <w:r w:rsidR="004D5651">
        <w:rPr>
          <w:rFonts w:eastAsia="MS Mincho"/>
          <w:sz w:val="20"/>
          <w:szCs w:val="22"/>
          <w:lang w:val="en-GB" w:eastAsia="ja-JP"/>
        </w:rPr>
        <w:t>S</w:t>
      </w:r>
      <w:r w:rsidRPr="00C96521">
        <w:rPr>
          <w:rFonts w:eastAsia="MS Mincho"/>
          <w:sz w:val="20"/>
          <w:szCs w:val="22"/>
          <w:lang w:val="en-GB" w:eastAsia="ja-JP"/>
        </w:rPr>
        <w:t xml:space="preserve">tone </w:t>
      </w:r>
      <w:r w:rsidR="004D5651">
        <w:rPr>
          <w:rFonts w:eastAsia="MS Mincho"/>
          <w:sz w:val="20"/>
          <w:szCs w:val="22"/>
          <w:lang w:val="en-GB" w:eastAsia="ja-JP"/>
        </w:rPr>
        <w:t>C</w:t>
      </w:r>
      <w:r w:rsidRPr="00C96521">
        <w:rPr>
          <w:rFonts w:eastAsia="MS Mincho"/>
          <w:sz w:val="20"/>
          <w:szCs w:val="22"/>
          <w:lang w:val="en-GB" w:eastAsia="ja-JP"/>
        </w:rPr>
        <w:t>urlew (</w:t>
      </w:r>
      <w:r w:rsidRPr="00C96521">
        <w:rPr>
          <w:rFonts w:eastAsia="MS Mincho"/>
          <w:i/>
          <w:sz w:val="20"/>
          <w:szCs w:val="22"/>
          <w:lang w:val="en-GB" w:eastAsia="ja-JP"/>
        </w:rPr>
        <w:t>Burhinus oedicnemus</w:t>
      </w:r>
      <w:r w:rsidRPr="00C96521">
        <w:rPr>
          <w:rFonts w:eastAsia="MS Mincho"/>
          <w:sz w:val="20"/>
          <w:szCs w:val="22"/>
          <w:lang w:val="en-GB" w:eastAsia="ja-JP"/>
        </w:rPr>
        <w:t xml:space="preserve">) and </w:t>
      </w:r>
      <w:r w:rsidR="004D5651">
        <w:rPr>
          <w:rFonts w:eastAsia="MS Mincho"/>
          <w:sz w:val="20"/>
          <w:szCs w:val="22"/>
          <w:lang w:val="en-GB" w:eastAsia="ja-JP"/>
        </w:rPr>
        <w:t>N</w:t>
      </w:r>
      <w:r w:rsidRPr="00C96521">
        <w:rPr>
          <w:rFonts w:eastAsia="MS Mincho"/>
          <w:sz w:val="20"/>
          <w:szCs w:val="22"/>
          <w:lang w:val="en-GB" w:eastAsia="ja-JP"/>
        </w:rPr>
        <w:t xml:space="preserve">orthern </w:t>
      </w:r>
      <w:r w:rsidR="004D5651">
        <w:rPr>
          <w:rFonts w:eastAsia="MS Mincho"/>
          <w:sz w:val="20"/>
          <w:szCs w:val="22"/>
          <w:lang w:val="en-GB" w:eastAsia="ja-JP"/>
        </w:rPr>
        <w:t>L</w:t>
      </w:r>
      <w:r w:rsidRPr="00C96521">
        <w:rPr>
          <w:rFonts w:eastAsia="MS Mincho"/>
          <w:sz w:val="20"/>
          <w:szCs w:val="22"/>
          <w:lang w:val="en-GB" w:eastAsia="ja-JP"/>
        </w:rPr>
        <w:t>apwing (</w:t>
      </w:r>
      <w:r w:rsidRPr="00C96521">
        <w:rPr>
          <w:rFonts w:eastAsia="MS Mincho"/>
          <w:i/>
          <w:sz w:val="20"/>
          <w:szCs w:val="22"/>
          <w:lang w:val="en-GB" w:eastAsia="ja-JP"/>
        </w:rPr>
        <w:t>Vanellus vanellus</w:t>
      </w:r>
      <w:r w:rsidRPr="00C96521">
        <w:rPr>
          <w:rFonts w:eastAsia="MS Mincho"/>
          <w:sz w:val="20"/>
          <w:szCs w:val="22"/>
          <w:lang w:val="en-GB" w:eastAsia="ja-JP"/>
        </w:rPr>
        <w:t xml:space="preserve">). In Countryside Stewardship, option AB11 provides for the creation of cultivated but uncropped areas for arable plants. Typically, these are field margins, but can also be plots in the field centre, and they are easiest to manage and provide the greatest range of seeds suitable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w:t>
      </w:r>
      <w:r w:rsidRPr="00C96521">
        <w:rPr>
          <w:rFonts w:eastAsia="MS Mincho"/>
          <w:sz w:val="20"/>
          <w:szCs w:val="22"/>
          <w:lang w:val="en-GB" w:eastAsia="ja-JP"/>
        </w:rPr>
        <w:t xml:space="preserve">on sites with lighter soils, which tend to have the most species-rich seed banks and lesser populations of difficult to control weeds not commonly found in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 xml:space="preserve">diet, such as </w:t>
      </w:r>
      <w:r w:rsidRPr="00C96521">
        <w:rPr>
          <w:rFonts w:eastAsia="MS Mincho"/>
          <w:i/>
          <w:sz w:val="20"/>
          <w:szCs w:val="22"/>
          <w:lang w:val="en-GB" w:eastAsia="ja-JP"/>
        </w:rPr>
        <w:t>Alopecurus myosuroides</w:t>
      </w:r>
      <w:r w:rsidRPr="00C96521">
        <w:rPr>
          <w:rFonts w:eastAsia="MS Mincho"/>
          <w:sz w:val="20"/>
          <w:szCs w:val="22"/>
          <w:lang w:val="en-GB" w:eastAsia="ja-JP"/>
        </w:rPr>
        <w:t xml:space="preserve">. This option works best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w:t>
      </w:r>
      <w:r w:rsidRPr="00C96521">
        <w:rPr>
          <w:rFonts w:eastAsia="MS Mincho"/>
          <w:sz w:val="20"/>
          <w:szCs w:val="22"/>
          <w:lang w:val="en-GB" w:eastAsia="ja-JP"/>
        </w:rPr>
        <w:t xml:space="preserve">when autumn-cultivated, to allow time for regenerating plants to set seed, and placed in areas with lower soil fertility and with as few pernicious weeds as possible. On heavy soils, a two-stage cultivation programme, incorporating an autumn cultivation followed by an application of a non-selective herbicide prior to a secondary cultivation completed in early spring, can deliver weed-rich habitat with minimised pernicious weeds. Where appropriate, combining both spring and autumn-cultivated AB11 plots on same the agreement/field and, ideally, in combination with a AB1/SP9 plot, will increase the diversity and resilience of seed food provided to the turtle-doves. The desired outcome is a plot containing arable flora such as </w:t>
      </w:r>
      <w:r w:rsidRPr="00C96521">
        <w:rPr>
          <w:rFonts w:eastAsia="MS Mincho"/>
          <w:i/>
          <w:sz w:val="20"/>
          <w:szCs w:val="22"/>
          <w:lang w:val="en-GB" w:eastAsia="ja-JP"/>
        </w:rPr>
        <w:t>Fumaria officinalis</w:t>
      </w:r>
      <w:r w:rsidRPr="00C96521">
        <w:rPr>
          <w:rFonts w:eastAsia="MS Mincho"/>
          <w:sz w:val="20"/>
          <w:szCs w:val="22"/>
          <w:lang w:val="en-GB" w:eastAsia="ja-JP"/>
        </w:rPr>
        <w:t xml:space="preserve">, </w:t>
      </w:r>
      <w:r w:rsidRPr="00C96521">
        <w:rPr>
          <w:rFonts w:eastAsia="MS Mincho"/>
          <w:i/>
          <w:sz w:val="20"/>
          <w:szCs w:val="22"/>
          <w:lang w:val="en-GB" w:eastAsia="ja-JP"/>
        </w:rPr>
        <w:t>Stellaria media</w:t>
      </w:r>
      <w:r w:rsidRPr="00C96521">
        <w:rPr>
          <w:rFonts w:eastAsia="MS Mincho"/>
          <w:sz w:val="20"/>
          <w:szCs w:val="22"/>
          <w:lang w:val="en-GB" w:eastAsia="ja-JP"/>
        </w:rPr>
        <w:t xml:space="preserve"> and </w:t>
      </w:r>
      <w:r w:rsidRPr="00C96521">
        <w:rPr>
          <w:rFonts w:eastAsia="MS Mincho"/>
          <w:i/>
          <w:sz w:val="20"/>
          <w:szCs w:val="22"/>
          <w:lang w:val="en-GB" w:eastAsia="ja-JP"/>
        </w:rPr>
        <w:t>Anagallis arvensis</w:t>
      </w:r>
      <w:r w:rsidRPr="00C96521">
        <w:rPr>
          <w:rFonts w:eastAsia="MS Mincho"/>
          <w:sz w:val="20"/>
          <w:szCs w:val="22"/>
          <w:lang w:val="en-GB" w:eastAsia="ja-JP"/>
        </w:rPr>
        <w:t xml:space="preserve"> with an open structure that allows foraging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w:t>
      </w:r>
      <w:r w:rsidRPr="00C96521">
        <w:rPr>
          <w:rFonts w:eastAsia="MS Mincho"/>
          <w:sz w:val="20"/>
          <w:szCs w:val="22"/>
          <w:lang w:val="en-GB" w:eastAsia="ja-JP"/>
        </w:rPr>
        <w:t>access to seeds on the ground (Figure X).</w:t>
      </w:r>
    </w:p>
    <w:p w14:paraId="6F779AD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A7BFB7A"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lastRenderedPageBreak/>
        <w:drawing>
          <wp:inline distT="0" distB="0" distL="0" distR="0" wp14:anchorId="3F36152B" wp14:editId="18D6E87E">
            <wp:extent cx="4567508" cy="2653145"/>
            <wp:effectExtent l="19050" t="0" r="4492" b="0"/>
            <wp:docPr id="17" name="Picture 7" descr="C:\Users\m290597\AppData\Local\Microsoft\Windows\Temporary Internet Files\Content.Outlook\C4UIA8LM\F3_3_block_vis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290597\AppData\Local\Microsoft\Windows\Temporary Internet Files\Content.Outlook\C4UIA8LM\F3_3_block_visit2.JPG"/>
                    <pic:cNvPicPr>
                      <a:picLocks noChangeAspect="1" noChangeArrowheads="1"/>
                    </pic:cNvPicPr>
                  </pic:nvPicPr>
                  <pic:blipFill>
                    <a:blip r:embed="rId54" cstate="print">
                      <a:extLst>
                        <a:ext uri="{28A0092B-C50C-407E-A947-70E740481C1C}">
                          <a14:useLocalDpi xmlns:a14="http://schemas.microsoft.com/office/drawing/2010/main" val="0"/>
                        </a:ext>
                      </a:extLst>
                    </a:blip>
                    <a:srcRect t="22607"/>
                    <a:stretch>
                      <a:fillRect/>
                    </a:stretch>
                  </pic:blipFill>
                  <pic:spPr bwMode="auto">
                    <a:xfrm>
                      <a:off x="0" y="0"/>
                      <a:ext cx="4567508" cy="2653145"/>
                    </a:xfrm>
                    <a:prstGeom prst="rect">
                      <a:avLst/>
                    </a:prstGeom>
                    <a:noFill/>
                    <a:ln>
                      <a:noFill/>
                    </a:ln>
                  </pic:spPr>
                </pic:pic>
              </a:graphicData>
            </a:graphic>
          </wp:inline>
        </w:drawing>
      </w:r>
    </w:p>
    <w:p w14:paraId="616B5B5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E9C51FA" w14:textId="292D8E38"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 xml:space="preserve">Figure 18. A well-managed uncropped AB11 plot delivering suitable foraging habitat for </w:t>
      </w:r>
      <w:r w:rsidR="004D5651">
        <w:rPr>
          <w:rFonts w:eastAsia="MS Mincho"/>
          <w:i/>
          <w:sz w:val="20"/>
          <w:szCs w:val="22"/>
          <w:lang w:val="en-GB" w:eastAsia="ja-JP"/>
        </w:rPr>
        <w:t>T</w:t>
      </w:r>
      <w:r w:rsidRPr="00C96521">
        <w:rPr>
          <w:rFonts w:eastAsia="MS Mincho"/>
          <w:i/>
          <w:sz w:val="20"/>
          <w:szCs w:val="22"/>
          <w:lang w:val="en-GB" w:eastAsia="ja-JP"/>
        </w:rPr>
        <w:t>urtle</w:t>
      </w:r>
      <w:r w:rsidR="004D5651">
        <w:rPr>
          <w:rFonts w:eastAsia="MS Mincho"/>
          <w:i/>
          <w:sz w:val="20"/>
          <w:szCs w:val="22"/>
          <w:lang w:val="en-GB" w:eastAsia="ja-JP"/>
        </w:rPr>
        <w:t xml:space="preserve"> D</w:t>
      </w:r>
      <w:r w:rsidRPr="00C96521">
        <w:rPr>
          <w:rFonts w:eastAsia="MS Mincho"/>
          <w:i/>
          <w:sz w:val="20"/>
          <w:szCs w:val="22"/>
          <w:lang w:val="en-GB" w:eastAsia="ja-JP"/>
        </w:rPr>
        <w:t>oves.</w:t>
      </w:r>
    </w:p>
    <w:p w14:paraId="7E01CC3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603750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If undesirable weeds such as black-grass </w:t>
      </w:r>
      <w:r w:rsidRPr="00C96521">
        <w:rPr>
          <w:rFonts w:eastAsia="MS Mincho"/>
          <w:i/>
          <w:sz w:val="20"/>
          <w:szCs w:val="22"/>
          <w:lang w:val="en-GB" w:eastAsia="ja-JP"/>
        </w:rPr>
        <w:t>Alopecurus myosuroides</w:t>
      </w:r>
      <w:r w:rsidRPr="00C96521">
        <w:rPr>
          <w:rFonts w:eastAsia="MS Mincho"/>
          <w:sz w:val="20"/>
          <w:szCs w:val="22"/>
          <w:lang w:val="en-GB" w:eastAsia="ja-JP"/>
        </w:rPr>
        <w:t xml:space="preserve"> start to build up, the timing and depth of cultivation can be changed to break the life cycle of the weeds, or the plot can be rotated around different edges of the same field. Alternatively, the following herbicide control options can be considered:</w:t>
      </w:r>
    </w:p>
    <w:p w14:paraId="40155A06" w14:textId="77777777" w:rsidR="004D5651" w:rsidRDefault="004D5651" w:rsidP="00C96521">
      <w:pPr>
        <w:widowControl/>
        <w:autoSpaceDE/>
        <w:autoSpaceDN/>
        <w:adjustRightInd/>
        <w:spacing w:line="276" w:lineRule="auto"/>
        <w:rPr>
          <w:rFonts w:eastAsia="MS Mincho"/>
          <w:sz w:val="20"/>
          <w:szCs w:val="22"/>
          <w:lang w:val="en-GB" w:eastAsia="ja-JP"/>
        </w:rPr>
      </w:pPr>
    </w:p>
    <w:p w14:paraId="6DAE5A4C" w14:textId="0115E596"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where rare arable plants are present but the perennial weed burden is impacting on the growth, the use of a non-selective herbicide in September will control the perennial species with minimal damage to the rare annual species, which will have largely seeded by the autumn;</w:t>
      </w:r>
    </w:p>
    <w:p w14:paraId="54CB08FF" w14:textId="6DB9AB4B"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where rare arable plants are not present, applying a non-selective herbicide to control grass weeds such as </w:t>
      </w:r>
      <w:r w:rsidRPr="00C96521">
        <w:rPr>
          <w:rFonts w:eastAsia="MS Mincho"/>
          <w:i/>
          <w:sz w:val="20"/>
          <w:szCs w:val="22"/>
          <w:lang w:val="en-GB" w:eastAsia="ja-JP"/>
        </w:rPr>
        <w:t>A. myosuroides</w:t>
      </w:r>
      <w:r w:rsidRPr="00C96521">
        <w:rPr>
          <w:rFonts w:eastAsia="MS Mincho"/>
          <w:sz w:val="20"/>
          <w:szCs w:val="22"/>
          <w:lang w:val="en-GB" w:eastAsia="ja-JP"/>
        </w:rPr>
        <w:t xml:space="preserve"> following an autumn cultivation and prior to a secondary cultivation pass can be considered to help maintain an acceptable level of weed control, without jeopardi</w:t>
      </w:r>
      <w:r w:rsidR="004D5651">
        <w:rPr>
          <w:rFonts w:eastAsia="MS Mincho"/>
          <w:sz w:val="20"/>
          <w:szCs w:val="22"/>
          <w:lang w:val="en-GB" w:eastAsia="ja-JP"/>
        </w:rPr>
        <w:t>z</w:t>
      </w:r>
      <w:r w:rsidRPr="00C96521">
        <w:rPr>
          <w:rFonts w:eastAsia="MS Mincho"/>
          <w:sz w:val="20"/>
          <w:szCs w:val="22"/>
          <w:lang w:val="en-GB" w:eastAsia="ja-JP"/>
        </w:rPr>
        <w:t>ing the delivery of the outcome of seed-rich, open foraging habitat for turtle-dove; this should only be carried out if there are high levels of undesirable weeds, adopting a three-stage approach: (1) cultivate the option area between 1 August and 1 November each year to stimulate a flush of autumn germinating weeds such as black-grass (up to two passes with primary and secondary cultivation implements can be completed); (2) spray off the resultant weed flush by 15 February using a non-selective herbicide; and (3) complete a final cultivation to achieve a firm, fine tilth by 15 March; this final cultivation is intended to generate a flush of spring germinating annual plants which are taken by many farmland birds; do not disturb fallow areas until 31 August.</w:t>
      </w:r>
    </w:p>
    <w:p w14:paraId="0C25145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058A81E3"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Implementing management of nesting and foraging habitats on a single site</w:t>
      </w:r>
    </w:p>
    <w:p w14:paraId="2DA595FE"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4477F16A" w14:textId="337E6FE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Agri-environment Schemes are the main mechanism for delivering the sympathetic management of farmland for </w:t>
      </w:r>
      <w:r w:rsidR="004D5651">
        <w:rPr>
          <w:rFonts w:eastAsia="MS Mincho"/>
          <w:sz w:val="20"/>
          <w:szCs w:val="22"/>
          <w:lang w:val="en-GB" w:eastAsia="ja-JP"/>
        </w:rPr>
        <w:t>T</w:t>
      </w:r>
      <w:r w:rsidRPr="00C96521">
        <w:rPr>
          <w:rFonts w:eastAsia="MS Mincho"/>
          <w:sz w:val="20"/>
          <w:szCs w:val="22"/>
          <w:lang w:val="en-GB" w:eastAsia="ja-JP"/>
        </w:rPr>
        <w:t>urtle</w:t>
      </w:r>
      <w:r w:rsidR="004D5651">
        <w:rPr>
          <w:rFonts w:eastAsia="MS Mincho"/>
          <w:sz w:val="20"/>
          <w:szCs w:val="22"/>
          <w:lang w:val="en-GB" w:eastAsia="ja-JP"/>
        </w:rPr>
        <w:t xml:space="preserve"> D</w:t>
      </w:r>
      <w:r w:rsidRPr="00C96521">
        <w:rPr>
          <w:rFonts w:eastAsia="MS Mincho"/>
          <w:sz w:val="20"/>
          <w:szCs w:val="22"/>
          <w:lang w:val="en-GB" w:eastAsia="ja-JP"/>
        </w:rPr>
        <w:t xml:space="preserve">oves in the UK. Previous Agri-environment Schemes have failed to halt declines at the regional or national levels, while evaluations of the Entry and Higher Levels of Environmental Stewardship in England detected no relationship between the presence or extent of agri-environment and trends in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 xml:space="preserve">abundance (Baker </w:t>
      </w:r>
      <w:r w:rsidRPr="00C96521">
        <w:rPr>
          <w:rFonts w:eastAsia="MS Mincho"/>
          <w:i/>
          <w:sz w:val="20"/>
          <w:szCs w:val="22"/>
          <w:lang w:val="en-GB" w:eastAsia="ja-JP"/>
        </w:rPr>
        <w:t>et al</w:t>
      </w:r>
      <w:r w:rsidRPr="00C96521">
        <w:rPr>
          <w:rFonts w:eastAsia="MS Mincho"/>
          <w:sz w:val="20"/>
          <w:szCs w:val="22"/>
          <w:lang w:val="en-GB" w:eastAsia="ja-JP"/>
        </w:rPr>
        <w:t xml:space="preserve"> 2012, Bright </w:t>
      </w:r>
      <w:r w:rsidRPr="00C96521">
        <w:rPr>
          <w:rFonts w:eastAsia="MS Mincho"/>
          <w:i/>
          <w:sz w:val="20"/>
          <w:szCs w:val="22"/>
          <w:lang w:val="en-GB" w:eastAsia="ja-JP"/>
        </w:rPr>
        <w:t>et al</w:t>
      </w:r>
      <w:r w:rsidRPr="00C96521">
        <w:rPr>
          <w:rFonts w:eastAsia="MS Mincho"/>
          <w:sz w:val="20"/>
          <w:szCs w:val="22"/>
          <w:lang w:val="en-GB" w:eastAsia="ja-JP"/>
        </w:rPr>
        <w:t xml:space="preserve"> 2015). At least in part, this may be due to the lack of suitable options (particularly for foraging habitat) in the schemes. In view of the ongoing, steep decline, a species recovery initiative </w:t>
      </w:r>
      <w:r w:rsidRPr="00C96521">
        <w:rPr>
          <w:rFonts w:eastAsia="MS Mincho"/>
          <w:i/>
          <w:sz w:val="20"/>
          <w:szCs w:val="22"/>
          <w:lang w:val="en-GB" w:eastAsia="ja-JP"/>
        </w:rPr>
        <w:t>Operation Turtle-dove</w:t>
      </w:r>
      <w:r w:rsidRPr="00C96521">
        <w:rPr>
          <w:rFonts w:eastAsia="MS Mincho"/>
          <w:sz w:val="20"/>
          <w:szCs w:val="22"/>
          <w:lang w:val="en-GB" w:eastAsia="ja-JP"/>
        </w:rPr>
        <w:t xml:space="preserve"> (</w:t>
      </w:r>
      <w:r w:rsidRPr="00C96521">
        <w:rPr>
          <w:rFonts w:eastAsia="MS Mincho" w:cs="Arial"/>
          <w:sz w:val="20"/>
          <w:szCs w:val="20"/>
          <w:lang w:val="en-GB" w:eastAsia="ja-JP"/>
        </w:rPr>
        <w:t>http://operationturtledove.org</w:t>
      </w:r>
      <w:r w:rsidRPr="00C96521">
        <w:rPr>
          <w:rFonts w:eastAsia="MS Mincho"/>
          <w:sz w:val="20"/>
          <w:szCs w:val="22"/>
          <w:lang w:val="en-GB" w:eastAsia="ja-JP"/>
        </w:rPr>
        <w:t xml:space="preserve">) was set up by RSPB, Conservation Grade, Pensthorpe Trust and Natural England to carry out a range of targeted actions, including promotion of turtle-dove-friendly land management to farmers through Agri-environment Schemes. </w:t>
      </w:r>
    </w:p>
    <w:p w14:paraId="4875359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394CF25" w14:textId="65BDA63F"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Forming the basis of effective land management was the need to develop a package of measures that provided all of the ecological requirements of the species during the breeding season on a single agreement (site) in sufficient quantity and in appropriate locations. Although adult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w:t>
      </w:r>
      <w:r w:rsidRPr="00C96521">
        <w:rPr>
          <w:rFonts w:eastAsia="MS Mincho"/>
          <w:sz w:val="20"/>
          <w:szCs w:val="22"/>
          <w:lang w:val="en-GB" w:eastAsia="ja-JP"/>
        </w:rPr>
        <w:t xml:space="preserve">can </w:t>
      </w:r>
      <w:r w:rsidRPr="00C96521">
        <w:rPr>
          <w:rFonts w:eastAsia="MS Mincho"/>
          <w:sz w:val="20"/>
          <w:szCs w:val="22"/>
          <w:lang w:val="en-GB" w:eastAsia="ja-JP"/>
        </w:rPr>
        <w:lastRenderedPageBreak/>
        <w:t xml:space="preserve">forage and move between nest sites over distances of several kilometres, this is likely to entail a high energetic cost. During the first three weeks post-fledging, juveniles spend more than half their time within </w:t>
      </w:r>
      <w:r w:rsidRPr="00C96521">
        <w:rPr>
          <w:rFonts w:ascii="Cambria Math" w:eastAsia="MS Mincho" w:hAnsi="Cambria Math"/>
          <w:sz w:val="20"/>
          <w:szCs w:val="22"/>
          <w:lang w:val="en-GB" w:eastAsia="ja-JP"/>
        </w:rPr>
        <w:t>∼</w:t>
      </w:r>
      <w:r w:rsidRPr="00C96521">
        <w:rPr>
          <w:rFonts w:eastAsia="MS Mincho"/>
          <w:sz w:val="20"/>
          <w:szCs w:val="22"/>
          <w:lang w:val="en-GB" w:eastAsia="ja-JP"/>
        </w:rPr>
        <w:t>20 m</w:t>
      </w:r>
      <w:r w:rsidR="004D5651">
        <w:rPr>
          <w:rFonts w:eastAsia="MS Mincho"/>
          <w:sz w:val="20"/>
          <w:szCs w:val="22"/>
          <w:lang w:val="en-GB" w:eastAsia="ja-JP"/>
        </w:rPr>
        <w:t>etres</w:t>
      </w:r>
      <w:r w:rsidRPr="00C96521">
        <w:rPr>
          <w:rFonts w:eastAsia="MS Mincho"/>
          <w:sz w:val="20"/>
          <w:szCs w:val="22"/>
          <w:lang w:val="en-GB" w:eastAsia="ja-JP"/>
        </w:rPr>
        <w:t xml:space="preserve"> of the nest site (with 95</w:t>
      </w:r>
      <w:r w:rsidR="004D5651">
        <w:rPr>
          <w:rFonts w:eastAsia="MS Mincho"/>
          <w:sz w:val="20"/>
          <w:szCs w:val="22"/>
          <w:lang w:val="en-GB" w:eastAsia="ja-JP"/>
        </w:rPr>
        <w:t xml:space="preserve"> per cent</w:t>
      </w:r>
      <w:r w:rsidR="004D5651" w:rsidRPr="00C96521">
        <w:rPr>
          <w:rFonts w:eastAsia="MS Mincho"/>
          <w:sz w:val="20"/>
          <w:szCs w:val="22"/>
          <w:lang w:val="en-GB" w:eastAsia="ja-JP"/>
        </w:rPr>
        <w:t xml:space="preserve"> </w:t>
      </w:r>
      <w:r w:rsidRPr="00C96521">
        <w:rPr>
          <w:rFonts w:eastAsia="MS Mincho"/>
          <w:sz w:val="20"/>
          <w:szCs w:val="22"/>
          <w:lang w:val="en-GB" w:eastAsia="ja-JP"/>
        </w:rPr>
        <w:t>of foraging trips within 329 m</w:t>
      </w:r>
      <w:r w:rsidR="004D5651">
        <w:rPr>
          <w:rFonts w:eastAsia="MS Mincho"/>
          <w:sz w:val="20"/>
          <w:szCs w:val="22"/>
          <w:lang w:val="en-GB" w:eastAsia="ja-JP"/>
        </w:rPr>
        <w:t>etres</w:t>
      </w:r>
      <w:r w:rsidRPr="00C96521">
        <w:rPr>
          <w:rFonts w:eastAsia="MS Mincho"/>
          <w:sz w:val="20"/>
          <w:szCs w:val="22"/>
          <w:lang w:val="en-GB" w:eastAsia="ja-JP"/>
        </w:rPr>
        <w:t xml:space="preserve"> of the nest), where they select seed-rich habitat. Fledglings that were heavier and in better body condition at seven days old were more likely to survive for 30 days post-fledging, and the proportion of available seed-rich habitat was a strong predictor of nestling weight and condition at seven days old (Dunn </w:t>
      </w:r>
      <w:r w:rsidRPr="00C96521">
        <w:rPr>
          <w:rFonts w:eastAsia="MS Mincho"/>
          <w:i/>
          <w:sz w:val="20"/>
          <w:szCs w:val="22"/>
          <w:lang w:val="en-GB" w:eastAsia="ja-JP"/>
        </w:rPr>
        <w:t>et al</w:t>
      </w:r>
      <w:r w:rsidRPr="00C96521">
        <w:rPr>
          <w:rFonts w:eastAsia="MS Mincho"/>
          <w:sz w:val="20"/>
          <w:szCs w:val="22"/>
          <w:lang w:val="en-GB" w:eastAsia="ja-JP"/>
        </w:rPr>
        <w:t xml:space="preserve"> 2016a). Therefore, providing both nesting and foraging requirements on a single site is likely to be highly advantageous for the species. Providing a range of different foraging habitats (sown and natural-regeneration from cultivation) within the same agreement can provide a more diverse and resilient supply of accessible seed food. </w:t>
      </w:r>
    </w:p>
    <w:p w14:paraId="0EDBA59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B6D7CD0" w14:textId="6126204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Between 2013 and 2015, the types of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w:t>
      </w:r>
      <w:r w:rsidRPr="00C96521">
        <w:rPr>
          <w:rFonts w:eastAsia="MS Mincho"/>
          <w:sz w:val="20"/>
          <w:szCs w:val="22"/>
          <w:lang w:val="en-GB" w:eastAsia="ja-JP"/>
        </w:rPr>
        <w:t>-friendly nesting and foraging habitats outlined previously, plus other possibly suitable agri-environment measures, were rolled out in combination in a pilot project on test the efficacy of a “</w:t>
      </w:r>
      <w:r w:rsidR="004D5651">
        <w:rPr>
          <w:rFonts w:eastAsia="MS Mincho"/>
          <w:sz w:val="20"/>
          <w:szCs w:val="22"/>
          <w:lang w:val="en-GB" w:eastAsia="ja-JP"/>
        </w:rPr>
        <w:t>Tu</w:t>
      </w:r>
      <w:r w:rsidRPr="00C96521">
        <w:rPr>
          <w:rFonts w:eastAsia="MS Mincho"/>
          <w:sz w:val="20"/>
          <w:szCs w:val="22"/>
          <w:lang w:val="en-GB" w:eastAsia="ja-JP"/>
        </w:rPr>
        <w:t>rtle</w:t>
      </w:r>
      <w:r w:rsidR="004D5651">
        <w:rPr>
          <w:rFonts w:eastAsia="MS Mincho"/>
          <w:sz w:val="20"/>
          <w:szCs w:val="22"/>
          <w:lang w:val="en-GB" w:eastAsia="ja-JP"/>
        </w:rPr>
        <w:t xml:space="preserve"> D</w:t>
      </w:r>
      <w:r w:rsidRPr="00C96521">
        <w:rPr>
          <w:rFonts w:eastAsia="MS Mincho"/>
          <w:sz w:val="20"/>
          <w:szCs w:val="22"/>
          <w:lang w:val="en-GB" w:eastAsia="ja-JP"/>
        </w:rPr>
        <w:t xml:space="preserve">oves package”. Pilot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Pr="00C96521">
        <w:rPr>
          <w:rFonts w:eastAsia="MS Mincho"/>
          <w:sz w:val="20"/>
          <w:szCs w:val="22"/>
          <w:lang w:val="en-GB" w:eastAsia="ja-JP"/>
        </w:rPr>
        <w:t xml:space="preserve"> package agreements were set up on a number of Higher Level Stewardship (HLS) sites in Eastern England with recent records of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w:t>
      </w:r>
      <w:r w:rsidRPr="00C96521">
        <w:rPr>
          <w:rFonts w:eastAsia="MS Mincho"/>
          <w:sz w:val="20"/>
          <w:szCs w:val="22"/>
          <w:lang w:val="en-GB" w:eastAsia="ja-JP"/>
        </w:rPr>
        <w:t xml:space="preserve">nearby. HLS was the higher-tier of the Environmental Stewardship Agri-environment Scheme available (on a competitive basis) to farmers in England from 2006 until the end of 2015. Twenty HLS agreements with packages of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w:t>
      </w:r>
      <w:r w:rsidRPr="00C96521">
        <w:rPr>
          <w:rFonts w:eastAsia="MS Mincho"/>
          <w:sz w:val="20"/>
          <w:szCs w:val="22"/>
          <w:lang w:val="en-GB" w:eastAsia="ja-JP"/>
        </w:rPr>
        <w:t xml:space="preserve">-friendly management were surveyed in summer 2015 and found to have a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Pr="00C96521">
        <w:rPr>
          <w:rFonts w:eastAsia="MS Mincho"/>
          <w:sz w:val="20"/>
          <w:szCs w:val="22"/>
          <w:lang w:val="en-GB" w:eastAsia="ja-JP"/>
        </w:rPr>
        <w:t xml:space="preserve"> occupancy rate of 45</w:t>
      </w:r>
      <w:r w:rsidR="004D5651">
        <w:rPr>
          <w:rFonts w:eastAsia="MS Mincho"/>
          <w:sz w:val="20"/>
          <w:szCs w:val="22"/>
          <w:lang w:val="en-GB" w:eastAsia="ja-JP"/>
        </w:rPr>
        <w:t xml:space="preserve"> per cent</w:t>
      </w:r>
      <w:r w:rsidRPr="00C96521">
        <w:rPr>
          <w:rFonts w:eastAsia="MS Mincho"/>
          <w:sz w:val="20"/>
          <w:szCs w:val="22"/>
          <w:lang w:val="en-GB" w:eastAsia="ja-JP"/>
        </w:rPr>
        <w:t xml:space="preserve"> (corrected to 64.3</w:t>
      </w:r>
      <w:r w:rsidR="004D5651">
        <w:rPr>
          <w:rFonts w:eastAsia="MS Mincho"/>
          <w:sz w:val="20"/>
          <w:szCs w:val="22"/>
          <w:lang w:val="en-GB" w:eastAsia="ja-JP"/>
        </w:rPr>
        <w:t xml:space="preserve"> per cent</w:t>
      </w:r>
      <w:r w:rsidRPr="00C96521">
        <w:rPr>
          <w:rFonts w:eastAsia="MS Mincho"/>
          <w:sz w:val="20"/>
          <w:szCs w:val="22"/>
          <w:lang w:val="en-GB" w:eastAsia="ja-JP"/>
        </w:rPr>
        <w:t>, when controlling for the 70</w:t>
      </w:r>
      <w:r w:rsidR="004D5651">
        <w:rPr>
          <w:rFonts w:eastAsia="MS Mincho"/>
          <w:sz w:val="20"/>
          <w:szCs w:val="22"/>
          <w:lang w:val="en-GB" w:eastAsia="ja-JP"/>
        </w:rPr>
        <w:t xml:space="preserve"> per cent</w:t>
      </w:r>
      <w:r w:rsidRPr="00C96521">
        <w:rPr>
          <w:rFonts w:eastAsia="MS Mincho"/>
          <w:sz w:val="20"/>
          <w:szCs w:val="22"/>
          <w:lang w:val="en-GB" w:eastAsia="ja-JP"/>
        </w:rPr>
        <w:t xml:space="preserve"> detection rate of the survey methodology), against the backdrop of an ongoing, steep decline in the species, and the fact that most management had only been implemented for 1-2 years. 58</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evaluated sections of tall hedges and scrub provided potentially suitable nesting sites, but only 31</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evaluated foraging habitat was considered suitable, the most common reason for unsuitability being a lack of bare ground. Despite the suboptimal delivery of access to seed on the ground, there was a marginally significant tendency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Pr="00C96521">
        <w:rPr>
          <w:rFonts w:eastAsia="MS Mincho"/>
          <w:sz w:val="20"/>
          <w:szCs w:val="22"/>
          <w:lang w:val="en-GB" w:eastAsia="ja-JP"/>
        </w:rPr>
        <w:t xml:space="preserve"> abundance to increase with increasing area of nectar flower mix with threatened species supplement, on the agreements. 80</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the evaluated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Pr="00C96521">
        <w:rPr>
          <w:rFonts w:eastAsia="MS Mincho"/>
          <w:sz w:val="20"/>
          <w:szCs w:val="22"/>
          <w:lang w:val="en-GB" w:eastAsia="ja-JP"/>
        </w:rPr>
        <w:t xml:space="preserve"> package agreements succeeded in providing some potential nesting and foraging habitat in very close proximity (&lt;150m), although this fell to 45</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agreements when only highly suitable nesting and foraging habitat are considered (Walker and Morris 2016). </w:t>
      </w:r>
    </w:p>
    <w:p w14:paraId="5259E5F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DD7391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From the start of 2016, a new Agri-environment Scheme, Countryside Stewardship, was introduced on a competitive basis to landowners and land managers in England. The higher tier of Countryside Stewardship contains provision for a package of bespoke habitat management for turtle-doves, which can be taken up by agreement holders with recent records of turtle-dove nearby. The more complex, species-specific management is underpinned by the SP9 Threatened Species Supplement, whereby the agreement holder is fully compensated for the cost of establishing and maintaining the habitat in suitable condition. The range of options and managements is similar to those outlined previously but has been guided by the experience gained within the HLS pilot and recent land management option trials by RSPB/Natural England, to provide advice on developing a Higher Tier Countryside Stewardship agreement that will successfully deliver for turtle-doves. </w:t>
      </w:r>
    </w:p>
    <w:p w14:paraId="24B6592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2875503" w14:textId="41E554C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 successful Countryside Stewardship agreement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004D5651">
        <w:rPr>
          <w:rFonts w:eastAsia="MS Mincho"/>
          <w:sz w:val="20"/>
          <w:szCs w:val="22"/>
          <w:lang w:val="en-GB" w:eastAsia="ja-JP"/>
        </w:rPr>
        <w:t>s</w:t>
      </w:r>
      <w:r w:rsidR="004D5651" w:rsidRPr="00C96521">
        <w:rPr>
          <w:rFonts w:eastAsia="MS Mincho"/>
          <w:sz w:val="20"/>
          <w:szCs w:val="22"/>
          <w:lang w:val="en-GB" w:eastAsia="ja-JP"/>
        </w:rPr>
        <w:t xml:space="preserve"> </w:t>
      </w:r>
      <w:r w:rsidRPr="00C96521">
        <w:rPr>
          <w:rFonts w:eastAsia="MS Mincho"/>
          <w:sz w:val="20"/>
          <w:szCs w:val="22"/>
          <w:lang w:val="en-GB" w:eastAsia="ja-JP"/>
        </w:rPr>
        <w:t>requires a combination of options to be deployed to deliver both its nesting and seed-rich foraging requirements in close proximity (within 300</w:t>
      </w:r>
      <w:r w:rsidR="004D5651">
        <w:rPr>
          <w:rFonts w:eastAsia="MS Mincho"/>
          <w:sz w:val="20"/>
          <w:szCs w:val="22"/>
          <w:lang w:val="en-GB" w:eastAsia="ja-JP"/>
        </w:rPr>
        <w:t xml:space="preserve"> </w:t>
      </w:r>
      <w:r w:rsidRPr="00C96521">
        <w:rPr>
          <w:rFonts w:eastAsia="MS Mincho"/>
          <w:sz w:val="20"/>
          <w:szCs w:val="22"/>
          <w:lang w:val="en-GB" w:eastAsia="ja-JP"/>
        </w:rPr>
        <w:t>m</w:t>
      </w:r>
      <w:r w:rsidR="004D5651">
        <w:rPr>
          <w:rFonts w:eastAsia="MS Mincho"/>
          <w:sz w:val="20"/>
          <w:szCs w:val="22"/>
          <w:lang w:val="en-GB" w:eastAsia="ja-JP"/>
        </w:rPr>
        <w:t>etres</w:t>
      </w:r>
      <w:r w:rsidRPr="00C96521">
        <w:rPr>
          <w:rFonts w:eastAsia="MS Mincho"/>
          <w:sz w:val="20"/>
          <w:szCs w:val="22"/>
          <w:lang w:val="en-GB" w:eastAsia="ja-JP"/>
        </w:rPr>
        <w:t xml:space="preserve">). In addition, in most situations, ideal foraging habitat can best be provided by deploying plots of a modified version of option AB1 Nectar Flower Mix, requiring a specified seed mix and additional management (funded by the SP9 Threatened Species Supplement), ideally in combination with option AB11 Cultivated Areas for Arable Plants. Options beneficial to turtle-doves can be deployed anywhere where there is a reasonable level of certainty that the species is holding territory (based on national bird atlas data and local information). This will most easily be deployed as part of the Higher Tier </w:t>
      </w:r>
      <w:r w:rsidRPr="00C96521">
        <w:rPr>
          <w:rFonts w:eastAsia="MS Mincho"/>
          <w:i/>
          <w:sz w:val="20"/>
          <w:szCs w:val="22"/>
          <w:lang w:val="en-GB" w:eastAsia="ja-JP"/>
        </w:rPr>
        <w:t>Wild Pollinator and Farm Wildlife Package</w:t>
      </w:r>
      <w:r w:rsidRPr="00C96521">
        <w:rPr>
          <w:rFonts w:eastAsia="MS Mincho"/>
          <w:sz w:val="20"/>
          <w:szCs w:val="22"/>
          <w:lang w:val="en-GB" w:eastAsia="ja-JP"/>
        </w:rPr>
        <w:t xml:space="preserve"> and the options detailed here can count towards the minimum quantities required for the relevant resources. However, it is recommended that the modified AB1/SP9 combined option should be targeted on those holdings where there is good evidence of birds being present, and where the agreement holder both understands and is committed to undertaking the additional management that is required. </w:t>
      </w:r>
    </w:p>
    <w:p w14:paraId="284228B9"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0D2114C1"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4925F7E5"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Other potentially useful habitat types</w:t>
      </w:r>
    </w:p>
    <w:p w14:paraId="50A3E67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ACDD1CE" w14:textId="56CF21A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evaluation of the pilot HLS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 xml:space="preserve">package sites found no evidence of positive associations between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 xml:space="preserve">occupancy/abundance and any other evaluated habitat or Agri-environment Option type with the exception of HK15 (Maintenance of Grassland for Target Features). These “target features” do not include providing foraging habitat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004D5651">
        <w:rPr>
          <w:rFonts w:eastAsia="MS Mincho"/>
          <w:sz w:val="20"/>
          <w:szCs w:val="22"/>
          <w:lang w:val="en-GB" w:eastAsia="ja-JP"/>
        </w:rPr>
        <w:t>s</w:t>
      </w:r>
      <w:r w:rsidRPr="00C96521">
        <w:rPr>
          <w:rFonts w:eastAsia="MS Mincho"/>
          <w:sz w:val="20"/>
          <w:szCs w:val="22"/>
          <w:lang w:val="en-GB" w:eastAsia="ja-JP"/>
        </w:rPr>
        <w:t xml:space="preserve">, and following discussions with Natural England Advisors it was concluded that any benefits of HK15 were likely to have arisen from local soil conditions in the study areas (light, sandy soils that produce naturally short grass swards) rather than management of the option </w:t>
      </w:r>
      <w:r w:rsidRPr="00C96521">
        <w:rPr>
          <w:rFonts w:eastAsia="MS Mincho"/>
          <w:i/>
          <w:sz w:val="20"/>
          <w:szCs w:val="22"/>
          <w:lang w:val="en-GB" w:eastAsia="ja-JP"/>
        </w:rPr>
        <w:t>per se</w:t>
      </w:r>
      <w:r w:rsidRPr="00C96521">
        <w:rPr>
          <w:rFonts w:eastAsia="MS Mincho"/>
          <w:sz w:val="20"/>
          <w:szCs w:val="22"/>
          <w:lang w:val="en-GB" w:eastAsia="ja-JP"/>
        </w:rPr>
        <w:t xml:space="preserve">. Therefore, grassland management options have not been included in the Countryside Stewardship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 xml:space="preserve">package. However, it is likely that short, patchy, and flower-rich grassland with no/low amounts of herbicide and nitrogen fertiliser applications did provide, and may continue to provide, good quality semi-natural foraging habitat. More research is needed to determine the exact specifications to optimise delivery for turtle-doves. </w:t>
      </w:r>
    </w:p>
    <w:p w14:paraId="04F68C8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178DAFA"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It is also probable that grass and wild flower mixes often sown on the edge of amenity recreation and reclaimed quarry and mining sites may provide suitable habitat with some minimal management, such as rotational mowing. RSPB and the aggregates company CEMEX are currently exploring the possibility of introducing such habitat on areas of quarried land once extraction of minerals has ceased. A possible seed mix for the CEMEX sites, which has yet to be tested, is as follows:</w:t>
      </w:r>
    </w:p>
    <w:p w14:paraId="14755F7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5DB5BD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w:t>
      </w:r>
      <w:r w:rsidRPr="00C96521">
        <w:rPr>
          <w:rFonts w:eastAsia="MS Mincho"/>
          <w:sz w:val="20"/>
          <w:szCs w:val="22"/>
          <w:lang w:val="en-GB" w:eastAsia="ja-JP"/>
        </w:rPr>
        <w:tab/>
        <w:t>species</w:t>
      </w:r>
    </w:p>
    <w:p w14:paraId="7B5F8B74"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0.5</w:t>
      </w:r>
      <w:r w:rsidRPr="00C96521">
        <w:rPr>
          <w:rFonts w:eastAsia="MS Mincho"/>
          <w:sz w:val="20"/>
          <w:szCs w:val="22"/>
          <w:lang w:val="en-GB" w:eastAsia="ja-JP"/>
        </w:rPr>
        <w:tab/>
      </w:r>
      <w:r w:rsidRPr="00C96521">
        <w:rPr>
          <w:rFonts w:eastAsia="MS Mincho"/>
          <w:i/>
          <w:sz w:val="20"/>
          <w:szCs w:val="22"/>
          <w:lang w:val="en-GB" w:eastAsia="ja-JP"/>
        </w:rPr>
        <w:t>Achillea millefolium</w:t>
      </w:r>
    </w:p>
    <w:p w14:paraId="1B75CDD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w:t>
      </w:r>
      <w:r w:rsidRPr="00C96521">
        <w:rPr>
          <w:rFonts w:eastAsia="MS Mincho"/>
          <w:sz w:val="20"/>
          <w:szCs w:val="22"/>
          <w:lang w:val="en-GB" w:eastAsia="ja-JP"/>
        </w:rPr>
        <w:tab/>
      </w:r>
      <w:r w:rsidRPr="00C96521">
        <w:rPr>
          <w:rFonts w:eastAsia="MS Mincho"/>
          <w:i/>
          <w:sz w:val="20"/>
          <w:szCs w:val="22"/>
          <w:lang w:val="en-GB" w:eastAsia="ja-JP"/>
        </w:rPr>
        <w:t>Centaurea nigra</w:t>
      </w:r>
    </w:p>
    <w:p w14:paraId="11676058"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1.5</w:t>
      </w:r>
      <w:r w:rsidRPr="00C96521">
        <w:rPr>
          <w:rFonts w:eastAsia="MS Mincho"/>
          <w:sz w:val="20"/>
          <w:szCs w:val="22"/>
          <w:lang w:val="en-GB" w:eastAsia="ja-JP"/>
        </w:rPr>
        <w:tab/>
      </w:r>
      <w:r w:rsidRPr="00C96521">
        <w:rPr>
          <w:rFonts w:eastAsia="MS Mincho"/>
          <w:i/>
          <w:sz w:val="20"/>
          <w:szCs w:val="22"/>
          <w:lang w:val="en-GB" w:eastAsia="ja-JP"/>
        </w:rPr>
        <w:t>Galium verum</w:t>
      </w:r>
    </w:p>
    <w:p w14:paraId="45E7C744"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1.5</w:t>
      </w:r>
      <w:r w:rsidRPr="00C96521">
        <w:rPr>
          <w:rFonts w:eastAsia="MS Mincho"/>
          <w:sz w:val="20"/>
          <w:szCs w:val="22"/>
          <w:lang w:val="en-GB" w:eastAsia="ja-JP"/>
        </w:rPr>
        <w:tab/>
      </w:r>
      <w:r w:rsidRPr="00C96521">
        <w:rPr>
          <w:rFonts w:eastAsia="MS Mincho"/>
          <w:i/>
          <w:sz w:val="20"/>
          <w:szCs w:val="22"/>
          <w:lang w:val="en-GB" w:eastAsia="ja-JP"/>
        </w:rPr>
        <w:t>Leucanthemum vulgare</w:t>
      </w:r>
    </w:p>
    <w:p w14:paraId="67D4577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w:t>
      </w:r>
      <w:r w:rsidRPr="00C96521">
        <w:rPr>
          <w:rFonts w:eastAsia="MS Mincho"/>
          <w:sz w:val="20"/>
          <w:szCs w:val="22"/>
          <w:lang w:val="en-GB" w:eastAsia="ja-JP"/>
        </w:rPr>
        <w:tab/>
      </w:r>
      <w:r w:rsidRPr="00C96521">
        <w:rPr>
          <w:rFonts w:eastAsia="MS Mincho"/>
          <w:i/>
          <w:sz w:val="20"/>
          <w:szCs w:val="22"/>
          <w:lang w:val="en-GB" w:eastAsia="ja-JP"/>
        </w:rPr>
        <w:t>Lotus corniculatus</w:t>
      </w:r>
    </w:p>
    <w:p w14:paraId="582D43C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3</w:t>
      </w:r>
      <w:r w:rsidRPr="00C96521">
        <w:rPr>
          <w:rFonts w:eastAsia="MS Mincho"/>
          <w:sz w:val="20"/>
          <w:szCs w:val="22"/>
          <w:lang w:val="en-GB" w:eastAsia="ja-JP"/>
        </w:rPr>
        <w:tab/>
      </w:r>
      <w:r w:rsidRPr="00C96521">
        <w:rPr>
          <w:rFonts w:eastAsia="MS Mincho"/>
          <w:i/>
          <w:sz w:val="20"/>
          <w:szCs w:val="22"/>
          <w:lang w:val="en-GB" w:eastAsia="ja-JP"/>
        </w:rPr>
        <w:t>Plantago lanceolata</w:t>
      </w:r>
    </w:p>
    <w:p w14:paraId="5B8F172B"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sz w:val="20"/>
          <w:szCs w:val="22"/>
          <w:lang w:val="en-GB" w:eastAsia="ja-JP"/>
        </w:rPr>
        <w:t>0.6</w:t>
      </w:r>
      <w:r w:rsidRPr="00C96521">
        <w:rPr>
          <w:rFonts w:eastAsia="MS Mincho"/>
          <w:sz w:val="20"/>
          <w:szCs w:val="22"/>
          <w:lang w:val="en-GB" w:eastAsia="ja-JP"/>
        </w:rPr>
        <w:tab/>
      </w:r>
      <w:r w:rsidRPr="00C96521">
        <w:rPr>
          <w:rFonts w:eastAsia="MS Mincho"/>
          <w:i/>
          <w:sz w:val="20"/>
          <w:szCs w:val="22"/>
          <w:lang w:val="en-GB" w:eastAsia="ja-JP"/>
        </w:rPr>
        <w:t>Primula veris</w:t>
      </w:r>
    </w:p>
    <w:p w14:paraId="1B78A49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3</w:t>
      </w:r>
      <w:r w:rsidRPr="00C96521">
        <w:rPr>
          <w:rFonts w:eastAsia="MS Mincho"/>
          <w:sz w:val="20"/>
          <w:szCs w:val="22"/>
          <w:lang w:val="en-GB" w:eastAsia="ja-JP"/>
        </w:rPr>
        <w:tab/>
      </w:r>
      <w:r w:rsidRPr="00C96521">
        <w:rPr>
          <w:rFonts w:eastAsia="MS Mincho"/>
          <w:i/>
          <w:sz w:val="20"/>
          <w:szCs w:val="22"/>
          <w:lang w:val="en-GB" w:eastAsia="ja-JP"/>
        </w:rPr>
        <w:t>Ranunculus acris</w:t>
      </w:r>
    </w:p>
    <w:p w14:paraId="7E4EF1C5"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1.5</w:t>
      </w:r>
      <w:r w:rsidRPr="00C96521">
        <w:rPr>
          <w:rFonts w:eastAsia="MS Mincho"/>
          <w:sz w:val="20"/>
          <w:szCs w:val="22"/>
          <w:lang w:val="en-GB" w:eastAsia="ja-JP"/>
        </w:rPr>
        <w:tab/>
      </w:r>
      <w:r w:rsidRPr="00C96521">
        <w:rPr>
          <w:rFonts w:eastAsia="MS Mincho"/>
          <w:i/>
          <w:sz w:val="20"/>
          <w:szCs w:val="22"/>
          <w:lang w:val="en-GB" w:eastAsia="ja-JP"/>
        </w:rPr>
        <w:t>Rhinanthus minor</w:t>
      </w:r>
    </w:p>
    <w:p w14:paraId="359E0642"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1.5</w:t>
      </w:r>
      <w:r w:rsidRPr="00C96521">
        <w:rPr>
          <w:rFonts w:eastAsia="MS Mincho"/>
          <w:sz w:val="20"/>
          <w:szCs w:val="22"/>
          <w:lang w:val="en-GB" w:eastAsia="ja-JP"/>
        </w:rPr>
        <w:tab/>
      </w:r>
      <w:r w:rsidRPr="00C96521">
        <w:rPr>
          <w:rFonts w:eastAsia="MS Mincho"/>
          <w:i/>
          <w:sz w:val="20"/>
          <w:szCs w:val="22"/>
          <w:lang w:val="en-GB" w:eastAsia="ja-JP"/>
        </w:rPr>
        <w:t>Rumex acetosa</w:t>
      </w:r>
    </w:p>
    <w:p w14:paraId="0A62D6D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0.1</w:t>
      </w:r>
      <w:r w:rsidRPr="00C96521">
        <w:rPr>
          <w:rFonts w:eastAsia="MS Mincho"/>
          <w:sz w:val="20"/>
          <w:szCs w:val="22"/>
          <w:lang w:val="en-GB" w:eastAsia="ja-JP"/>
        </w:rPr>
        <w:tab/>
      </w:r>
      <w:r w:rsidRPr="00C96521">
        <w:rPr>
          <w:rFonts w:eastAsia="MS Mincho"/>
          <w:i/>
          <w:sz w:val="20"/>
          <w:szCs w:val="22"/>
          <w:lang w:val="en-GB" w:eastAsia="ja-JP"/>
        </w:rPr>
        <w:t>Lychnis flos-cuculi</w:t>
      </w:r>
    </w:p>
    <w:p w14:paraId="0CD8A6D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0.3</w:t>
      </w:r>
      <w:r w:rsidRPr="00C96521">
        <w:rPr>
          <w:rFonts w:eastAsia="MS Mincho"/>
          <w:sz w:val="20"/>
          <w:szCs w:val="22"/>
          <w:lang w:val="en-GB" w:eastAsia="ja-JP"/>
        </w:rPr>
        <w:tab/>
      </w:r>
      <w:r w:rsidRPr="00C96521">
        <w:rPr>
          <w:rFonts w:eastAsia="MS Mincho"/>
          <w:i/>
          <w:sz w:val="20"/>
          <w:szCs w:val="22"/>
          <w:lang w:val="en-GB" w:eastAsia="ja-JP"/>
        </w:rPr>
        <w:t>Trifolium pratense</w:t>
      </w:r>
      <w:r w:rsidRPr="00C96521">
        <w:rPr>
          <w:rFonts w:eastAsia="MS Mincho"/>
          <w:sz w:val="20"/>
          <w:szCs w:val="22"/>
          <w:lang w:val="en-GB" w:eastAsia="ja-JP"/>
        </w:rPr>
        <w:t xml:space="preserve"> (var wild red)</w:t>
      </w:r>
    </w:p>
    <w:p w14:paraId="6E842F95" w14:textId="77777777" w:rsidR="00C96521" w:rsidRPr="00890F11" w:rsidRDefault="00C96521" w:rsidP="00C96521">
      <w:pPr>
        <w:widowControl/>
        <w:autoSpaceDE/>
        <w:autoSpaceDN/>
        <w:adjustRightInd/>
        <w:spacing w:line="276" w:lineRule="auto"/>
        <w:rPr>
          <w:rFonts w:eastAsia="MS Mincho"/>
          <w:i/>
          <w:sz w:val="20"/>
          <w:szCs w:val="22"/>
          <w:lang w:val="es-ES" w:eastAsia="ja-JP"/>
        </w:rPr>
      </w:pPr>
      <w:r w:rsidRPr="00890F11">
        <w:rPr>
          <w:rFonts w:eastAsia="MS Mincho"/>
          <w:sz w:val="20"/>
          <w:szCs w:val="22"/>
          <w:lang w:val="es-ES" w:eastAsia="ja-JP"/>
        </w:rPr>
        <w:t>1</w:t>
      </w:r>
      <w:r w:rsidRPr="00890F11">
        <w:rPr>
          <w:rFonts w:eastAsia="MS Mincho"/>
          <w:sz w:val="20"/>
          <w:szCs w:val="22"/>
          <w:lang w:val="es-ES" w:eastAsia="ja-JP"/>
        </w:rPr>
        <w:tab/>
      </w:r>
      <w:r w:rsidRPr="00890F11">
        <w:rPr>
          <w:rFonts w:eastAsia="MS Mincho"/>
          <w:i/>
          <w:sz w:val="20"/>
          <w:szCs w:val="22"/>
          <w:lang w:val="es-ES" w:eastAsia="ja-JP"/>
        </w:rPr>
        <w:t>Vicia cracca</w:t>
      </w:r>
    </w:p>
    <w:p w14:paraId="602265E8"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10</w:t>
      </w:r>
      <w:r w:rsidRPr="00890F11">
        <w:rPr>
          <w:rFonts w:eastAsia="MS Mincho"/>
          <w:sz w:val="20"/>
          <w:szCs w:val="22"/>
          <w:lang w:val="es-ES" w:eastAsia="ja-JP"/>
        </w:rPr>
        <w:tab/>
      </w:r>
      <w:r w:rsidRPr="00890F11">
        <w:rPr>
          <w:rFonts w:eastAsia="MS Mincho"/>
          <w:i/>
          <w:sz w:val="20"/>
          <w:szCs w:val="22"/>
          <w:lang w:val="es-ES" w:eastAsia="ja-JP"/>
        </w:rPr>
        <w:t>Agrostis capillaris</w:t>
      </w:r>
      <w:r w:rsidRPr="00890F11">
        <w:rPr>
          <w:rFonts w:eastAsia="MS Mincho"/>
          <w:sz w:val="20"/>
          <w:szCs w:val="22"/>
          <w:lang w:val="es-ES" w:eastAsia="ja-JP"/>
        </w:rPr>
        <w:t xml:space="preserve"> *</w:t>
      </w:r>
    </w:p>
    <w:p w14:paraId="22AC5C03"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2</w:t>
      </w:r>
      <w:r w:rsidRPr="00890F11">
        <w:rPr>
          <w:rFonts w:eastAsia="MS Mincho"/>
          <w:sz w:val="20"/>
          <w:szCs w:val="22"/>
          <w:lang w:val="es-ES" w:eastAsia="ja-JP"/>
        </w:rPr>
        <w:tab/>
      </w:r>
      <w:r w:rsidRPr="00890F11">
        <w:rPr>
          <w:rFonts w:eastAsia="MS Mincho"/>
          <w:i/>
          <w:sz w:val="20"/>
          <w:szCs w:val="22"/>
          <w:lang w:val="es-ES" w:eastAsia="ja-JP"/>
        </w:rPr>
        <w:t>Alopecurus pratensis</w:t>
      </w:r>
      <w:r w:rsidRPr="00890F11">
        <w:rPr>
          <w:rFonts w:eastAsia="MS Mincho"/>
          <w:sz w:val="20"/>
          <w:szCs w:val="22"/>
          <w:lang w:val="es-ES" w:eastAsia="ja-JP"/>
        </w:rPr>
        <w:t xml:space="preserve"> *</w:t>
      </w:r>
    </w:p>
    <w:p w14:paraId="495293B0"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1</w:t>
      </w:r>
      <w:r w:rsidRPr="00890F11">
        <w:rPr>
          <w:rFonts w:eastAsia="MS Mincho"/>
          <w:sz w:val="20"/>
          <w:szCs w:val="22"/>
          <w:lang w:val="es-ES" w:eastAsia="ja-JP"/>
        </w:rPr>
        <w:tab/>
      </w:r>
      <w:r w:rsidRPr="00890F11">
        <w:rPr>
          <w:rFonts w:eastAsia="MS Mincho"/>
          <w:i/>
          <w:sz w:val="20"/>
          <w:szCs w:val="22"/>
          <w:lang w:val="es-ES" w:eastAsia="ja-JP"/>
        </w:rPr>
        <w:t>Anthoxanthum odoratum</w:t>
      </w:r>
      <w:r w:rsidRPr="00890F11">
        <w:rPr>
          <w:rFonts w:eastAsia="MS Mincho"/>
          <w:sz w:val="20"/>
          <w:szCs w:val="22"/>
          <w:lang w:val="es-ES" w:eastAsia="ja-JP"/>
        </w:rPr>
        <w:t xml:space="preserve"> *</w:t>
      </w:r>
    </w:p>
    <w:p w14:paraId="7FF8B467"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1</w:t>
      </w:r>
      <w:r w:rsidRPr="00890F11">
        <w:rPr>
          <w:rFonts w:eastAsia="MS Mincho"/>
          <w:sz w:val="20"/>
          <w:szCs w:val="22"/>
          <w:lang w:val="es-ES" w:eastAsia="ja-JP"/>
        </w:rPr>
        <w:tab/>
      </w:r>
      <w:r w:rsidRPr="00890F11">
        <w:rPr>
          <w:rFonts w:eastAsia="MS Mincho"/>
          <w:i/>
          <w:sz w:val="20"/>
          <w:szCs w:val="22"/>
          <w:lang w:val="es-ES" w:eastAsia="ja-JP"/>
        </w:rPr>
        <w:t>Briza media</w:t>
      </w:r>
      <w:r w:rsidRPr="00890F11">
        <w:rPr>
          <w:rFonts w:eastAsia="MS Mincho"/>
          <w:sz w:val="20"/>
          <w:szCs w:val="22"/>
          <w:lang w:val="es-ES" w:eastAsia="ja-JP"/>
        </w:rPr>
        <w:t xml:space="preserve"> *</w:t>
      </w:r>
    </w:p>
    <w:p w14:paraId="032DE216"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36</w:t>
      </w:r>
      <w:r w:rsidRPr="00890F11">
        <w:rPr>
          <w:rFonts w:eastAsia="MS Mincho"/>
          <w:sz w:val="20"/>
          <w:szCs w:val="22"/>
          <w:lang w:val="es-ES" w:eastAsia="ja-JP"/>
        </w:rPr>
        <w:tab/>
      </w:r>
      <w:r w:rsidRPr="00890F11">
        <w:rPr>
          <w:rFonts w:eastAsia="MS Mincho"/>
          <w:i/>
          <w:sz w:val="20"/>
          <w:szCs w:val="22"/>
          <w:lang w:val="es-ES" w:eastAsia="ja-JP"/>
        </w:rPr>
        <w:t>Cynosurus cristatus</w:t>
      </w:r>
      <w:r w:rsidRPr="00890F11">
        <w:rPr>
          <w:rFonts w:eastAsia="MS Mincho"/>
          <w:sz w:val="20"/>
          <w:szCs w:val="22"/>
          <w:lang w:val="es-ES" w:eastAsia="ja-JP"/>
        </w:rPr>
        <w:t xml:space="preserve"> *</w:t>
      </w:r>
    </w:p>
    <w:p w14:paraId="1247137A"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24</w:t>
      </w:r>
      <w:r w:rsidRPr="00890F11">
        <w:rPr>
          <w:rFonts w:eastAsia="MS Mincho"/>
          <w:sz w:val="20"/>
          <w:szCs w:val="22"/>
          <w:lang w:val="es-ES" w:eastAsia="ja-JP"/>
        </w:rPr>
        <w:tab/>
      </w:r>
      <w:r w:rsidRPr="00890F11">
        <w:rPr>
          <w:rFonts w:eastAsia="MS Mincho"/>
          <w:i/>
          <w:sz w:val="20"/>
          <w:szCs w:val="22"/>
          <w:lang w:val="es-ES" w:eastAsia="ja-JP"/>
        </w:rPr>
        <w:t>Festuca rubra rubra litoralis</w:t>
      </w:r>
      <w:r w:rsidRPr="00890F11">
        <w:rPr>
          <w:rFonts w:eastAsia="MS Mincho"/>
          <w:sz w:val="20"/>
          <w:szCs w:val="22"/>
          <w:lang w:val="es-ES" w:eastAsia="ja-JP"/>
        </w:rPr>
        <w:t xml:space="preserve"> *</w:t>
      </w:r>
    </w:p>
    <w:p w14:paraId="4BC2EC9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2</w:t>
      </w:r>
      <w:r w:rsidRPr="00C96521">
        <w:rPr>
          <w:rFonts w:eastAsia="MS Mincho"/>
          <w:sz w:val="20"/>
          <w:szCs w:val="22"/>
          <w:lang w:val="en-GB" w:eastAsia="ja-JP"/>
        </w:rPr>
        <w:tab/>
      </w:r>
      <w:r w:rsidRPr="00C96521">
        <w:rPr>
          <w:rFonts w:eastAsia="MS Mincho"/>
          <w:i/>
          <w:sz w:val="20"/>
          <w:szCs w:val="22"/>
          <w:lang w:val="en-GB" w:eastAsia="ja-JP"/>
        </w:rPr>
        <w:t>Hordeum brachyantherum</w:t>
      </w:r>
      <w:r w:rsidRPr="00C96521">
        <w:rPr>
          <w:rFonts w:eastAsia="MS Mincho"/>
          <w:sz w:val="20"/>
          <w:szCs w:val="22"/>
          <w:lang w:val="en-GB" w:eastAsia="ja-JP"/>
        </w:rPr>
        <w:t xml:space="preserve"> *</w:t>
      </w:r>
    </w:p>
    <w:p w14:paraId="0FFC23D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4</w:t>
      </w:r>
      <w:r w:rsidRPr="00C96521">
        <w:rPr>
          <w:rFonts w:eastAsia="MS Mincho"/>
          <w:sz w:val="20"/>
          <w:szCs w:val="22"/>
          <w:lang w:val="en-GB" w:eastAsia="ja-JP"/>
        </w:rPr>
        <w:tab/>
      </w:r>
      <w:r w:rsidRPr="00C96521">
        <w:rPr>
          <w:rFonts w:eastAsia="MS Mincho"/>
          <w:i/>
          <w:sz w:val="20"/>
          <w:szCs w:val="22"/>
          <w:lang w:val="en-GB" w:eastAsia="ja-JP"/>
        </w:rPr>
        <w:t>Phleum bertolonii</w:t>
      </w:r>
      <w:r w:rsidRPr="00C96521">
        <w:rPr>
          <w:rFonts w:eastAsia="MS Mincho"/>
          <w:sz w:val="20"/>
          <w:szCs w:val="22"/>
          <w:lang w:val="en-GB" w:eastAsia="ja-JP"/>
        </w:rPr>
        <w:t xml:space="preserve"> *</w:t>
      </w:r>
    </w:p>
    <w:p w14:paraId="56F7E305"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 % of these grasses may be reduced in favour of the addition of </w:t>
      </w:r>
      <w:r w:rsidRPr="00C96521">
        <w:rPr>
          <w:rFonts w:eastAsia="MS Mincho"/>
          <w:i/>
          <w:sz w:val="20"/>
          <w:szCs w:val="22"/>
          <w:lang w:val="en-GB" w:eastAsia="ja-JP"/>
        </w:rPr>
        <w:t>Medicago lupulina</w:t>
      </w:r>
      <w:r w:rsidRPr="00C96521">
        <w:rPr>
          <w:rFonts w:eastAsia="MS Mincho"/>
          <w:sz w:val="20"/>
          <w:szCs w:val="22"/>
          <w:lang w:val="en-GB" w:eastAsia="ja-JP"/>
        </w:rPr>
        <w:t>.</w:t>
      </w:r>
    </w:p>
    <w:p w14:paraId="7ECD109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C01EED6" w14:textId="1361CE98"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sz w:val="20"/>
          <w:szCs w:val="22"/>
          <w:lang w:val="en-GB" w:eastAsia="ja-JP"/>
        </w:rPr>
        <w:t xml:space="preserve">In the early 1960s,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 </w:t>
      </w:r>
      <w:r w:rsidRPr="00C96521">
        <w:rPr>
          <w:rFonts w:eastAsia="MS Mincho"/>
          <w:sz w:val="20"/>
          <w:szCs w:val="22"/>
          <w:lang w:val="en-GB" w:eastAsia="ja-JP"/>
        </w:rPr>
        <w:t xml:space="preserve">in eastern England commonly foraged for the seeds of </w:t>
      </w:r>
      <w:r w:rsidRPr="00C96521">
        <w:rPr>
          <w:rFonts w:eastAsia="MS Mincho"/>
          <w:i/>
          <w:sz w:val="20"/>
          <w:szCs w:val="22"/>
          <w:lang w:val="en-GB" w:eastAsia="ja-JP"/>
        </w:rPr>
        <w:t>Trifolium spp</w:t>
      </w:r>
      <w:r w:rsidRPr="00C96521">
        <w:rPr>
          <w:rFonts w:eastAsia="MS Mincho"/>
          <w:sz w:val="20"/>
          <w:szCs w:val="22"/>
          <w:lang w:val="en-GB" w:eastAsia="ja-JP"/>
        </w:rPr>
        <w:t xml:space="preserve">, grasses and other arable plants in grass/clover leys, which were used as breaks between arable crops. This habitat has become rare in arable farmland; it has long since disappeared from the original study sites, along with turtle-doves. However, as there is now a trend towards greater use of traditional methods to achieve better control of grass weeds and improved soil fertility and structure on arable land, it is possible that this habitat will once again become more widespread in NW Europe, while the use of temporary, species-rich leys is still more widespread is other areas of Europe. However, the use of less diverse species mixes, modern varieties of legume with taller and denser vegetation structure, more frequent cutting/grazing, and high residual fertility from long-term use of inorganic nitrogen </w:t>
      </w:r>
      <w:r w:rsidRPr="00C96521">
        <w:rPr>
          <w:rFonts w:eastAsia="MS Mincho"/>
          <w:sz w:val="20"/>
          <w:szCs w:val="22"/>
          <w:lang w:val="en-GB" w:eastAsia="ja-JP"/>
        </w:rPr>
        <w:lastRenderedPageBreak/>
        <w:t>fertil</w:t>
      </w:r>
      <w:r w:rsidR="004D5651">
        <w:rPr>
          <w:rFonts w:eastAsia="MS Mincho"/>
          <w:sz w:val="20"/>
          <w:szCs w:val="22"/>
          <w:lang w:val="en-GB" w:eastAsia="ja-JP"/>
        </w:rPr>
        <w:t>iz</w:t>
      </w:r>
      <w:r w:rsidRPr="00C96521">
        <w:rPr>
          <w:rFonts w:eastAsia="MS Mincho"/>
          <w:sz w:val="20"/>
          <w:szCs w:val="22"/>
          <w:lang w:val="en-GB" w:eastAsia="ja-JP"/>
        </w:rPr>
        <w:t xml:space="preserve">ers may mean that modern leys are less suitable as foraging habitats, and research is needed to test the value of present-day leys for turtle-doves. </w:t>
      </w:r>
    </w:p>
    <w:p w14:paraId="11343EF8"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1C605E8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Guidance on developing a Countryside Stewardship agreement for farmland birds, in general, through the Wild Pollinator &amp; Farm Wildlife Packages can be found at </w:t>
      </w:r>
      <w:r w:rsidRPr="00C96521">
        <w:rPr>
          <w:rFonts w:eastAsia="MS Mincho" w:cs="Arial"/>
          <w:sz w:val="20"/>
          <w:szCs w:val="20"/>
          <w:lang w:val="en-GB" w:eastAsia="ja-JP"/>
        </w:rPr>
        <w:t>http://csguidance/Objectives/WPFWP/Pages/default.aspx</w:t>
      </w:r>
    </w:p>
    <w:p w14:paraId="38181260"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0E85CDD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E363FDE"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br w:type="page"/>
      </w:r>
    </w:p>
    <w:p w14:paraId="423CF92C"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36" w:name="_Toc478646921"/>
      <w:r w:rsidRPr="00C96521">
        <w:rPr>
          <w:rFonts w:ascii="Cambria" w:eastAsia="MS Gothic" w:hAnsi="Cambria"/>
          <w:b/>
          <w:bCs/>
          <w:color w:val="4F81BD"/>
          <w:sz w:val="26"/>
          <w:szCs w:val="26"/>
          <w:lang w:val="en-GB" w:eastAsia="ja-JP"/>
        </w:rPr>
        <w:lastRenderedPageBreak/>
        <w:t>Sample Countryside Stewardship Management Plan for SP9 Threatened Species Supplement</w:t>
      </w:r>
      <w:bookmarkEnd w:id="36"/>
    </w:p>
    <w:p w14:paraId="382FD870"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740"/>
      </w:tblGrid>
      <w:tr w:rsidR="00C96521" w:rsidRPr="00C96521" w14:paraId="061E6ECB" w14:textId="77777777" w:rsidTr="00C96521">
        <w:tc>
          <w:tcPr>
            <w:tcW w:w="4644" w:type="dxa"/>
            <w:shd w:val="clear" w:color="auto" w:fill="auto"/>
          </w:tcPr>
          <w:p w14:paraId="1E8F1728"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Agreement reference</w:t>
            </w:r>
          </w:p>
        </w:tc>
        <w:tc>
          <w:tcPr>
            <w:tcW w:w="4740" w:type="dxa"/>
            <w:shd w:val="clear" w:color="auto" w:fill="auto"/>
          </w:tcPr>
          <w:p w14:paraId="7278248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c>
      </w:tr>
      <w:tr w:rsidR="00C96521" w:rsidRPr="00C96521" w14:paraId="541AE532" w14:textId="77777777" w:rsidTr="00C96521">
        <w:tc>
          <w:tcPr>
            <w:tcW w:w="4644" w:type="dxa"/>
            <w:shd w:val="clear" w:color="auto" w:fill="auto"/>
          </w:tcPr>
          <w:p w14:paraId="588D1F1C"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Agreement holder</w:t>
            </w:r>
          </w:p>
        </w:tc>
        <w:tc>
          <w:tcPr>
            <w:tcW w:w="4740" w:type="dxa"/>
            <w:shd w:val="clear" w:color="auto" w:fill="auto"/>
          </w:tcPr>
          <w:p w14:paraId="38EF6C4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c>
      </w:tr>
      <w:tr w:rsidR="00C96521" w:rsidRPr="00C96521" w14:paraId="2E06F66D" w14:textId="77777777" w:rsidTr="00C96521">
        <w:tc>
          <w:tcPr>
            <w:tcW w:w="4644" w:type="dxa"/>
            <w:shd w:val="clear" w:color="auto" w:fill="auto"/>
          </w:tcPr>
          <w:p w14:paraId="26D7887B"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Target species</w:t>
            </w:r>
          </w:p>
        </w:tc>
        <w:tc>
          <w:tcPr>
            <w:tcW w:w="4740" w:type="dxa"/>
            <w:shd w:val="clear" w:color="auto" w:fill="auto"/>
          </w:tcPr>
          <w:p w14:paraId="359B9DF1" w14:textId="7AEA999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Turtle</w:t>
            </w:r>
            <w:r w:rsidR="004D5651">
              <w:rPr>
                <w:rFonts w:eastAsia="MS Mincho"/>
                <w:sz w:val="20"/>
                <w:szCs w:val="22"/>
                <w:lang w:val="en-GB" w:eastAsia="ja-JP"/>
              </w:rPr>
              <w:t xml:space="preserve"> D</w:t>
            </w:r>
            <w:r w:rsidRPr="00C96521">
              <w:rPr>
                <w:rFonts w:eastAsia="MS Mincho"/>
                <w:sz w:val="20"/>
                <w:szCs w:val="22"/>
                <w:lang w:val="en-GB" w:eastAsia="ja-JP"/>
              </w:rPr>
              <w:t>dove</w:t>
            </w:r>
          </w:p>
        </w:tc>
      </w:tr>
      <w:tr w:rsidR="00C96521" w:rsidRPr="00C96521" w14:paraId="3223F843" w14:textId="77777777" w:rsidTr="00C96521">
        <w:trPr>
          <w:trHeight w:val="595"/>
        </w:trPr>
        <w:tc>
          <w:tcPr>
            <w:tcW w:w="4644" w:type="dxa"/>
            <w:shd w:val="clear" w:color="auto" w:fill="auto"/>
          </w:tcPr>
          <w:p w14:paraId="5C287F33"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Option(s) covered by this management plan</w:t>
            </w:r>
          </w:p>
          <w:p w14:paraId="18A4ABEF"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tc>
        <w:tc>
          <w:tcPr>
            <w:tcW w:w="4740" w:type="dxa"/>
            <w:shd w:val="clear" w:color="auto" w:fill="auto"/>
          </w:tcPr>
          <w:p w14:paraId="0064B29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AB1 Nectar Flower Mix + SP9 </w:t>
            </w:r>
            <w:r w:rsidRPr="00C96521">
              <w:rPr>
                <w:rFonts w:eastAsia="MS Mincho"/>
                <w:sz w:val="20"/>
                <w:szCs w:val="22"/>
                <w:lang w:val="en-GB" w:eastAsia="en-GB"/>
              </w:rPr>
              <w:t>Threatened Species Supplement</w:t>
            </w:r>
          </w:p>
        </w:tc>
      </w:tr>
      <w:tr w:rsidR="00C96521" w:rsidRPr="00C96521" w14:paraId="02A52202" w14:textId="77777777" w:rsidTr="00C96521">
        <w:tc>
          <w:tcPr>
            <w:tcW w:w="4644" w:type="dxa"/>
            <w:tcBorders>
              <w:top w:val="single" w:sz="4" w:space="0" w:color="auto"/>
              <w:left w:val="single" w:sz="4" w:space="0" w:color="auto"/>
              <w:bottom w:val="single" w:sz="4" w:space="0" w:color="auto"/>
              <w:right w:val="single" w:sz="4" w:space="0" w:color="auto"/>
            </w:tcBorders>
            <w:shd w:val="clear" w:color="auto" w:fill="auto"/>
          </w:tcPr>
          <w:p w14:paraId="28F7FF08"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 xml:space="preserve">Field location(s) and plot size (ha) </w:t>
            </w:r>
          </w:p>
        </w:tc>
        <w:tc>
          <w:tcPr>
            <w:tcW w:w="4740" w:type="dxa"/>
            <w:tcBorders>
              <w:top w:val="single" w:sz="4" w:space="0" w:color="auto"/>
              <w:left w:val="single" w:sz="4" w:space="0" w:color="auto"/>
              <w:bottom w:val="single" w:sz="4" w:space="0" w:color="auto"/>
              <w:right w:val="single" w:sz="4" w:space="0" w:color="auto"/>
            </w:tcBorders>
            <w:shd w:val="clear" w:color="auto" w:fill="auto"/>
          </w:tcPr>
          <w:p w14:paraId="4CFF8BD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c>
      </w:tr>
    </w:tbl>
    <w:p w14:paraId="14166B37" w14:textId="77777777" w:rsidR="00C96521" w:rsidRPr="00C96521" w:rsidRDefault="00C96521" w:rsidP="00C96521">
      <w:pPr>
        <w:widowControl/>
        <w:autoSpaceDE/>
        <w:autoSpaceDN/>
        <w:adjustRightInd/>
        <w:spacing w:line="276" w:lineRule="auto"/>
        <w:rPr>
          <w:rFonts w:eastAsia="MS Mincho"/>
          <w:sz w:val="20"/>
          <w:szCs w:val="22"/>
          <w:u w:val="single"/>
          <w:lang w:val="en-GB" w:eastAsia="en-GB"/>
        </w:rPr>
      </w:pPr>
    </w:p>
    <w:p w14:paraId="3B1BD135" w14:textId="77777777" w:rsidR="00C96521" w:rsidRPr="00C96521" w:rsidRDefault="00C96521" w:rsidP="00C96521">
      <w:pPr>
        <w:widowControl/>
        <w:autoSpaceDE/>
        <w:autoSpaceDN/>
        <w:adjustRightInd/>
        <w:spacing w:line="276" w:lineRule="auto"/>
        <w:rPr>
          <w:rFonts w:eastAsia="MS Mincho"/>
          <w:b/>
          <w:sz w:val="20"/>
          <w:szCs w:val="22"/>
          <w:lang w:val="en-GB" w:eastAsia="en-GB"/>
        </w:rPr>
      </w:pPr>
      <w:r w:rsidRPr="00C96521">
        <w:rPr>
          <w:rFonts w:eastAsia="MS Mincho"/>
          <w:b/>
          <w:sz w:val="20"/>
          <w:szCs w:val="22"/>
          <w:lang w:val="en-GB" w:eastAsia="en-GB"/>
        </w:rPr>
        <w:t>Introduction</w:t>
      </w:r>
    </w:p>
    <w:p w14:paraId="3535BFE3" w14:textId="77777777" w:rsidR="00C96521" w:rsidRPr="00C96521" w:rsidRDefault="00C96521" w:rsidP="00C96521">
      <w:pPr>
        <w:widowControl/>
        <w:autoSpaceDE/>
        <w:autoSpaceDN/>
        <w:adjustRightInd/>
        <w:spacing w:line="276" w:lineRule="auto"/>
        <w:rPr>
          <w:rFonts w:eastAsia="MS Mincho"/>
          <w:sz w:val="20"/>
          <w:szCs w:val="22"/>
          <w:u w:val="single"/>
          <w:lang w:val="en-GB" w:eastAsia="en-GB"/>
        </w:rPr>
      </w:pPr>
    </w:p>
    <w:p w14:paraId="6A0F34F0" w14:textId="77777777" w:rsidR="00C96521" w:rsidRPr="00C96521" w:rsidRDefault="00C96521" w:rsidP="00C96521">
      <w:pPr>
        <w:widowControl/>
        <w:autoSpaceDE/>
        <w:autoSpaceDN/>
        <w:adjustRightInd/>
        <w:spacing w:line="276" w:lineRule="auto"/>
        <w:rPr>
          <w:rFonts w:eastAsia="MS Mincho"/>
          <w:sz w:val="20"/>
          <w:szCs w:val="22"/>
          <w:lang w:val="en-GB" w:eastAsia="en-GB"/>
        </w:rPr>
      </w:pPr>
      <w:r w:rsidRPr="00C96521">
        <w:rPr>
          <w:rFonts w:eastAsia="MS Mincho"/>
          <w:sz w:val="20"/>
          <w:szCs w:val="22"/>
          <w:lang w:val="en-GB" w:eastAsia="en-GB"/>
        </w:rPr>
        <w:t>This management plan provides tailored guidance and management prescriptions that will enable to you to deliver the bespoke turtle-dove seed mix successfully as part of your Countryside Stewardship Higher Tier Agreement.</w:t>
      </w:r>
    </w:p>
    <w:p w14:paraId="646ED458" w14:textId="77777777" w:rsidR="00C96521" w:rsidRPr="00C96521" w:rsidRDefault="00C96521" w:rsidP="00C96521">
      <w:pPr>
        <w:widowControl/>
        <w:autoSpaceDE/>
        <w:autoSpaceDN/>
        <w:adjustRightInd/>
        <w:spacing w:line="276" w:lineRule="auto"/>
        <w:rPr>
          <w:rFonts w:eastAsia="MS Mincho"/>
          <w:sz w:val="20"/>
          <w:szCs w:val="22"/>
          <w:lang w:val="en-GB" w:eastAsia="en-GB"/>
        </w:rPr>
      </w:pPr>
    </w:p>
    <w:p w14:paraId="0AD5292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en-GB"/>
        </w:rPr>
        <w:t xml:space="preserve">The bespoke guidance and prescriptions in this plan only apply to those AB1 Nectar Flower Mix plots being managed specifically for turtle-dove with the SP9 Threatened Species Supplement. </w:t>
      </w:r>
      <w:r w:rsidRPr="00C96521">
        <w:rPr>
          <w:rFonts w:eastAsia="MS Mincho"/>
          <w:sz w:val="20"/>
          <w:szCs w:val="22"/>
          <w:lang w:val="en-GB" w:eastAsia="ja-JP"/>
        </w:rPr>
        <w:t>All other AB1 plots in your agreement should be managed according to the standard prescriptions.</w:t>
      </w:r>
    </w:p>
    <w:p w14:paraId="2E98C0A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524317F" w14:textId="77777777" w:rsidR="00C96521" w:rsidRPr="00C96521" w:rsidRDefault="00C96521" w:rsidP="00C96521">
      <w:pPr>
        <w:widowControl/>
        <w:autoSpaceDE/>
        <w:autoSpaceDN/>
        <w:adjustRightInd/>
        <w:spacing w:line="276" w:lineRule="auto"/>
        <w:rPr>
          <w:rFonts w:eastAsia="MS Mincho"/>
          <w:b/>
          <w:sz w:val="20"/>
          <w:szCs w:val="22"/>
          <w:lang w:val="en-GB" w:eastAsia="en-GB"/>
        </w:rPr>
      </w:pPr>
      <w:r w:rsidRPr="00C96521">
        <w:rPr>
          <w:rFonts w:eastAsia="MS Mincho"/>
          <w:b/>
          <w:sz w:val="20"/>
          <w:szCs w:val="22"/>
          <w:lang w:val="en-GB" w:eastAsia="en-GB"/>
        </w:rPr>
        <w:t>Outcome of management</w:t>
      </w:r>
    </w:p>
    <w:p w14:paraId="488B92A7" w14:textId="77777777" w:rsidR="00C96521" w:rsidRPr="00C96521" w:rsidRDefault="00C96521" w:rsidP="00C96521">
      <w:pPr>
        <w:widowControl/>
        <w:autoSpaceDE/>
        <w:autoSpaceDN/>
        <w:adjustRightInd/>
        <w:spacing w:line="276" w:lineRule="auto"/>
        <w:rPr>
          <w:rFonts w:eastAsia="MS Mincho"/>
          <w:sz w:val="20"/>
          <w:szCs w:val="22"/>
          <w:lang w:val="en-GB" w:eastAsia="en-GB"/>
        </w:rPr>
      </w:pPr>
    </w:p>
    <w:p w14:paraId="2D85EF61" w14:textId="0083837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en-GB"/>
        </w:rPr>
        <w:t xml:space="preserve">The management detailed in this plan seeks to provide ideal foraging conditions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004D5651">
        <w:rPr>
          <w:rFonts w:eastAsia="MS Mincho"/>
          <w:sz w:val="20"/>
          <w:szCs w:val="22"/>
          <w:lang w:val="en-GB" w:eastAsia="ja-JP"/>
        </w:rPr>
        <w:t>s</w:t>
      </w:r>
      <w:r w:rsidRPr="00C96521">
        <w:rPr>
          <w:rFonts w:eastAsia="MS Mincho"/>
          <w:sz w:val="20"/>
          <w:szCs w:val="22"/>
          <w:lang w:val="en-GB" w:eastAsia="en-GB"/>
        </w:rPr>
        <w:t>: plots sown with early-seeding plants that retain an open structure from mid-April to July, allowing birds to access the seeds on the ground, located within 300 m</w:t>
      </w:r>
      <w:r w:rsidR="004D5651">
        <w:rPr>
          <w:rFonts w:eastAsia="MS Mincho"/>
          <w:sz w:val="20"/>
          <w:szCs w:val="22"/>
          <w:lang w:val="en-GB" w:eastAsia="en-GB"/>
        </w:rPr>
        <w:t>etres</w:t>
      </w:r>
      <w:r w:rsidRPr="00C96521">
        <w:rPr>
          <w:rFonts w:eastAsia="MS Mincho"/>
          <w:sz w:val="20"/>
          <w:szCs w:val="22"/>
          <w:lang w:val="en-GB" w:eastAsia="en-GB"/>
        </w:rPr>
        <w:t xml:space="preserve"> of suitable nesting habitat (tall, dense hedgerows or stands of scrub).</w:t>
      </w:r>
      <w:r w:rsidRPr="00C96521">
        <w:rPr>
          <w:rFonts w:eastAsia="MS Mincho"/>
          <w:sz w:val="20"/>
          <w:szCs w:val="22"/>
          <w:lang w:val="en-GB" w:eastAsia="ja-JP"/>
        </w:rPr>
        <w:t xml:space="preserve"> It is recogni</w:t>
      </w:r>
      <w:r w:rsidR="004D5651">
        <w:rPr>
          <w:rFonts w:eastAsia="MS Mincho"/>
          <w:sz w:val="20"/>
          <w:szCs w:val="22"/>
          <w:lang w:val="en-GB" w:eastAsia="ja-JP"/>
        </w:rPr>
        <w:t>z</w:t>
      </w:r>
      <w:r w:rsidRPr="00C96521">
        <w:rPr>
          <w:rFonts w:eastAsia="MS Mincho"/>
          <w:sz w:val="20"/>
          <w:szCs w:val="22"/>
          <w:lang w:val="en-GB" w:eastAsia="ja-JP"/>
        </w:rPr>
        <w:t xml:space="preserve">ed that maintaining both seed production and an open structure throughout the season can be a difficult balance to achieve, and is very different to a standard nectar mix plot. The following image shows the structure that needs to be achieved to be suitable for foraging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004D5651">
        <w:rPr>
          <w:rFonts w:eastAsia="MS Mincho"/>
          <w:sz w:val="20"/>
          <w:szCs w:val="22"/>
          <w:lang w:val="en-GB" w:eastAsia="ja-JP"/>
        </w:rPr>
        <w:t>s</w:t>
      </w:r>
      <w:r w:rsidRPr="00C96521">
        <w:rPr>
          <w:rFonts w:eastAsia="MS Mincho"/>
          <w:sz w:val="20"/>
          <w:szCs w:val="22"/>
          <w:lang w:val="en-GB" w:eastAsia="ja-JP"/>
        </w:rPr>
        <w:t>.</w:t>
      </w:r>
    </w:p>
    <w:p w14:paraId="063D267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2FA89D6"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drawing>
          <wp:inline distT="0" distB="0" distL="0" distR="0" wp14:anchorId="07A1E366" wp14:editId="689D6751">
            <wp:extent cx="5139546" cy="3392854"/>
            <wp:effectExtent l="19050" t="0" r="3954" b="0"/>
            <wp:docPr id="22" name="Picture 5" descr="TD mix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D mix photo 1"/>
                    <pic:cNvPicPr>
                      <a:picLocks noChangeAspect="1" noChangeArrowheads="1"/>
                    </pic:cNvPicPr>
                  </pic:nvPicPr>
                  <pic:blipFill>
                    <a:blip r:embed="rId53" cstate="print"/>
                    <a:srcRect/>
                    <a:stretch>
                      <a:fillRect/>
                    </a:stretch>
                  </pic:blipFill>
                  <pic:spPr bwMode="auto">
                    <a:xfrm>
                      <a:off x="0" y="0"/>
                      <a:ext cx="5141701" cy="3394277"/>
                    </a:xfrm>
                    <a:prstGeom prst="rect">
                      <a:avLst/>
                    </a:prstGeom>
                    <a:noFill/>
                    <a:ln w="9525">
                      <a:noFill/>
                      <a:miter lim="800000"/>
                      <a:headEnd/>
                      <a:tailEnd/>
                    </a:ln>
                  </pic:spPr>
                </pic:pic>
              </a:graphicData>
            </a:graphic>
          </wp:inline>
        </w:drawing>
      </w:r>
    </w:p>
    <w:p w14:paraId="1086BD5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C19BFE5"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22E3642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0885C2E0"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0E91C047"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lastRenderedPageBreak/>
        <w:t>Step-by-step guide</w:t>
      </w:r>
    </w:p>
    <w:p w14:paraId="088A206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360A33F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sz w:val="20"/>
          <w:szCs w:val="22"/>
          <w:lang w:val="en-GB" w:eastAsia="ja-JP"/>
        </w:rPr>
        <w:t>The following is a step-by-step guide to establishing and managing these areas during the course of your 5-year agreement (text in italics provides guidance when there are management choices to be made).</w:t>
      </w:r>
    </w:p>
    <w:p w14:paraId="407839B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F4AD0AF"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Step 1: establishing the plot in Year 1 (and Year 3) of your agreement</w:t>
      </w:r>
    </w:p>
    <w:p w14:paraId="5434B40C"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04EC0E79"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Plot size</w:t>
      </w:r>
    </w:p>
    <w:p w14:paraId="6EF3F0D3"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1F6AC9B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plot should be at least 6m wide and a maximum area of 1ha.</w:t>
      </w:r>
    </w:p>
    <w:p w14:paraId="5EC8224D"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3ED8DB1C"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Plot location</w:t>
      </w:r>
    </w:p>
    <w:p w14:paraId="205A93AC"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4DDFE06F" w14:textId="215CCED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plot should be positioned on level ground, close to suitable turtle-dove nesting habitat (within 300</w:t>
      </w:r>
      <w:r w:rsidR="004D5651">
        <w:rPr>
          <w:rFonts w:eastAsia="MS Mincho"/>
          <w:sz w:val="20"/>
          <w:szCs w:val="22"/>
          <w:lang w:val="en-GB" w:eastAsia="ja-JP"/>
        </w:rPr>
        <w:t xml:space="preserve"> </w:t>
      </w:r>
      <w:r w:rsidRPr="00C96521">
        <w:rPr>
          <w:rFonts w:eastAsia="MS Mincho"/>
          <w:sz w:val="20"/>
          <w:szCs w:val="22"/>
          <w:lang w:val="en-GB" w:eastAsia="ja-JP"/>
        </w:rPr>
        <w:t>m</w:t>
      </w:r>
      <w:r w:rsidR="004D5651">
        <w:rPr>
          <w:rFonts w:eastAsia="MS Mincho"/>
          <w:sz w:val="20"/>
          <w:szCs w:val="22"/>
          <w:lang w:val="en-GB" w:eastAsia="ja-JP"/>
        </w:rPr>
        <w:t>etres</w:t>
      </w:r>
      <w:r w:rsidRPr="00C96521">
        <w:rPr>
          <w:rFonts w:eastAsia="MS Mincho"/>
          <w:sz w:val="20"/>
          <w:szCs w:val="22"/>
          <w:lang w:val="en-GB" w:eastAsia="ja-JP"/>
        </w:rPr>
        <w:t>), or near to farm ponds or other wetland features, but not adjacent to watercourses (to minimise the risks of soil loss and run-off into watercourses). Sheltered, south-facing locations will generally be best. Areas with low soil fertility can be used, but avoid waterlogged and completely shaded locations.</w:t>
      </w:r>
    </w:p>
    <w:p w14:paraId="20B1EFF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54EE6C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Care should be taken to avoid putting this option in locations known to support rare arable plant species such as corn marigold, cornflower, night flowering catchfly and shepherd’s needle.</w:t>
      </w:r>
    </w:p>
    <w:p w14:paraId="1EF89EFD"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42F80DF3"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What to sow</w:t>
      </w:r>
    </w:p>
    <w:p w14:paraId="413C0C67"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37B49F30" w14:textId="5B7ECC9E"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following seed mix must be sown </w:t>
      </w:r>
      <w:r w:rsidR="004D5651" w:rsidRPr="00C96521">
        <w:rPr>
          <w:rFonts w:eastAsia="MS Mincho"/>
          <w:sz w:val="20"/>
          <w:szCs w:val="22"/>
          <w:lang w:val="en-GB" w:eastAsia="ja-JP"/>
        </w:rPr>
        <w:t>(</w:t>
      </w:r>
      <w:r w:rsidR="004D5651">
        <w:rPr>
          <w:rFonts w:eastAsia="MS Mincho"/>
          <w:sz w:val="20"/>
          <w:szCs w:val="22"/>
          <w:lang w:val="en-GB" w:eastAsia="ja-JP"/>
        </w:rPr>
        <w:t>percentage</w:t>
      </w:r>
      <w:r w:rsidR="004D5651" w:rsidRPr="00C96521">
        <w:rPr>
          <w:rFonts w:eastAsia="MS Mincho"/>
          <w:sz w:val="20"/>
          <w:szCs w:val="22"/>
          <w:lang w:val="en-GB" w:eastAsia="ja-JP"/>
        </w:rPr>
        <w:t xml:space="preserve"> </w:t>
      </w:r>
      <w:r w:rsidRPr="00C96521">
        <w:rPr>
          <w:rFonts w:eastAsia="MS Mincho"/>
          <w:sz w:val="20"/>
          <w:szCs w:val="22"/>
          <w:lang w:val="en-GB" w:eastAsia="ja-JP"/>
        </w:rPr>
        <w:t>of seed mix by weight) at a seed rate of 10–15 kg/ha:</w:t>
      </w:r>
    </w:p>
    <w:p w14:paraId="274BD120"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22A2868D" w14:textId="3E9CE1B8"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 xml:space="preserve">early </w:t>
      </w:r>
      <w:r w:rsidR="004D5651" w:rsidRPr="00C96521">
        <w:rPr>
          <w:rFonts w:eastAsia="MS Mincho"/>
          <w:sz w:val="20"/>
          <w:szCs w:val="22"/>
          <w:lang w:val="en-GB" w:eastAsia="ja-JP"/>
        </w:rPr>
        <w:t>English</w:t>
      </w:r>
      <w:r w:rsidRPr="00C96521">
        <w:rPr>
          <w:rFonts w:eastAsia="MS Mincho"/>
          <w:sz w:val="20"/>
          <w:szCs w:val="22"/>
          <w:lang w:val="en-GB" w:eastAsia="ja-JP"/>
        </w:rPr>
        <w:t xml:space="preserve"> common vetch (25%)</w:t>
      </w:r>
    </w:p>
    <w:p w14:paraId="5010A577" w14:textId="77777777"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birdsfoot trefoil (20%),</w:t>
      </w:r>
    </w:p>
    <w:p w14:paraId="29A8A2B2" w14:textId="77777777"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early white clover (20%)</w:t>
      </w:r>
    </w:p>
    <w:p w14:paraId="45763FAF" w14:textId="77777777"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black medick (20%)</w:t>
      </w:r>
    </w:p>
    <w:p w14:paraId="6475FF2E" w14:textId="77777777"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early red clover (10%)</w:t>
      </w:r>
    </w:p>
    <w:p w14:paraId="1DCB630D" w14:textId="77777777"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common fumitory (5%)</w:t>
      </w:r>
    </w:p>
    <w:p w14:paraId="1EA3AD4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3C8366"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On heavier soils, and where there are likely to be problems with pernicious weeds, a sowing rate of up to 15 kg/ha is recommended. On lighter soils, a sowing rate of 10 kg/ha is more likely to provide a more varied vegetation structure.</w:t>
      </w:r>
    </w:p>
    <w:p w14:paraId="14898F6A"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7C4F8130"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When to sow</w:t>
      </w:r>
    </w:p>
    <w:p w14:paraId="111C0AAC"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7BD22240" w14:textId="3813689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Sow from late August to mid-September wherever possible (ground conditions permitting) to ensure establishment before the winter dormancy period and any harsh weather. Later sowings, up to 15 October, can be considered in localities where severe/early frosts are less common and the winters are generally milder.</w:t>
      </w:r>
    </w:p>
    <w:p w14:paraId="4778F32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615DDFE"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How to sow</w:t>
      </w:r>
    </w:p>
    <w:p w14:paraId="0FF2082F"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53309B4F"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seed mix should be broadcast into a firm, fine seedbed and then rolled.</w:t>
      </w:r>
    </w:p>
    <w:p w14:paraId="0AC3144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8EE5EF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Step 2: management of plot in Year 2</w:t>
      </w:r>
    </w:p>
    <w:p w14:paraId="6BBEA5F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BF0D19D"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(a) Early spring inspection and scarification</w:t>
      </w:r>
    </w:p>
    <w:p w14:paraId="30A63D64"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748DF87F" w14:textId="5E985068"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lastRenderedPageBreak/>
        <w:t>It is vital that there is sufficient bare earth within the plot when the turtle-doves arrive on the breeding grounds. Inspect the plot by early April to ensure that the vegetation is generally &lt;12 cm in height and covers &lt;50</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the ground. If the vegetation generally exceeds this height and cover, scarify half of the plot by 15 April.</w:t>
      </w:r>
    </w:p>
    <w:p w14:paraId="058311C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04ED472"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(b) Summer cut and scarification</w:t>
      </w:r>
    </w:p>
    <w:p w14:paraId="3B38CD44"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0D2777DB" w14:textId="1830953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Cut 50</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the plot to a height of c10 cm between 15 June and 7 July. To extend the use as a foraging habitat by turtle-doves, those plots where the vegetation uniformly exceeds 12 cm in height and covers &gt;50</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the ground should be scarified to a depth of 2–3 cm immediately after cutting.</w:t>
      </w:r>
    </w:p>
    <w:p w14:paraId="3E2DD15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EC4ED10" w14:textId="6A9C735A"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The width of the scarification should be determined by the dimensions of the plot. For example, a 6m margin should have half topped (3m-wide cut), while a plot of 0.5ha should have 6</w:t>
      </w:r>
      <w:r w:rsidR="007910C0">
        <w:rPr>
          <w:rFonts w:eastAsia="MS Mincho"/>
          <w:i/>
          <w:sz w:val="20"/>
          <w:szCs w:val="22"/>
          <w:lang w:val="en-GB" w:eastAsia="ja-JP"/>
        </w:rPr>
        <w:t>-</w:t>
      </w:r>
      <w:r w:rsidRPr="00C96521">
        <w:rPr>
          <w:rFonts w:eastAsia="MS Mincho"/>
          <w:i/>
          <w:sz w:val="20"/>
          <w:szCs w:val="22"/>
          <w:lang w:val="en-GB" w:eastAsia="ja-JP"/>
        </w:rPr>
        <w:t>m</w:t>
      </w:r>
      <w:r w:rsidR="007910C0">
        <w:rPr>
          <w:rFonts w:eastAsia="MS Mincho"/>
          <w:i/>
          <w:sz w:val="20"/>
          <w:szCs w:val="22"/>
          <w:lang w:val="en-GB" w:eastAsia="ja-JP"/>
        </w:rPr>
        <w:t>etre</w:t>
      </w:r>
      <w:r w:rsidRPr="00C96521">
        <w:rPr>
          <w:rFonts w:eastAsia="MS Mincho"/>
          <w:i/>
          <w:sz w:val="20"/>
          <w:szCs w:val="22"/>
          <w:lang w:val="en-GB" w:eastAsia="ja-JP"/>
        </w:rPr>
        <w:t xml:space="preserve"> scarified strips distributed evenly across the plot, to provide the level of sward diversity (including bare ground) required by foraging birds.</w:t>
      </w:r>
    </w:p>
    <w:p w14:paraId="63C785AE"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7860629D"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(c) Autumn cut/scarification</w:t>
      </w:r>
    </w:p>
    <w:p w14:paraId="24B40B49"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2A21B8E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order to prevent the vegetation cover becoming too dense, and to encourage autumn germination of seed-producing plants, it is vital that any dense vegetation cut/flailed and removed, and then whole of the plots should be scarified to a depth of 2–3cm.</w:t>
      </w:r>
    </w:p>
    <w:p w14:paraId="6ABE3C8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F25922A"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 xml:space="preserve">Scarification or shallow cultivation can be undertaken by a range of suitable equipment such as a power harrow, set of discs or tines, or other implements appropriate to site conditions. </w:t>
      </w:r>
    </w:p>
    <w:p w14:paraId="7F651DC9"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6534A1A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b/>
          <w:sz w:val="20"/>
          <w:szCs w:val="22"/>
          <w:lang w:val="en-GB" w:eastAsia="ja-JP"/>
        </w:rPr>
        <w:t>Step 3: management of plot in Year 3</w:t>
      </w:r>
    </w:p>
    <w:p w14:paraId="2F296FD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3B4301E" w14:textId="634FF8BA"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Repeat 2a and 2b to maintain the suitability of the plot for foraging </w:t>
      </w:r>
      <w:r w:rsidR="007910C0">
        <w:rPr>
          <w:rFonts w:eastAsia="MS Mincho"/>
          <w:sz w:val="20"/>
          <w:szCs w:val="22"/>
          <w:lang w:val="en-GB" w:eastAsia="ja-JP"/>
        </w:rPr>
        <w:t>T</w:t>
      </w:r>
      <w:r w:rsidR="007910C0" w:rsidRPr="00C96521">
        <w:rPr>
          <w:rFonts w:eastAsia="MS Mincho"/>
          <w:sz w:val="20"/>
          <w:szCs w:val="22"/>
          <w:lang w:val="en-GB" w:eastAsia="ja-JP"/>
        </w:rPr>
        <w:t>urtle</w:t>
      </w:r>
      <w:r w:rsidR="007910C0">
        <w:rPr>
          <w:rFonts w:eastAsia="MS Mincho"/>
          <w:sz w:val="20"/>
          <w:szCs w:val="22"/>
          <w:lang w:val="en-GB" w:eastAsia="ja-JP"/>
        </w:rPr>
        <w:t xml:space="preserve"> D</w:t>
      </w:r>
      <w:r w:rsidR="007910C0" w:rsidRPr="00C96521">
        <w:rPr>
          <w:rFonts w:eastAsia="MS Mincho"/>
          <w:sz w:val="20"/>
          <w:szCs w:val="22"/>
          <w:lang w:val="en-GB" w:eastAsia="ja-JP"/>
        </w:rPr>
        <w:t>ove</w:t>
      </w:r>
      <w:r w:rsidR="007910C0">
        <w:rPr>
          <w:rFonts w:eastAsia="MS Mincho"/>
          <w:sz w:val="20"/>
          <w:szCs w:val="22"/>
          <w:lang w:val="en-GB" w:eastAsia="ja-JP"/>
        </w:rPr>
        <w:t>s</w:t>
      </w:r>
      <w:r w:rsidRPr="00C96521">
        <w:rPr>
          <w:rFonts w:eastAsia="MS Mincho"/>
          <w:sz w:val="20"/>
          <w:szCs w:val="22"/>
          <w:lang w:val="en-GB" w:eastAsia="ja-JP"/>
        </w:rPr>
        <w:t xml:space="preserve">. </w:t>
      </w:r>
    </w:p>
    <w:p w14:paraId="12A6E4C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7A2DBF7"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Step 4: re-establish the plot in Year 3</w:t>
      </w:r>
    </w:p>
    <w:p w14:paraId="2DDD656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186FB21" w14:textId="1538921E"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After the summer cut/scarification, allow plants to re-grow and flower for a minimum of </w:t>
      </w:r>
      <w:r w:rsidR="007910C0">
        <w:rPr>
          <w:rFonts w:eastAsia="MS Mincho"/>
          <w:sz w:val="20"/>
          <w:szCs w:val="22"/>
          <w:lang w:val="en-GB" w:eastAsia="ja-JP"/>
        </w:rPr>
        <w:t>four</w:t>
      </w:r>
      <w:r w:rsidR="007910C0" w:rsidRPr="00C96521">
        <w:rPr>
          <w:rFonts w:eastAsia="MS Mincho"/>
          <w:sz w:val="20"/>
          <w:szCs w:val="22"/>
          <w:lang w:val="en-GB" w:eastAsia="ja-JP"/>
        </w:rPr>
        <w:t xml:space="preserve"> </w:t>
      </w:r>
      <w:r w:rsidRPr="00C96521">
        <w:rPr>
          <w:rFonts w:eastAsia="MS Mincho"/>
          <w:sz w:val="20"/>
          <w:szCs w:val="22"/>
          <w:lang w:val="en-GB" w:eastAsia="ja-JP"/>
        </w:rPr>
        <w:t>weeks before repeating step 1 to re-establish the plot. To do this, you can either re-sow the seed mix in the same location or bring that land back into the normal arable rotation and move the plot a new suitable location.</w:t>
      </w:r>
    </w:p>
    <w:p w14:paraId="525CE00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00A56FC"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Step 5: management of the plot in Years 4 and 5</w:t>
      </w:r>
    </w:p>
    <w:p w14:paraId="37B7EC7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5F7992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Repeat 2a, 2b and 2c Year 4 of your agreement, and 2b and 2c in Year 5. </w:t>
      </w:r>
    </w:p>
    <w:p w14:paraId="26BB33AD" w14:textId="77777777" w:rsidR="00C96521" w:rsidRPr="00C96521" w:rsidRDefault="00C96521" w:rsidP="00C96521">
      <w:pPr>
        <w:widowControl/>
        <w:autoSpaceDE/>
        <w:autoSpaceDN/>
        <w:adjustRightInd/>
        <w:spacing w:line="276" w:lineRule="auto"/>
        <w:rPr>
          <w:rFonts w:eastAsia="MS Gothic"/>
          <w:b/>
          <w:bCs/>
          <w:color w:val="365F91"/>
          <w:sz w:val="32"/>
          <w:szCs w:val="28"/>
          <w:lang w:val="en-GB" w:eastAsia="ja-JP"/>
        </w:rPr>
      </w:pPr>
      <w:r w:rsidRPr="00C96521">
        <w:rPr>
          <w:rFonts w:eastAsia="MS Mincho"/>
          <w:sz w:val="20"/>
          <w:szCs w:val="22"/>
          <w:lang w:val="en-GB" w:eastAsia="ja-JP"/>
        </w:rPr>
        <w:br w:type="page"/>
      </w:r>
    </w:p>
    <w:p w14:paraId="76BA4AC3"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37" w:name="_Toc478646922"/>
      <w:r w:rsidRPr="00C96521">
        <w:rPr>
          <w:rFonts w:eastAsia="MS Gothic"/>
          <w:b/>
          <w:bCs/>
          <w:color w:val="365F91"/>
          <w:sz w:val="32"/>
          <w:szCs w:val="28"/>
          <w:lang w:val="en-GB" w:eastAsia="ja-JP"/>
        </w:rPr>
        <w:lastRenderedPageBreak/>
        <w:t>Annex 4: ADAPTIVE HARVEST MANAGEMENT PLAN</w:t>
      </w:r>
      <w:bookmarkEnd w:id="37"/>
    </w:p>
    <w:p w14:paraId="63D30FA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30C5A67" w14:textId="1CBC1944" w:rsidR="00C96521" w:rsidRPr="00C96521" w:rsidRDefault="00C96521" w:rsidP="00C96521">
      <w:pPr>
        <w:widowControl/>
        <w:autoSpaceDE/>
        <w:autoSpaceDN/>
        <w:adjustRightInd/>
        <w:spacing w:line="276" w:lineRule="auto"/>
        <w:rPr>
          <w:rFonts w:eastAsia="MS Mincho"/>
          <w:color w:val="FF0000"/>
          <w:sz w:val="20"/>
          <w:szCs w:val="22"/>
          <w:lang w:val="en-GB" w:eastAsia="ja-JP"/>
        </w:rPr>
      </w:pPr>
      <w:r w:rsidRPr="00C96521">
        <w:rPr>
          <w:rFonts w:eastAsia="MS Mincho"/>
          <w:color w:val="FF0000"/>
          <w:sz w:val="20"/>
          <w:szCs w:val="22"/>
          <w:lang w:val="en-GB" w:eastAsia="ja-JP"/>
        </w:rPr>
        <w:t xml:space="preserve">[Editors' note: work to develop </w:t>
      </w:r>
      <w:r w:rsidR="00CB5111">
        <w:rPr>
          <w:rFonts w:eastAsia="MS Mincho"/>
          <w:color w:val="FF0000"/>
          <w:sz w:val="20"/>
          <w:szCs w:val="22"/>
          <w:lang w:val="en-GB" w:eastAsia="ja-JP"/>
        </w:rPr>
        <w:t>sustainable hunting models for Turtle D</w:t>
      </w:r>
      <w:r w:rsidRPr="00C96521">
        <w:rPr>
          <w:rFonts w:eastAsia="MS Mincho"/>
          <w:color w:val="FF0000"/>
          <w:sz w:val="20"/>
          <w:szCs w:val="22"/>
          <w:lang w:val="en-GB" w:eastAsia="ja-JP"/>
        </w:rPr>
        <w:t>ove is ongoing during the consultation on this first draft]</w:t>
      </w:r>
    </w:p>
    <w:p w14:paraId="7BF4E7FF" w14:textId="5BD802A4"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38" w:name="_Toc478646923"/>
      <w:r w:rsidRPr="00C96521">
        <w:rPr>
          <w:rFonts w:ascii="Cambria" w:eastAsia="MS Gothic" w:hAnsi="Cambria"/>
          <w:b/>
          <w:bCs/>
          <w:color w:val="4F81BD"/>
          <w:sz w:val="26"/>
          <w:szCs w:val="26"/>
          <w:lang w:val="en-GB" w:eastAsia="ja-JP"/>
        </w:rPr>
        <w:t xml:space="preserve">Estimating hunting sustainability of </w:t>
      </w:r>
      <w:r w:rsidR="007910C0">
        <w:rPr>
          <w:rFonts w:ascii="Cambria" w:eastAsia="MS Gothic" w:hAnsi="Cambria"/>
          <w:b/>
          <w:bCs/>
          <w:color w:val="4F81BD"/>
          <w:sz w:val="26"/>
          <w:szCs w:val="26"/>
          <w:lang w:val="en-GB" w:eastAsia="ja-JP"/>
        </w:rPr>
        <w:t>T</w:t>
      </w:r>
      <w:r w:rsidRPr="00C96521">
        <w:rPr>
          <w:rFonts w:ascii="Cambria" w:eastAsia="MS Gothic" w:hAnsi="Cambria"/>
          <w:b/>
          <w:bCs/>
          <w:color w:val="4F81BD"/>
          <w:sz w:val="26"/>
          <w:szCs w:val="26"/>
          <w:lang w:val="en-GB" w:eastAsia="ja-JP"/>
        </w:rPr>
        <w:t xml:space="preserve">urtle </w:t>
      </w:r>
      <w:r w:rsidR="007910C0">
        <w:rPr>
          <w:rFonts w:ascii="Cambria" w:eastAsia="MS Gothic" w:hAnsi="Cambria"/>
          <w:b/>
          <w:bCs/>
          <w:color w:val="4F81BD"/>
          <w:sz w:val="26"/>
          <w:szCs w:val="26"/>
          <w:lang w:val="en-GB" w:eastAsia="ja-JP"/>
        </w:rPr>
        <w:t>D</w:t>
      </w:r>
      <w:r w:rsidRPr="00C96521">
        <w:rPr>
          <w:rFonts w:ascii="Cambria" w:eastAsia="MS Gothic" w:hAnsi="Cambria"/>
          <w:b/>
          <w:bCs/>
          <w:color w:val="4F81BD"/>
          <w:sz w:val="26"/>
          <w:szCs w:val="26"/>
          <w:lang w:val="en-GB" w:eastAsia="ja-JP"/>
        </w:rPr>
        <w:t>oves using the western flyway: a first approach based on the use of demographic invariants</w:t>
      </w:r>
      <w:bookmarkEnd w:id="38"/>
      <w:r w:rsidRPr="00C96521">
        <w:rPr>
          <w:rFonts w:ascii="Cambria" w:eastAsia="MS Gothic" w:hAnsi="Cambria"/>
          <w:b/>
          <w:bCs/>
          <w:color w:val="4F81BD"/>
          <w:sz w:val="26"/>
          <w:szCs w:val="26"/>
          <w:lang w:val="en-GB" w:eastAsia="ja-JP"/>
        </w:rPr>
        <w:t xml:space="preserve"> </w:t>
      </w:r>
    </w:p>
    <w:p w14:paraId="7D7525E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123B3FDF" w14:textId="77777777" w:rsidR="00C96521" w:rsidRPr="00C96521" w:rsidRDefault="00C96521" w:rsidP="00C96521">
      <w:pPr>
        <w:widowControl/>
        <w:shd w:val="clear" w:color="auto" w:fill="FFFFFF"/>
        <w:autoSpaceDE/>
        <w:autoSpaceDN/>
        <w:adjustRightInd/>
        <w:rPr>
          <w:rFonts w:cs="Arial"/>
          <w:color w:val="212121"/>
          <w:sz w:val="20"/>
          <w:szCs w:val="20"/>
          <w:lang w:val="en-GB" w:eastAsia="ja-JP"/>
        </w:rPr>
      </w:pPr>
      <w:r w:rsidRPr="00C96521">
        <w:rPr>
          <w:rFonts w:cs="Arial"/>
          <w:color w:val="212121"/>
          <w:sz w:val="20"/>
          <w:szCs w:val="20"/>
          <w:lang w:val="en-GB" w:eastAsia="ja-JP"/>
        </w:rPr>
        <w:t>Hervé LORMÉE</w:t>
      </w:r>
      <w:r w:rsidRPr="00C96521">
        <w:rPr>
          <w:rFonts w:cs="Arial"/>
          <w:color w:val="212121"/>
          <w:sz w:val="20"/>
          <w:szCs w:val="20"/>
          <w:vertAlign w:val="superscript"/>
          <w:lang w:val="en-GB" w:eastAsia="ja-JP"/>
        </w:rPr>
        <w:t>1</w:t>
      </w:r>
      <w:r w:rsidRPr="00C96521">
        <w:rPr>
          <w:rFonts w:cs="Arial"/>
          <w:color w:val="212121"/>
          <w:sz w:val="20"/>
          <w:szCs w:val="20"/>
          <w:lang w:val="en-GB" w:eastAsia="ja-JP"/>
        </w:rPr>
        <w:t>, Lara MORENO</w:t>
      </w:r>
      <w:r w:rsidRPr="00C96521">
        <w:rPr>
          <w:rFonts w:cs="Arial"/>
          <w:color w:val="212121"/>
          <w:sz w:val="20"/>
          <w:szCs w:val="20"/>
          <w:vertAlign w:val="superscript"/>
          <w:lang w:val="en-GB" w:eastAsia="ja-JP"/>
        </w:rPr>
        <w:t>2</w:t>
      </w:r>
      <w:r w:rsidRPr="00C96521">
        <w:rPr>
          <w:rFonts w:cs="Arial"/>
          <w:color w:val="212121"/>
          <w:sz w:val="20"/>
          <w:szCs w:val="20"/>
          <w:lang w:val="en-GB" w:eastAsia="ja-JP"/>
        </w:rPr>
        <w:t>, Carles CARBONERAS</w:t>
      </w:r>
      <w:r w:rsidRPr="00C96521">
        <w:rPr>
          <w:rFonts w:cs="Arial"/>
          <w:color w:val="212121"/>
          <w:sz w:val="20"/>
          <w:szCs w:val="20"/>
          <w:vertAlign w:val="superscript"/>
          <w:lang w:val="en-GB" w:eastAsia="ja-JP"/>
        </w:rPr>
        <w:t>3</w:t>
      </w:r>
      <w:r w:rsidRPr="00C96521">
        <w:rPr>
          <w:rFonts w:cs="Arial"/>
          <w:color w:val="212121"/>
          <w:sz w:val="20"/>
          <w:szCs w:val="20"/>
          <w:lang w:val="en-GB" w:eastAsia="ja-JP"/>
        </w:rPr>
        <w:t>, Will PEACH</w:t>
      </w:r>
      <w:r w:rsidRPr="00C96521">
        <w:rPr>
          <w:rFonts w:cs="Arial"/>
          <w:color w:val="212121"/>
          <w:sz w:val="20"/>
          <w:szCs w:val="20"/>
          <w:vertAlign w:val="superscript"/>
          <w:lang w:val="en-GB" w:eastAsia="ja-JP"/>
        </w:rPr>
        <w:t>3</w:t>
      </w:r>
      <w:r w:rsidRPr="00C96521">
        <w:rPr>
          <w:rFonts w:cs="Arial"/>
          <w:color w:val="212121"/>
          <w:sz w:val="20"/>
          <w:szCs w:val="20"/>
          <w:lang w:val="en-GB" w:eastAsia="ja-JP"/>
        </w:rPr>
        <w:t>, Christophe BARBRAUD</w:t>
      </w:r>
      <w:r w:rsidRPr="00C96521">
        <w:rPr>
          <w:rFonts w:cs="Arial"/>
          <w:color w:val="212121"/>
          <w:sz w:val="20"/>
          <w:szCs w:val="20"/>
          <w:vertAlign w:val="superscript"/>
          <w:lang w:val="en-GB" w:eastAsia="ja-JP"/>
        </w:rPr>
        <w:t>4</w:t>
      </w:r>
      <w:r w:rsidRPr="00C96521">
        <w:rPr>
          <w:rFonts w:cs="Arial"/>
          <w:color w:val="212121"/>
          <w:sz w:val="20"/>
          <w:szCs w:val="20"/>
          <w:lang w:val="en-GB" w:eastAsia="ja-JP"/>
        </w:rPr>
        <w:t> and Cyril ERAUD</w:t>
      </w:r>
      <w:r w:rsidRPr="00C96521">
        <w:rPr>
          <w:rFonts w:cs="Arial"/>
          <w:color w:val="212121"/>
          <w:sz w:val="20"/>
          <w:szCs w:val="20"/>
          <w:vertAlign w:val="superscript"/>
          <w:lang w:val="en-GB" w:eastAsia="ja-JP"/>
        </w:rPr>
        <w:t>1</w:t>
      </w:r>
      <w:r w:rsidRPr="00C96521">
        <w:rPr>
          <w:rFonts w:cs="Arial"/>
          <w:color w:val="212121"/>
          <w:sz w:val="20"/>
          <w:szCs w:val="20"/>
          <w:lang w:val="en-GB" w:eastAsia="ja-JP"/>
        </w:rPr>
        <w:t>.</w:t>
      </w:r>
    </w:p>
    <w:p w14:paraId="060E0FBA" w14:textId="77777777" w:rsidR="00C96521" w:rsidRPr="00C96521" w:rsidRDefault="00C96521" w:rsidP="00C96521">
      <w:pPr>
        <w:widowControl/>
        <w:shd w:val="clear" w:color="auto" w:fill="FFFFFF"/>
        <w:autoSpaceDE/>
        <w:autoSpaceDN/>
        <w:adjustRightInd/>
        <w:jc w:val="both"/>
        <w:rPr>
          <w:rFonts w:cs="Arial"/>
          <w:color w:val="212121"/>
          <w:sz w:val="20"/>
          <w:szCs w:val="20"/>
          <w:lang w:val="en-GB" w:eastAsia="ja-JP"/>
        </w:rPr>
      </w:pPr>
      <w:r w:rsidRPr="00C96521">
        <w:rPr>
          <w:rFonts w:cs="Arial"/>
          <w:color w:val="212121"/>
          <w:sz w:val="20"/>
          <w:szCs w:val="20"/>
          <w:lang w:val="en-GB" w:eastAsia="ja-JP"/>
        </w:rPr>
        <w:t> </w:t>
      </w:r>
    </w:p>
    <w:p w14:paraId="647E1182" w14:textId="77777777" w:rsidR="00C96521" w:rsidRPr="00890F11" w:rsidRDefault="00C96521" w:rsidP="00C96521">
      <w:pPr>
        <w:widowControl/>
        <w:shd w:val="clear" w:color="auto" w:fill="FFFFFF"/>
        <w:autoSpaceDE/>
        <w:autoSpaceDN/>
        <w:adjustRightInd/>
        <w:rPr>
          <w:rFonts w:cs="Arial"/>
          <w:color w:val="212121"/>
          <w:sz w:val="20"/>
          <w:szCs w:val="20"/>
          <w:lang w:val="fr-FR" w:eastAsia="ja-JP"/>
        </w:rPr>
      </w:pPr>
      <w:r w:rsidRPr="00890F11">
        <w:rPr>
          <w:rFonts w:cs="Arial"/>
          <w:color w:val="212121"/>
          <w:sz w:val="20"/>
          <w:szCs w:val="20"/>
          <w:vertAlign w:val="superscript"/>
          <w:lang w:val="fr-FR" w:eastAsia="ja-JP"/>
        </w:rPr>
        <w:t>1</w:t>
      </w:r>
      <w:r w:rsidRPr="00890F11">
        <w:rPr>
          <w:rFonts w:cs="Arial"/>
          <w:color w:val="212121"/>
          <w:sz w:val="20"/>
          <w:szCs w:val="20"/>
          <w:lang w:val="fr-FR" w:eastAsia="ja-JP"/>
        </w:rPr>
        <w:t>Office National de la Chasse et de la Faune Sauvage, 79360 Villiers en Bois, France.</w:t>
      </w:r>
    </w:p>
    <w:p w14:paraId="5372983E" w14:textId="555797A4" w:rsidR="00C96521" w:rsidRPr="00890F11" w:rsidRDefault="00C96521" w:rsidP="00C96521">
      <w:pPr>
        <w:widowControl/>
        <w:shd w:val="clear" w:color="auto" w:fill="FFFFFF"/>
        <w:autoSpaceDE/>
        <w:autoSpaceDN/>
        <w:adjustRightInd/>
        <w:rPr>
          <w:rFonts w:cs="Arial"/>
          <w:color w:val="212121"/>
          <w:sz w:val="20"/>
          <w:szCs w:val="20"/>
          <w:lang w:val="es-ES" w:eastAsia="ja-JP"/>
        </w:rPr>
      </w:pPr>
      <w:r w:rsidRPr="00890F11">
        <w:rPr>
          <w:rFonts w:cs="Arial"/>
          <w:color w:val="212121"/>
          <w:sz w:val="20"/>
          <w:szCs w:val="20"/>
          <w:vertAlign w:val="superscript"/>
          <w:lang w:val="es-ES" w:eastAsia="ja-JP"/>
        </w:rPr>
        <w:t>2</w:t>
      </w:r>
      <w:r w:rsidRPr="00890F11">
        <w:rPr>
          <w:rFonts w:cs="Arial"/>
          <w:color w:val="212121"/>
          <w:sz w:val="20"/>
          <w:szCs w:val="20"/>
          <w:lang w:val="es-ES" w:eastAsia="ja-JP"/>
        </w:rPr>
        <w:t xml:space="preserve">Instituto de </w:t>
      </w:r>
      <w:r w:rsidR="007910C0" w:rsidRPr="00890F11">
        <w:rPr>
          <w:rFonts w:cs="Arial"/>
          <w:color w:val="212121"/>
          <w:sz w:val="20"/>
          <w:szCs w:val="20"/>
          <w:lang w:val="es-ES" w:eastAsia="ja-JP"/>
        </w:rPr>
        <w:t>Investigación</w:t>
      </w:r>
      <w:r w:rsidRPr="00890F11">
        <w:rPr>
          <w:rFonts w:cs="Arial"/>
          <w:color w:val="212121"/>
          <w:sz w:val="20"/>
          <w:szCs w:val="20"/>
          <w:lang w:val="es-ES" w:eastAsia="ja-JP"/>
        </w:rPr>
        <w:t xml:space="preserve"> en Recursos </w:t>
      </w:r>
      <w:r w:rsidR="007910C0" w:rsidRPr="00890F11">
        <w:rPr>
          <w:rFonts w:cs="Arial"/>
          <w:color w:val="212121"/>
          <w:sz w:val="20"/>
          <w:szCs w:val="20"/>
          <w:lang w:val="es-ES" w:eastAsia="ja-JP"/>
        </w:rPr>
        <w:t>Cinegéticos</w:t>
      </w:r>
      <w:r w:rsidRPr="00890F11">
        <w:rPr>
          <w:rFonts w:cs="Arial"/>
          <w:color w:val="212121"/>
          <w:sz w:val="20"/>
          <w:szCs w:val="20"/>
          <w:lang w:val="es-ES" w:eastAsia="ja-JP"/>
        </w:rPr>
        <w:t>, Ronda de Toledo s/n, 13005 Ciudad Real,</w:t>
      </w:r>
      <w:r w:rsidRPr="00890F11">
        <w:rPr>
          <w:rFonts w:ascii="Times New Roman" w:hAnsi="Times New Roman"/>
          <w:sz w:val="24"/>
          <w:lang w:val="es-ES" w:eastAsia="ja-JP"/>
        </w:rPr>
        <w:t> </w:t>
      </w:r>
      <w:r w:rsidRPr="00890F11">
        <w:rPr>
          <w:rFonts w:cs="Arial"/>
          <w:color w:val="212121"/>
          <w:sz w:val="20"/>
          <w:szCs w:val="20"/>
          <w:lang w:val="es-ES" w:eastAsia="ja-JP"/>
        </w:rPr>
        <w:t>Spain.</w:t>
      </w:r>
    </w:p>
    <w:p w14:paraId="6E477191" w14:textId="77777777" w:rsidR="00C96521" w:rsidRPr="00C96521" w:rsidRDefault="00C96521" w:rsidP="00C96521">
      <w:pPr>
        <w:widowControl/>
        <w:shd w:val="clear" w:color="auto" w:fill="FFFFFF"/>
        <w:autoSpaceDE/>
        <w:autoSpaceDN/>
        <w:adjustRightInd/>
        <w:rPr>
          <w:rFonts w:cs="Arial"/>
          <w:color w:val="212121"/>
          <w:sz w:val="20"/>
          <w:szCs w:val="20"/>
          <w:lang w:val="en-GB" w:eastAsia="ja-JP"/>
        </w:rPr>
      </w:pPr>
      <w:r w:rsidRPr="00C96521">
        <w:rPr>
          <w:rFonts w:cs="Arial"/>
          <w:color w:val="212121"/>
          <w:sz w:val="20"/>
          <w:szCs w:val="20"/>
          <w:vertAlign w:val="superscript"/>
          <w:lang w:val="en-GB" w:eastAsia="ja-JP"/>
        </w:rPr>
        <w:t>3</w:t>
      </w:r>
      <w:r w:rsidRPr="00C96521">
        <w:rPr>
          <w:rFonts w:cs="Arial"/>
          <w:color w:val="212121"/>
          <w:sz w:val="20"/>
          <w:szCs w:val="20"/>
          <w:lang w:val="en-GB" w:eastAsia="ja-JP"/>
        </w:rPr>
        <w:t>RSPB,</w:t>
      </w:r>
      <w:r w:rsidRPr="00C96521">
        <w:rPr>
          <w:rFonts w:ascii="Times New Roman" w:hAnsi="Times New Roman"/>
          <w:sz w:val="24"/>
          <w:lang w:val="en-GB" w:eastAsia="ja-JP"/>
        </w:rPr>
        <w:t> </w:t>
      </w:r>
      <w:r w:rsidRPr="00C96521">
        <w:rPr>
          <w:rFonts w:cs="Arial"/>
          <w:color w:val="212121"/>
          <w:sz w:val="20"/>
          <w:szCs w:val="20"/>
          <w:lang w:val="en-GB" w:eastAsia="ja-JP"/>
        </w:rPr>
        <w:t>The Lodge, Sandy, Bedfordshire SG19 2DL, UK.</w:t>
      </w:r>
    </w:p>
    <w:p w14:paraId="45DCA8DC" w14:textId="096E6C63" w:rsidR="00C96521" w:rsidRPr="00890F11" w:rsidRDefault="00C96521" w:rsidP="00C96521">
      <w:pPr>
        <w:widowControl/>
        <w:shd w:val="clear" w:color="auto" w:fill="FFFFFF"/>
        <w:autoSpaceDE/>
        <w:autoSpaceDN/>
        <w:adjustRightInd/>
        <w:rPr>
          <w:rFonts w:cs="Arial"/>
          <w:color w:val="212121"/>
          <w:sz w:val="20"/>
          <w:szCs w:val="20"/>
          <w:lang w:val="fr-FR" w:eastAsia="ja-JP"/>
        </w:rPr>
      </w:pPr>
      <w:r w:rsidRPr="00890F11">
        <w:rPr>
          <w:rFonts w:cs="Arial"/>
          <w:color w:val="212121"/>
          <w:sz w:val="20"/>
          <w:szCs w:val="20"/>
          <w:vertAlign w:val="superscript"/>
          <w:lang w:val="fr-FR" w:eastAsia="ja-JP"/>
        </w:rPr>
        <w:t>4</w:t>
      </w:r>
      <w:r w:rsidRPr="00890F11">
        <w:rPr>
          <w:rFonts w:cs="Arial"/>
          <w:color w:val="212121"/>
          <w:sz w:val="20"/>
          <w:szCs w:val="20"/>
          <w:lang w:val="fr-FR" w:eastAsia="ja-JP"/>
        </w:rPr>
        <w:t>Centre d’</w:t>
      </w:r>
      <w:r w:rsidR="007910C0">
        <w:rPr>
          <w:rFonts w:cs="Arial"/>
          <w:color w:val="212121"/>
          <w:sz w:val="20"/>
          <w:szCs w:val="20"/>
          <w:lang w:val="fr-FR" w:eastAsia="ja-JP"/>
        </w:rPr>
        <w:t>É</w:t>
      </w:r>
      <w:r w:rsidRPr="00890F11">
        <w:rPr>
          <w:rFonts w:cs="Arial"/>
          <w:color w:val="212121"/>
          <w:sz w:val="20"/>
          <w:szCs w:val="20"/>
          <w:lang w:val="fr-FR" w:eastAsia="ja-JP"/>
        </w:rPr>
        <w:t>tudes Biologiques de Chizé, UMR 7372 Centre National de la Recherche Scientifique, Université La Rochelle, 79360 Villiers en Bois, France.</w:t>
      </w:r>
    </w:p>
    <w:p w14:paraId="3D46CA07" w14:textId="77777777" w:rsidR="00C96521" w:rsidRPr="00890F11" w:rsidRDefault="00C96521" w:rsidP="00C96521">
      <w:pPr>
        <w:widowControl/>
        <w:autoSpaceDE/>
        <w:autoSpaceDN/>
        <w:adjustRightInd/>
        <w:spacing w:line="276" w:lineRule="auto"/>
        <w:jc w:val="both"/>
        <w:rPr>
          <w:rFonts w:eastAsia="MS Mincho" w:cs="Arial"/>
          <w:sz w:val="20"/>
          <w:szCs w:val="20"/>
          <w:lang w:val="fr-FR" w:eastAsia="ja-JP"/>
        </w:rPr>
      </w:pPr>
    </w:p>
    <w:p w14:paraId="5FC13AAB" w14:textId="77777777" w:rsidR="00C96521" w:rsidRPr="00890F11" w:rsidRDefault="00C96521" w:rsidP="00C96521">
      <w:pPr>
        <w:widowControl/>
        <w:autoSpaceDE/>
        <w:autoSpaceDN/>
        <w:adjustRightInd/>
        <w:spacing w:line="276" w:lineRule="auto"/>
        <w:rPr>
          <w:rFonts w:eastAsia="MS Mincho" w:cs="Arial"/>
          <w:sz w:val="20"/>
          <w:szCs w:val="20"/>
          <w:lang w:val="fr-FR" w:eastAsia="ja-JP"/>
        </w:rPr>
      </w:pPr>
    </w:p>
    <w:p w14:paraId="12F4A0F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main objective of this approach is to estimate a maximum harvestable population of turtle doves using the western flyway (P), based on the methodology proposed by Niel and Lebreton (2005) and to compare the estimated values of P though a range of scenario with the most recent estimate of hunting bags for the western flyway.</w:t>
      </w:r>
    </w:p>
    <w:p w14:paraId="4DCF09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1AB8E069" w14:textId="77777777" w:rsidR="00C96521" w:rsidRPr="00C96521" w:rsidRDefault="00C96521" w:rsidP="00C96521">
      <w:pPr>
        <w:widowControl/>
        <w:autoSpaceDE/>
        <w:autoSpaceDN/>
        <w:adjustRightInd/>
        <w:spacing w:line="276" w:lineRule="auto"/>
        <w:rPr>
          <w:rFonts w:eastAsia="MS Mincho" w:cs="Arial"/>
          <w:b/>
          <w:sz w:val="20"/>
          <w:szCs w:val="20"/>
          <w:lang w:val="en-GB" w:eastAsia="ja-JP"/>
        </w:rPr>
      </w:pPr>
      <w:r w:rsidRPr="00C96521">
        <w:rPr>
          <w:rFonts w:eastAsia="MS Mincho" w:cs="Arial"/>
          <w:b/>
          <w:sz w:val="20"/>
          <w:szCs w:val="20"/>
          <w:lang w:val="en-GB" w:eastAsia="ja-JP"/>
        </w:rPr>
        <w:t>Area of analysis</w:t>
      </w:r>
    </w:p>
    <w:p w14:paraId="4185E02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7F61BDA" w14:textId="71F273BC" w:rsidR="00965D7D"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Marx </w:t>
      </w:r>
      <w:r w:rsidRPr="00C96521">
        <w:rPr>
          <w:rFonts w:eastAsia="MS Mincho" w:cs="Arial"/>
          <w:i/>
          <w:sz w:val="20"/>
          <w:szCs w:val="20"/>
          <w:lang w:val="en-GB" w:eastAsia="ja-JP"/>
        </w:rPr>
        <w:t>et al</w:t>
      </w:r>
      <w:r w:rsidRPr="00C96521">
        <w:rPr>
          <w:rFonts w:eastAsia="MS Mincho" w:cs="Arial"/>
          <w:sz w:val="20"/>
          <w:szCs w:val="20"/>
          <w:lang w:val="en-GB" w:eastAsia="ja-JP"/>
        </w:rPr>
        <w:t xml:space="preserve"> (2016) was used to assign countries to the western or central flyway. No information was available for Switzerland, but it has been included in the western flyway. Italy falls within the central flyway according to Marx </w:t>
      </w:r>
      <w:r w:rsidRPr="00C96521">
        <w:rPr>
          <w:rFonts w:eastAsia="MS Mincho" w:cs="Arial"/>
          <w:i/>
          <w:sz w:val="20"/>
          <w:szCs w:val="20"/>
          <w:lang w:val="en-GB" w:eastAsia="ja-JP"/>
        </w:rPr>
        <w:t>et al</w:t>
      </w:r>
      <w:r w:rsidRPr="00C96521">
        <w:rPr>
          <w:rFonts w:eastAsia="MS Mincho" w:cs="Arial"/>
          <w:sz w:val="20"/>
          <w:szCs w:val="20"/>
          <w:lang w:val="en-GB" w:eastAsia="ja-JP"/>
        </w:rPr>
        <w:t xml:space="preserve"> (2016), and for the initial analysis, it was not included. Population sizes can be found in Table 2.</w:t>
      </w:r>
    </w:p>
    <w:p w14:paraId="7D4ED8AC" w14:textId="77777777" w:rsidR="00965D7D" w:rsidRDefault="00965D7D">
      <w:pPr>
        <w:widowControl/>
        <w:autoSpaceDE/>
        <w:autoSpaceDN/>
        <w:adjustRightInd/>
        <w:rPr>
          <w:rFonts w:eastAsia="MS Mincho" w:cs="Arial"/>
          <w:sz w:val="20"/>
          <w:szCs w:val="20"/>
          <w:lang w:val="en-GB" w:eastAsia="ja-JP"/>
        </w:rPr>
      </w:pPr>
      <w:r>
        <w:rPr>
          <w:rFonts w:eastAsia="MS Mincho" w:cs="Arial"/>
          <w:sz w:val="20"/>
          <w:szCs w:val="20"/>
          <w:lang w:val="en-GB" w:eastAsia="ja-JP"/>
        </w:rPr>
        <w:br w:type="page"/>
      </w:r>
    </w:p>
    <w:p w14:paraId="14ECBE85" w14:textId="77777777" w:rsidR="00C96521" w:rsidRPr="00C96521" w:rsidRDefault="00C96521" w:rsidP="00C96521">
      <w:pPr>
        <w:widowControl/>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lastRenderedPageBreak/>
        <w:t>Table 7. Base data for sustainable hunting model analyses</w:t>
      </w:r>
    </w:p>
    <w:p w14:paraId="5955B50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bl>
      <w:tblPr>
        <w:tblW w:w="9977" w:type="dxa"/>
        <w:tblInd w:w="-72" w:type="dxa"/>
        <w:tblCellMar>
          <w:left w:w="70" w:type="dxa"/>
          <w:right w:w="70" w:type="dxa"/>
        </w:tblCellMar>
        <w:tblLook w:val="0000" w:firstRow="0" w:lastRow="0" w:firstColumn="0" w:lastColumn="0" w:noHBand="0" w:noVBand="0"/>
      </w:tblPr>
      <w:tblGrid>
        <w:gridCol w:w="1083"/>
        <w:gridCol w:w="852"/>
        <w:gridCol w:w="852"/>
        <w:gridCol w:w="755"/>
        <w:gridCol w:w="860"/>
        <w:gridCol w:w="843"/>
        <w:gridCol w:w="851"/>
        <w:gridCol w:w="1134"/>
        <w:gridCol w:w="1134"/>
        <w:gridCol w:w="850"/>
        <w:gridCol w:w="763"/>
      </w:tblGrid>
      <w:tr w:rsidR="00C96521" w:rsidRPr="00C96521" w14:paraId="6C6DFFD5" w14:textId="77777777" w:rsidTr="00C96521">
        <w:trPr>
          <w:trHeight w:val="690"/>
        </w:trPr>
        <w:tc>
          <w:tcPr>
            <w:tcW w:w="1083" w:type="dxa"/>
            <w:tcBorders>
              <w:top w:val="single" w:sz="8" w:space="0" w:color="C0C0C0"/>
              <w:left w:val="single" w:sz="8" w:space="0" w:color="C0C0C0"/>
              <w:bottom w:val="single" w:sz="8" w:space="0" w:color="C0C0C0"/>
              <w:right w:val="single" w:sz="8" w:space="0" w:color="C0C0C0"/>
            </w:tcBorders>
            <w:shd w:val="clear" w:color="auto" w:fill="CCCCFF"/>
          </w:tcPr>
          <w:p w14:paraId="480FB18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Country</w:t>
            </w:r>
          </w:p>
        </w:tc>
        <w:tc>
          <w:tcPr>
            <w:tcW w:w="852" w:type="dxa"/>
            <w:tcBorders>
              <w:top w:val="single" w:sz="8" w:space="0" w:color="C0C0C0"/>
              <w:left w:val="nil"/>
              <w:bottom w:val="single" w:sz="8" w:space="0" w:color="C0C0C0"/>
              <w:right w:val="single" w:sz="8" w:space="0" w:color="C0C0C0"/>
            </w:tcBorders>
            <w:shd w:val="clear" w:color="auto" w:fill="CCCCFF"/>
          </w:tcPr>
          <w:p w14:paraId="1D1A60E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Pop size (pairs) min</w:t>
            </w:r>
          </w:p>
        </w:tc>
        <w:tc>
          <w:tcPr>
            <w:tcW w:w="852" w:type="dxa"/>
            <w:tcBorders>
              <w:top w:val="single" w:sz="8" w:space="0" w:color="C0C0C0"/>
              <w:left w:val="nil"/>
              <w:bottom w:val="single" w:sz="8" w:space="0" w:color="C0C0C0"/>
              <w:right w:val="single" w:sz="8" w:space="0" w:color="C0C0C0"/>
            </w:tcBorders>
            <w:shd w:val="clear" w:color="auto" w:fill="CCCCFF"/>
          </w:tcPr>
          <w:p w14:paraId="18048E7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Pop size (pairs) max</w:t>
            </w:r>
          </w:p>
        </w:tc>
        <w:tc>
          <w:tcPr>
            <w:tcW w:w="755" w:type="dxa"/>
            <w:tcBorders>
              <w:top w:val="single" w:sz="8" w:space="0" w:color="C0C0C0"/>
              <w:left w:val="nil"/>
              <w:bottom w:val="single" w:sz="8" w:space="0" w:color="C0C0C0"/>
              <w:right w:val="single" w:sz="8" w:space="0" w:color="C0C0C0"/>
            </w:tcBorders>
            <w:shd w:val="clear" w:color="auto" w:fill="CCCCFF"/>
          </w:tcPr>
          <w:p w14:paraId="01D9E0B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Year(s) of estimate</w:t>
            </w:r>
          </w:p>
        </w:tc>
        <w:tc>
          <w:tcPr>
            <w:tcW w:w="860" w:type="dxa"/>
            <w:tcBorders>
              <w:top w:val="single" w:sz="8" w:space="0" w:color="C0C0C0"/>
              <w:left w:val="nil"/>
              <w:bottom w:val="single" w:sz="8" w:space="0" w:color="C0C0C0"/>
              <w:right w:val="single" w:sz="8" w:space="0" w:color="C0C0C0"/>
            </w:tcBorders>
            <w:shd w:val="clear" w:color="auto" w:fill="CCCCFF"/>
          </w:tcPr>
          <w:p w14:paraId="1E8FA26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Year of reference (1)</w:t>
            </w:r>
          </w:p>
        </w:tc>
        <w:tc>
          <w:tcPr>
            <w:tcW w:w="843" w:type="dxa"/>
            <w:tcBorders>
              <w:top w:val="single" w:sz="8" w:space="0" w:color="C0C0C0"/>
              <w:left w:val="nil"/>
              <w:bottom w:val="single" w:sz="8" w:space="0" w:color="C0C0C0"/>
              <w:right w:val="single" w:sz="8" w:space="0" w:color="C0C0C0"/>
            </w:tcBorders>
            <w:shd w:val="clear" w:color="auto" w:fill="CCCCFF"/>
          </w:tcPr>
          <w:p w14:paraId="0755366A"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Multiplic-ative trend slope (2)</w:t>
            </w:r>
          </w:p>
        </w:tc>
        <w:tc>
          <w:tcPr>
            <w:tcW w:w="851" w:type="dxa"/>
            <w:tcBorders>
              <w:top w:val="single" w:sz="8" w:space="0" w:color="C0C0C0"/>
              <w:left w:val="nil"/>
              <w:bottom w:val="single" w:sz="8" w:space="0" w:color="C0C0C0"/>
              <w:right w:val="single" w:sz="8" w:space="0" w:color="C0C0C0"/>
            </w:tcBorders>
            <w:shd w:val="clear" w:color="auto" w:fill="CCCCFF"/>
          </w:tcPr>
          <w:p w14:paraId="6B153C7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Multiplic-</w:t>
            </w:r>
          </w:p>
          <w:p w14:paraId="28BCED9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ative trend slope period (3)</w:t>
            </w:r>
          </w:p>
        </w:tc>
        <w:tc>
          <w:tcPr>
            <w:tcW w:w="1134" w:type="dxa"/>
            <w:tcBorders>
              <w:top w:val="single" w:sz="8" w:space="0" w:color="C0C0C0"/>
              <w:left w:val="nil"/>
              <w:bottom w:val="single" w:sz="8" w:space="0" w:color="C0C0C0"/>
              <w:right w:val="single" w:sz="8" w:space="0" w:color="C0C0C0"/>
            </w:tcBorders>
            <w:shd w:val="clear" w:color="auto" w:fill="CCCCFF"/>
          </w:tcPr>
          <w:p w14:paraId="72F4277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Time elapsed (in years) between year of reference and 2016 (4)</w:t>
            </w:r>
          </w:p>
        </w:tc>
        <w:tc>
          <w:tcPr>
            <w:tcW w:w="1134" w:type="dxa"/>
            <w:tcBorders>
              <w:top w:val="single" w:sz="8" w:space="0" w:color="C0C0C0"/>
              <w:left w:val="nil"/>
              <w:bottom w:val="single" w:sz="8" w:space="0" w:color="C0C0C0"/>
              <w:right w:val="single" w:sz="8" w:space="0" w:color="C0C0C0"/>
            </w:tcBorders>
            <w:shd w:val="clear" w:color="auto" w:fill="CCCCFF"/>
          </w:tcPr>
          <w:p w14:paraId="1B9A664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[multiplicative trend </w:t>
            </w:r>
          </w:p>
          <w:p w14:paraId="0D539E2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slope]</w:t>
            </w:r>
          </w:p>
          <w:p w14:paraId="5BE7BDAC" w14:textId="77777777" w:rsidR="00C96521" w:rsidRPr="00C96521" w:rsidRDefault="00C96521" w:rsidP="00C96521">
            <w:pPr>
              <w:widowControl/>
              <w:autoSpaceDE/>
              <w:autoSpaceDN/>
              <w:adjustRightInd/>
              <w:spacing w:line="276" w:lineRule="auto"/>
              <w:rPr>
                <w:rFonts w:eastAsia="MS Mincho" w:cs="Arial"/>
                <w:sz w:val="16"/>
                <w:szCs w:val="16"/>
                <w:vertAlign w:val="superscript"/>
                <w:lang w:val="en-GB" w:eastAsia="ja-JP"/>
              </w:rPr>
            </w:pPr>
            <w:r w:rsidRPr="00C96521">
              <w:rPr>
                <w:rFonts w:eastAsia="MS Mincho" w:cs="Arial"/>
                <w:sz w:val="16"/>
                <w:szCs w:val="16"/>
                <w:vertAlign w:val="superscript"/>
                <w:lang w:val="en-GB" w:eastAsia="ja-JP"/>
              </w:rPr>
              <w:t xml:space="preserve">time elapsed </w:t>
            </w:r>
          </w:p>
          <w:p w14:paraId="6464587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w:t>
            </w:r>
          </w:p>
        </w:tc>
        <w:tc>
          <w:tcPr>
            <w:tcW w:w="850" w:type="dxa"/>
            <w:tcBorders>
              <w:top w:val="single" w:sz="8" w:space="0" w:color="C0C0C0"/>
              <w:left w:val="nil"/>
              <w:bottom w:val="single" w:sz="8" w:space="0" w:color="C0C0C0"/>
              <w:right w:val="single" w:sz="8" w:space="0" w:color="C0C0C0"/>
            </w:tcBorders>
            <w:shd w:val="clear" w:color="auto" w:fill="CCCCFF"/>
          </w:tcPr>
          <w:p w14:paraId="78A26CB2"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Pop size in 2016 (pairs) min</w:t>
            </w:r>
          </w:p>
          <w:p w14:paraId="0A30F3F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(6)</w:t>
            </w:r>
          </w:p>
        </w:tc>
        <w:tc>
          <w:tcPr>
            <w:tcW w:w="763" w:type="dxa"/>
            <w:tcBorders>
              <w:top w:val="single" w:sz="8" w:space="0" w:color="C0C0C0"/>
              <w:left w:val="nil"/>
              <w:bottom w:val="single" w:sz="8" w:space="0" w:color="C0C0C0"/>
              <w:right w:val="single" w:sz="8" w:space="0" w:color="C0C0C0"/>
            </w:tcBorders>
            <w:shd w:val="clear" w:color="auto" w:fill="CCCCFF"/>
          </w:tcPr>
          <w:p w14:paraId="130BCB42"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Pop size in 2016 (pairs) max</w:t>
            </w:r>
          </w:p>
          <w:p w14:paraId="468160D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(6)</w:t>
            </w:r>
          </w:p>
        </w:tc>
      </w:tr>
      <w:tr w:rsidR="00C96521" w:rsidRPr="00C96521" w14:paraId="7A5AA43C"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52FC90C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Belgium </w:t>
            </w:r>
          </w:p>
        </w:tc>
        <w:tc>
          <w:tcPr>
            <w:tcW w:w="852" w:type="dxa"/>
            <w:tcBorders>
              <w:top w:val="nil"/>
              <w:left w:val="nil"/>
              <w:bottom w:val="single" w:sz="8" w:space="0" w:color="C0C0C0"/>
              <w:right w:val="single" w:sz="8" w:space="0" w:color="C0C0C0"/>
            </w:tcBorders>
            <w:shd w:val="clear" w:color="auto" w:fill="auto"/>
          </w:tcPr>
          <w:p w14:paraId="3E4A180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3,000</w:t>
            </w:r>
          </w:p>
        </w:tc>
        <w:tc>
          <w:tcPr>
            <w:tcW w:w="852" w:type="dxa"/>
            <w:tcBorders>
              <w:top w:val="nil"/>
              <w:left w:val="nil"/>
              <w:bottom w:val="single" w:sz="8" w:space="0" w:color="C0C0C0"/>
              <w:right w:val="single" w:sz="8" w:space="0" w:color="C0C0C0"/>
            </w:tcBorders>
            <w:shd w:val="clear" w:color="auto" w:fill="auto"/>
          </w:tcPr>
          <w:p w14:paraId="3B897FB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4,500</w:t>
            </w:r>
          </w:p>
        </w:tc>
        <w:tc>
          <w:tcPr>
            <w:tcW w:w="755" w:type="dxa"/>
            <w:tcBorders>
              <w:top w:val="nil"/>
              <w:left w:val="nil"/>
              <w:bottom w:val="single" w:sz="8" w:space="0" w:color="C0C0C0"/>
              <w:right w:val="single" w:sz="8" w:space="0" w:color="C0C0C0"/>
            </w:tcBorders>
            <w:shd w:val="clear" w:color="auto" w:fill="auto"/>
          </w:tcPr>
          <w:p w14:paraId="24F48264"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2000-2002</w:t>
            </w:r>
          </w:p>
        </w:tc>
        <w:tc>
          <w:tcPr>
            <w:tcW w:w="860" w:type="dxa"/>
            <w:tcBorders>
              <w:top w:val="nil"/>
              <w:left w:val="nil"/>
              <w:bottom w:val="single" w:sz="8" w:space="0" w:color="C0C0C0"/>
              <w:right w:val="single" w:sz="8" w:space="0" w:color="C0C0C0"/>
            </w:tcBorders>
            <w:shd w:val="clear" w:color="auto" w:fill="auto"/>
          </w:tcPr>
          <w:p w14:paraId="533B0F0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2001</w:t>
            </w:r>
          </w:p>
        </w:tc>
        <w:tc>
          <w:tcPr>
            <w:tcW w:w="843" w:type="dxa"/>
            <w:tcBorders>
              <w:top w:val="nil"/>
              <w:left w:val="nil"/>
              <w:bottom w:val="single" w:sz="8" w:space="0" w:color="C0C0C0"/>
              <w:right w:val="single" w:sz="8" w:space="0" w:color="C0C0C0"/>
            </w:tcBorders>
            <w:shd w:val="clear" w:color="auto" w:fill="auto"/>
          </w:tcPr>
          <w:p w14:paraId="1BBCF53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0.9091</w:t>
            </w:r>
          </w:p>
        </w:tc>
        <w:tc>
          <w:tcPr>
            <w:tcW w:w="851" w:type="dxa"/>
            <w:tcBorders>
              <w:top w:val="nil"/>
              <w:left w:val="nil"/>
              <w:bottom w:val="single" w:sz="8" w:space="0" w:color="C0C0C0"/>
              <w:right w:val="single" w:sz="8" w:space="0" w:color="C0C0C0"/>
            </w:tcBorders>
            <w:shd w:val="clear" w:color="auto" w:fill="auto"/>
          </w:tcPr>
          <w:p w14:paraId="3B18C94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90-14</w:t>
            </w:r>
          </w:p>
        </w:tc>
        <w:tc>
          <w:tcPr>
            <w:tcW w:w="1134" w:type="dxa"/>
            <w:tcBorders>
              <w:top w:val="nil"/>
              <w:left w:val="nil"/>
              <w:bottom w:val="single" w:sz="8" w:space="0" w:color="C0C0C0"/>
              <w:right w:val="single" w:sz="8" w:space="0" w:color="C0C0C0"/>
            </w:tcBorders>
            <w:shd w:val="clear" w:color="auto" w:fill="auto"/>
          </w:tcPr>
          <w:p w14:paraId="40EE716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15</w:t>
            </w:r>
          </w:p>
        </w:tc>
        <w:tc>
          <w:tcPr>
            <w:tcW w:w="1134" w:type="dxa"/>
            <w:tcBorders>
              <w:top w:val="nil"/>
              <w:left w:val="nil"/>
              <w:bottom w:val="single" w:sz="8" w:space="0" w:color="C0C0C0"/>
              <w:right w:val="single" w:sz="8" w:space="0" w:color="C0C0C0"/>
            </w:tcBorders>
            <w:shd w:val="clear" w:color="auto" w:fill="auto"/>
          </w:tcPr>
          <w:p w14:paraId="1681304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0.2394</w:t>
            </w:r>
          </w:p>
        </w:tc>
        <w:tc>
          <w:tcPr>
            <w:tcW w:w="850" w:type="dxa"/>
            <w:tcBorders>
              <w:top w:val="nil"/>
              <w:left w:val="nil"/>
              <w:bottom w:val="single" w:sz="8" w:space="0" w:color="C0C0C0"/>
              <w:right w:val="single" w:sz="8" w:space="0" w:color="C0C0C0"/>
            </w:tcBorders>
            <w:shd w:val="clear" w:color="auto" w:fill="auto"/>
          </w:tcPr>
          <w:p w14:paraId="7525953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718</w:t>
            </w:r>
          </w:p>
        </w:tc>
        <w:tc>
          <w:tcPr>
            <w:tcW w:w="763" w:type="dxa"/>
            <w:tcBorders>
              <w:top w:val="nil"/>
              <w:left w:val="nil"/>
              <w:bottom w:val="single" w:sz="8" w:space="0" w:color="C0C0C0"/>
              <w:right w:val="single" w:sz="8" w:space="0" w:color="C0C0C0"/>
            </w:tcBorders>
            <w:shd w:val="clear" w:color="auto" w:fill="auto"/>
          </w:tcPr>
          <w:p w14:paraId="3DDA4A2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1077</w:t>
            </w:r>
          </w:p>
        </w:tc>
      </w:tr>
      <w:tr w:rsidR="00C96521" w:rsidRPr="00C96521" w14:paraId="53BA4437"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025B803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Denmark </w:t>
            </w:r>
          </w:p>
        </w:tc>
        <w:tc>
          <w:tcPr>
            <w:tcW w:w="852" w:type="dxa"/>
            <w:tcBorders>
              <w:top w:val="nil"/>
              <w:left w:val="nil"/>
              <w:bottom w:val="single" w:sz="8" w:space="0" w:color="C0C0C0"/>
              <w:right w:val="single" w:sz="8" w:space="0" w:color="C0C0C0"/>
            </w:tcBorders>
            <w:shd w:val="clear" w:color="auto" w:fill="auto"/>
          </w:tcPr>
          <w:p w14:paraId="0B539A7A"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w:t>
            </w:r>
          </w:p>
        </w:tc>
        <w:tc>
          <w:tcPr>
            <w:tcW w:w="852" w:type="dxa"/>
            <w:tcBorders>
              <w:top w:val="nil"/>
              <w:left w:val="nil"/>
              <w:bottom w:val="single" w:sz="8" w:space="0" w:color="C0C0C0"/>
              <w:right w:val="single" w:sz="8" w:space="0" w:color="C0C0C0"/>
            </w:tcBorders>
            <w:shd w:val="clear" w:color="auto" w:fill="auto"/>
          </w:tcPr>
          <w:p w14:paraId="2159E688"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150</w:t>
            </w:r>
          </w:p>
        </w:tc>
        <w:tc>
          <w:tcPr>
            <w:tcW w:w="755" w:type="dxa"/>
            <w:tcBorders>
              <w:top w:val="nil"/>
              <w:left w:val="nil"/>
              <w:bottom w:val="single" w:sz="8" w:space="0" w:color="C0C0C0"/>
              <w:right w:val="single" w:sz="8" w:space="0" w:color="C0C0C0"/>
            </w:tcBorders>
            <w:shd w:val="clear" w:color="auto" w:fill="auto"/>
          </w:tcPr>
          <w:p w14:paraId="10EDC05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2010-2011</w:t>
            </w:r>
          </w:p>
        </w:tc>
        <w:tc>
          <w:tcPr>
            <w:tcW w:w="860" w:type="dxa"/>
            <w:tcBorders>
              <w:top w:val="nil"/>
              <w:left w:val="nil"/>
              <w:bottom w:val="single" w:sz="8" w:space="0" w:color="C0C0C0"/>
              <w:right w:val="single" w:sz="8" w:space="0" w:color="C0C0C0"/>
            </w:tcBorders>
            <w:shd w:val="clear" w:color="auto" w:fill="auto"/>
          </w:tcPr>
          <w:p w14:paraId="0BF7DAFA"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2011</w:t>
            </w:r>
          </w:p>
        </w:tc>
        <w:tc>
          <w:tcPr>
            <w:tcW w:w="843" w:type="dxa"/>
            <w:tcBorders>
              <w:top w:val="nil"/>
              <w:left w:val="nil"/>
              <w:bottom w:val="single" w:sz="8" w:space="0" w:color="C0C0C0"/>
              <w:right w:val="single" w:sz="8" w:space="0" w:color="C0C0C0"/>
            </w:tcBorders>
            <w:shd w:val="clear" w:color="auto" w:fill="auto"/>
          </w:tcPr>
          <w:p w14:paraId="3E98681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w:t>
            </w:r>
          </w:p>
        </w:tc>
        <w:tc>
          <w:tcPr>
            <w:tcW w:w="851" w:type="dxa"/>
            <w:tcBorders>
              <w:top w:val="nil"/>
              <w:left w:val="nil"/>
              <w:bottom w:val="single" w:sz="8" w:space="0" w:color="C0C0C0"/>
              <w:right w:val="single" w:sz="8" w:space="0" w:color="C0C0C0"/>
            </w:tcBorders>
            <w:shd w:val="clear" w:color="auto" w:fill="auto"/>
          </w:tcPr>
          <w:p w14:paraId="77DE5CE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w:t>
            </w:r>
          </w:p>
        </w:tc>
        <w:tc>
          <w:tcPr>
            <w:tcW w:w="1134" w:type="dxa"/>
            <w:tcBorders>
              <w:top w:val="nil"/>
              <w:left w:val="nil"/>
              <w:bottom w:val="single" w:sz="8" w:space="0" w:color="C0C0C0"/>
              <w:right w:val="single" w:sz="8" w:space="0" w:color="C0C0C0"/>
            </w:tcBorders>
            <w:shd w:val="clear" w:color="auto" w:fill="auto"/>
          </w:tcPr>
          <w:p w14:paraId="289F464A"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w:t>
            </w:r>
          </w:p>
        </w:tc>
        <w:tc>
          <w:tcPr>
            <w:tcW w:w="1134" w:type="dxa"/>
            <w:tcBorders>
              <w:top w:val="nil"/>
              <w:left w:val="nil"/>
              <w:bottom w:val="single" w:sz="8" w:space="0" w:color="C0C0C0"/>
              <w:right w:val="single" w:sz="8" w:space="0" w:color="C0C0C0"/>
            </w:tcBorders>
            <w:shd w:val="clear" w:color="auto" w:fill="auto"/>
          </w:tcPr>
          <w:p w14:paraId="0158513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1.0000</w:t>
            </w:r>
          </w:p>
        </w:tc>
        <w:tc>
          <w:tcPr>
            <w:tcW w:w="850" w:type="dxa"/>
            <w:tcBorders>
              <w:top w:val="nil"/>
              <w:left w:val="nil"/>
              <w:bottom w:val="single" w:sz="8" w:space="0" w:color="C0C0C0"/>
              <w:right w:val="single" w:sz="8" w:space="0" w:color="C0C0C0"/>
            </w:tcBorders>
            <w:shd w:val="clear" w:color="auto" w:fill="auto"/>
          </w:tcPr>
          <w:p w14:paraId="3431482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w:t>
            </w:r>
          </w:p>
        </w:tc>
        <w:tc>
          <w:tcPr>
            <w:tcW w:w="763" w:type="dxa"/>
            <w:tcBorders>
              <w:top w:val="nil"/>
              <w:left w:val="nil"/>
              <w:bottom w:val="single" w:sz="8" w:space="0" w:color="C0C0C0"/>
              <w:right w:val="single" w:sz="8" w:space="0" w:color="C0C0C0"/>
            </w:tcBorders>
            <w:shd w:val="clear" w:color="auto" w:fill="auto"/>
          </w:tcPr>
          <w:p w14:paraId="61AA0CC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150</w:t>
            </w:r>
          </w:p>
        </w:tc>
      </w:tr>
      <w:tr w:rsidR="00C96521" w:rsidRPr="00C96521" w14:paraId="4B81DB99"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2BD7E06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France </w:t>
            </w:r>
          </w:p>
        </w:tc>
        <w:tc>
          <w:tcPr>
            <w:tcW w:w="852" w:type="dxa"/>
            <w:tcBorders>
              <w:top w:val="nil"/>
              <w:left w:val="nil"/>
              <w:bottom w:val="single" w:sz="8" w:space="0" w:color="C0C0C0"/>
              <w:right w:val="single" w:sz="8" w:space="0" w:color="C0C0C0"/>
            </w:tcBorders>
            <w:shd w:val="clear" w:color="auto" w:fill="auto"/>
          </w:tcPr>
          <w:p w14:paraId="13C9856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396,985</w:t>
            </w:r>
          </w:p>
        </w:tc>
        <w:tc>
          <w:tcPr>
            <w:tcW w:w="852" w:type="dxa"/>
            <w:tcBorders>
              <w:top w:val="nil"/>
              <w:left w:val="nil"/>
              <w:bottom w:val="single" w:sz="8" w:space="0" w:color="C0C0C0"/>
              <w:right w:val="single" w:sz="8" w:space="0" w:color="C0C0C0"/>
            </w:tcBorders>
            <w:shd w:val="clear" w:color="auto" w:fill="auto"/>
          </w:tcPr>
          <w:p w14:paraId="350F5EB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481,007</w:t>
            </w:r>
          </w:p>
        </w:tc>
        <w:tc>
          <w:tcPr>
            <w:tcW w:w="755" w:type="dxa"/>
            <w:tcBorders>
              <w:top w:val="nil"/>
              <w:left w:val="nil"/>
              <w:bottom w:val="single" w:sz="8" w:space="0" w:color="C0C0C0"/>
              <w:right w:val="single" w:sz="8" w:space="0" w:color="C0C0C0"/>
            </w:tcBorders>
            <w:shd w:val="clear" w:color="auto" w:fill="auto"/>
          </w:tcPr>
          <w:p w14:paraId="29B06E7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2009</w:t>
            </w:r>
          </w:p>
        </w:tc>
        <w:tc>
          <w:tcPr>
            <w:tcW w:w="860" w:type="dxa"/>
            <w:tcBorders>
              <w:top w:val="nil"/>
              <w:left w:val="nil"/>
              <w:bottom w:val="single" w:sz="8" w:space="0" w:color="C0C0C0"/>
              <w:right w:val="single" w:sz="8" w:space="0" w:color="C0C0C0"/>
            </w:tcBorders>
            <w:shd w:val="clear" w:color="auto" w:fill="auto"/>
          </w:tcPr>
          <w:p w14:paraId="708A8D9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2009</w:t>
            </w:r>
          </w:p>
        </w:tc>
        <w:tc>
          <w:tcPr>
            <w:tcW w:w="843" w:type="dxa"/>
            <w:tcBorders>
              <w:top w:val="nil"/>
              <w:left w:val="nil"/>
              <w:bottom w:val="single" w:sz="8" w:space="0" w:color="C0C0C0"/>
              <w:right w:val="single" w:sz="8" w:space="0" w:color="C0C0C0"/>
            </w:tcBorders>
            <w:shd w:val="clear" w:color="auto" w:fill="auto"/>
          </w:tcPr>
          <w:p w14:paraId="0E67BDB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0.9798</w:t>
            </w:r>
          </w:p>
        </w:tc>
        <w:tc>
          <w:tcPr>
            <w:tcW w:w="851" w:type="dxa"/>
            <w:tcBorders>
              <w:top w:val="nil"/>
              <w:left w:val="nil"/>
              <w:bottom w:val="single" w:sz="8" w:space="0" w:color="C0C0C0"/>
              <w:right w:val="single" w:sz="8" w:space="0" w:color="C0C0C0"/>
            </w:tcBorders>
            <w:shd w:val="clear" w:color="auto" w:fill="auto"/>
          </w:tcPr>
          <w:p w14:paraId="3CE4FA4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89-14</w:t>
            </w:r>
          </w:p>
        </w:tc>
        <w:tc>
          <w:tcPr>
            <w:tcW w:w="1134" w:type="dxa"/>
            <w:tcBorders>
              <w:top w:val="nil"/>
              <w:left w:val="nil"/>
              <w:bottom w:val="single" w:sz="8" w:space="0" w:color="C0C0C0"/>
              <w:right w:val="single" w:sz="8" w:space="0" w:color="C0C0C0"/>
            </w:tcBorders>
            <w:shd w:val="clear" w:color="auto" w:fill="auto"/>
          </w:tcPr>
          <w:p w14:paraId="3763555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7</w:t>
            </w:r>
          </w:p>
        </w:tc>
        <w:tc>
          <w:tcPr>
            <w:tcW w:w="1134" w:type="dxa"/>
            <w:tcBorders>
              <w:top w:val="nil"/>
              <w:left w:val="nil"/>
              <w:bottom w:val="single" w:sz="8" w:space="0" w:color="C0C0C0"/>
              <w:right w:val="single" w:sz="8" w:space="0" w:color="C0C0C0"/>
            </w:tcBorders>
            <w:shd w:val="clear" w:color="auto" w:fill="auto"/>
          </w:tcPr>
          <w:p w14:paraId="78CE67C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0.8669</w:t>
            </w:r>
          </w:p>
        </w:tc>
        <w:tc>
          <w:tcPr>
            <w:tcW w:w="850" w:type="dxa"/>
            <w:tcBorders>
              <w:top w:val="nil"/>
              <w:left w:val="nil"/>
              <w:bottom w:val="single" w:sz="8" w:space="0" w:color="C0C0C0"/>
              <w:right w:val="single" w:sz="8" w:space="0" w:color="C0C0C0"/>
            </w:tcBorders>
            <w:shd w:val="clear" w:color="auto" w:fill="auto"/>
          </w:tcPr>
          <w:p w14:paraId="21708128"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344141</w:t>
            </w:r>
          </w:p>
        </w:tc>
        <w:tc>
          <w:tcPr>
            <w:tcW w:w="763" w:type="dxa"/>
            <w:tcBorders>
              <w:top w:val="nil"/>
              <w:left w:val="nil"/>
              <w:bottom w:val="single" w:sz="8" w:space="0" w:color="C0C0C0"/>
              <w:right w:val="single" w:sz="8" w:space="0" w:color="C0C0C0"/>
            </w:tcBorders>
            <w:shd w:val="clear" w:color="auto" w:fill="auto"/>
          </w:tcPr>
          <w:p w14:paraId="7417AE2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416978</w:t>
            </w:r>
          </w:p>
        </w:tc>
      </w:tr>
      <w:tr w:rsidR="00C96521" w:rsidRPr="00C96521" w14:paraId="2A8550B4"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4FD2621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Germany </w:t>
            </w:r>
          </w:p>
        </w:tc>
        <w:tc>
          <w:tcPr>
            <w:tcW w:w="852" w:type="dxa"/>
            <w:tcBorders>
              <w:top w:val="nil"/>
              <w:left w:val="nil"/>
              <w:bottom w:val="single" w:sz="8" w:space="0" w:color="C0C0C0"/>
              <w:right w:val="single" w:sz="8" w:space="0" w:color="C0C0C0"/>
            </w:tcBorders>
            <w:shd w:val="clear" w:color="auto" w:fill="auto"/>
          </w:tcPr>
          <w:p w14:paraId="550AAAB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25,000</w:t>
            </w:r>
          </w:p>
        </w:tc>
        <w:tc>
          <w:tcPr>
            <w:tcW w:w="852" w:type="dxa"/>
            <w:tcBorders>
              <w:top w:val="nil"/>
              <w:left w:val="nil"/>
              <w:bottom w:val="single" w:sz="8" w:space="0" w:color="C0C0C0"/>
              <w:right w:val="single" w:sz="8" w:space="0" w:color="C0C0C0"/>
            </w:tcBorders>
            <w:shd w:val="clear" w:color="auto" w:fill="auto"/>
          </w:tcPr>
          <w:p w14:paraId="1544AA9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45,000</w:t>
            </w:r>
          </w:p>
        </w:tc>
        <w:tc>
          <w:tcPr>
            <w:tcW w:w="755" w:type="dxa"/>
            <w:tcBorders>
              <w:top w:val="nil"/>
              <w:left w:val="nil"/>
              <w:bottom w:val="single" w:sz="8" w:space="0" w:color="C0C0C0"/>
              <w:right w:val="single" w:sz="8" w:space="0" w:color="C0C0C0"/>
            </w:tcBorders>
            <w:shd w:val="clear" w:color="auto" w:fill="auto"/>
          </w:tcPr>
          <w:p w14:paraId="06522B58"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2005-2009</w:t>
            </w:r>
          </w:p>
        </w:tc>
        <w:tc>
          <w:tcPr>
            <w:tcW w:w="860" w:type="dxa"/>
            <w:tcBorders>
              <w:top w:val="nil"/>
              <w:left w:val="nil"/>
              <w:bottom w:val="single" w:sz="8" w:space="0" w:color="C0C0C0"/>
              <w:right w:val="single" w:sz="8" w:space="0" w:color="C0C0C0"/>
            </w:tcBorders>
            <w:shd w:val="clear" w:color="auto" w:fill="auto"/>
          </w:tcPr>
          <w:p w14:paraId="19558E7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2007</w:t>
            </w:r>
          </w:p>
        </w:tc>
        <w:tc>
          <w:tcPr>
            <w:tcW w:w="843" w:type="dxa"/>
            <w:tcBorders>
              <w:top w:val="nil"/>
              <w:left w:val="nil"/>
              <w:bottom w:val="single" w:sz="8" w:space="0" w:color="C0C0C0"/>
              <w:right w:val="single" w:sz="8" w:space="0" w:color="C0C0C0"/>
            </w:tcBorders>
            <w:shd w:val="clear" w:color="auto" w:fill="auto"/>
          </w:tcPr>
          <w:p w14:paraId="02460C6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0.9576</w:t>
            </w:r>
          </w:p>
        </w:tc>
        <w:tc>
          <w:tcPr>
            <w:tcW w:w="851" w:type="dxa"/>
            <w:tcBorders>
              <w:top w:val="nil"/>
              <w:left w:val="nil"/>
              <w:bottom w:val="single" w:sz="8" w:space="0" w:color="C0C0C0"/>
              <w:right w:val="single" w:sz="8" w:space="0" w:color="C0C0C0"/>
            </w:tcBorders>
            <w:shd w:val="clear" w:color="auto" w:fill="auto"/>
          </w:tcPr>
          <w:p w14:paraId="545650E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89-14</w:t>
            </w:r>
          </w:p>
        </w:tc>
        <w:tc>
          <w:tcPr>
            <w:tcW w:w="1134" w:type="dxa"/>
            <w:tcBorders>
              <w:top w:val="nil"/>
              <w:left w:val="nil"/>
              <w:bottom w:val="single" w:sz="8" w:space="0" w:color="C0C0C0"/>
              <w:right w:val="single" w:sz="8" w:space="0" w:color="C0C0C0"/>
            </w:tcBorders>
            <w:shd w:val="clear" w:color="auto" w:fill="auto"/>
          </w:tcPr>
          <w:p w14:paraId="0E69F84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9</w:t>
            </w:r>
          </w:p>
        </w:tc>
        <w:tc>
          <w:tcPr>
            <w:tcW w:w="1134" w:type="dxa"/>
            <w:tcBorders>
              <w:top w:val="nil"/>
              <w:left w:val="nil"/>
              <w:bottom w:val="single" w:sz="8" w:space="0" w:color="C0C0C0"/>
              <w:right w:val="single" w:sz="8" w:space="0" w:color="C0C0C0"/>
            </w:tcBorders>
            <w:shd w:val="clear" w:color="auto" w:fill="auto"/>
          </w:tcPr>
          <w:p w14:paraId="12665DD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0.6771</w:t>
            </w:r>
          </w:p>
        </w:tc>
        <w:tc>
          <w:tcPr>
            <w:tcW w:w="850" w:type="dxa"/>
            <w:tcBorders>
              <w:top w:val="nil"/>
              <w:left w:val="nil"/>
              <w:bottom w:val="single" w:sz="8" w:space="0" w:color="C0C0C0"/>
              <w:right w:val="single" w:sz="8" w:space="0" w:color="C0C0C0"/>
            </w:tcBorders>
            <w:shd w:val="clear" w:color="auto" w:fill="auto"/>
          </w:tcPr>
          <w:p w14:paraId="7C29B9D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16928</w:t>
            </w:r>
          </w:p>
        </w:tc>
        <w:tc>
          <w:tcPr>
            <w:tcW w:w="763" w:type="dxa"/>
            <w:tcBorders>
              <w:top w:val="nil"/>
              <w:left w:val="nil"/>
              <w:bottom w:val="single" w:sz="8" w:space="0" w:color="C0C0C0"/>
              <w:right w:val="single" w:sz="8" w:space="0" w:color="C0C0C0"/>
            </w:tcBorders>
            <w:shd w:val="clear" w:color="auto" w:fill="auto"/>
          </w:tcPr>
          <w:p w14:paraId="67CC7A8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30470</w:t>
            </w:r>
          </w:p>
        </w:tc>
      </w:tr>
      <w:tr w:rsidR="00C96521" w:rsidRPr="00C96521" w14:paraId="556A1ECF"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5775E40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Italy </w:t>
            </w:r>
          </w:p>
        </w:tc>
        <w:tc>
          <w:tcPr>
            <w:tcW w:w="852" w:type="dxa"/>
            <w:tcBorders>
              <w:top w:val="nil"/>
              <w:left w:val="nil"/>
              <w:bottom w:val="single" w:sz="8" w:space="0" w:color="C0C0C0"/>
              <w:right w:val="single" w:sz="8" w:space="0" w:color="C0C0C0"/>
            </w:tcBorders>
            <w:shd w:val="clear" w:color="auto" w:fill="auto"/>
          </w:tcPr>
          <w:p w14:paraId="60BABEA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150,000</w:t>
            </w:r>
          </w:p>
        </w:tc>
        <w:tc>
          <w:tcPr>
            <w:tcW w:w="852" w:type="dxa"/>
            <w:tcBorders>
              <w:top w:val="nil"/>
              <w:left w:val="nil"/>
              <w:bottom w:val="single" w:sz="8" w:space="0" w:color="C0C0C0"/>
              <w:right w:val="single" w:sz="8" w:space="0" w:color="C0C0C0"/>
            </w:tcBorders>
            <w:shd w:val="clear" w:color="auto" w:fill="auto"/>
          </w:tcPr>
          <w:p w14:paraId="773211F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300,000</w:t>
            </w:r>
          </w:p>
        </w:tc>
        <w:tc>
          <w:tcPr>
            <w:tcW w:w="755" w:type="dxa"/>
            <w:tcBorders>
              <w:top w:val="nil"/>
              <w:left w:val="nil"/>
              <w:bottom w:val="single" w:sz="8" w:space="0" w:color="C0C0C0"/>
              <w:right w:val="single" w:sz="8" w:space="0" w:color="C0C0C0"/>
            </w:tcBorders>
            <w:shd w:val="clear" w:color="auto" w:fill="auto"/>
          </w:tcPr>
          <w:p w14:paraId="56E935F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2015</w:t>
            </w:r>
          </w:p>
        </w:tc>
        <w:tc>
          <w:tcPr>
            <w:tcW w:w="860" w:type="dxa"/>
            <w:tcBorders>
              <w:top w:val="nil"/>
              <w:left w:val="nil"/>
              <w:bottom w:val="single" w:sz="8" w:space="0" w:color="C0C0C0"/>
              <w:right w:val="single" w:sz="8" w:space="0" w:color="C0C0C0"/>
            </w:tcBorders>
            <w:shd w:val="clear" w:color="auto" w:fill="auto"/>
          </w:tcPr>
          <w:p w14:paraId="4BC8D00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2015</w:t>
            </w:r>
          </w:p>
        </w:tc>
        <w:tc>
          <w:tcPr>
            <w:tcW w:w="843" w:type="dxa"/>
            <w:tcBorders>
              <w:top w:val="nil"/>
              <w:left w:val="nil"/>
              <w:bottom w:val="single" w:sz="8" w:space="0" w:color="C0C0C0"/>
              <w:right w:val="single" w:sz="8" w:space="0" w:color="C0C0C0"/>
            </w:tcBorders>
            <w:shd w:val="clear" w:color="auto" w:fill="auto"/>
          </w:tcPr>
          <w:p w14:paraId="71E0667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1.0025</w:t>
            </w:r>
          </w:p>
        </w:tc>
        <w:tc>
          <w:tcPr>
            <w:tcW w:w="851" w:type="dxa"/>
            <w:tcBorders>
              <w:top w:val="nil"/>
              <w:left w:val="nil"/>
              <w:bottom w:val="single" w:sz="8" w:space="0" w:color="C0C0C0"/>
              <w:right w:val="single" w:sz="8" w:space="0" w:color="C0C0C0"/>
            </w:tcBorders>
            <w:shd w:val="clear" w:color="auto" w:fill="auto"/>
          </w:tcPr>
          <w:p w14:paraId="48C7D49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00-14</w:t>
            </w:r>
          </w:p>
        </w:tc>
        <w:tc>
          <w:tcPr>
            <w:tcW w:w="1134" w:type="dxa"/>
            <w:tcBorders>
              <w:top w:val="nil"/>
              <w:left w:val="nil"/>
              <w:bottom w:val="single" w:sz="8" w:space="0" w:color="C0C0C0"/>
              <w:right w:val="single" w:sz="8" w:space="0" w:color="C0C0C0"/>
            </w:tcBorders>
            <w:shd w:val="clear" w:color="auto" w:fill="auto"/>
          </w:tcPr>
          <w:p w14:paraId="3533C4A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w:t>
            </w:r>
          </w:p>
        </w:tc>
        <w:tc>
          <w:tcPr>
            <w:tcW w:w="1134" w:type="dxa"/>
            <w:tcBorders>
              <w:top w:val="nil"/>
              <w:left w:val="nil"/>
              <w:bottom w:val="single" w:sz="8" w:space="0" w:color="C0C0C0"/>
              <w:right w:val="single" w:sz="8" w:space="0" w:color="C0C0C0"/>
            </w:tcBorders>
            <w:shd w:val="clear" w:color="auto" w:fill="auto"/>
          </w:tcPr>
          <w:p w14:paraId="1E0D0B8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1.0025</w:t>
            </w:r>
          </w:p>
        </w:tc>
        <w:tc>
          <w:tcPr>
            <w:tcW w:w="850" w:type="dxa"/>
            <w:tcBorders>
              <w:top w:val="nil"/>
              <w:left w:val="nil"/>
              <w:bottom w:val="single" w:sz="8" w:space="0" w:color="C0C0C0"/>
              <w:right w:val="single" w:sz="8" w:space="0" w:color="C0C0C0"/>
            </w:tcBorders>
            <w:shd w:val="clear" w:color="auto" w:fill="auto"/>
          </w:tcPr>
          <w:p w14:paraId="7580C682"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150375</w:t>
            </w:r>
          </w:p>
        </w:tc>
        <w:tc>
          <w:tcPr>
            <w:tcW w:w="763" w:type="dxa"/>
            <w:tcBorders>
              <w:top w:val="nil"/>
              <w:left w:val="nil"/>
              <w:bottom w:val="single" w:sz="8" w:space="0" w:color="C0C0C0"/>
              <w:right w:val="single" w:sz="8" w:space="0" w:color="C0C0C0"/>
            </w:tcBorders>
            <w:shd w:val="clear" w:color="auto" w:fill="auto"/>
          </w:tcPr>
          <w:p w14:paraId="684C627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300750</w:t>
            </w:r>
          </w:p>
        </w:tc>
      </w:tr>
      <w:tr w:rsidR="00C96521" w:rsidRPr="00C96521" w14:paraId="4830F091"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632CD22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Netherlands </w:t>
            </w:r>
          </w:p>
        </w:tc>
        <w:tc>
          <w:tcPr>
            <w:tcW w:w="852" w:type="dxa"/>
            <w:tcBorders>
              <w:top w:val="nil"/>
              <w:left w:val="nil"/>
              <w:bottom w:val="single" w:sz="8" w:space="0" w:color="C0C0C0"/>
              <w:right w:val="single" w:sz="8" w:space="0" w:color="C0C0C0"/>
            </w:tcBorders>
            <w:shd w:val="clear" w:color="auto" w:fill="auto"/>
          </w:tcPr>
          <w:p w14:paraId="4986EBA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4,763</w:t>
            </w:r>
          </w:p>
        </w:tc>
        <w:tc>
          <w:tcPr>
            <w:tcW w:w="852" w:type="dxa"/>
            <w:tcBorders>
              <w:top w:val="nil"/>
              <w:left w:val="nil"/>
              <w:bottom w:val="single" w:sz="8" w:space="0" w:color="C0C0C0"/>
              <w:right w:val="single" w:sz="8" w:space="0" w:color="C0C0C0"/>
            </w:tcBorders>
            <w:shd w:val="clear" w:color="auto" w:fill="auto"/>
          </w:tcPr>
          <w:p w14:paraId="580C069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5,715</w:t>
            </w:r>
          </w:p>
        </w:tc>
        <w:tc>
          <w:tcPr>
            <w:tcW w:w="755" w:type="dxa"/>
            <w:tcBorders>
              <w:top w:val="nil"/>
              <w:left w:val="nil"/>
              <w:bottom w:val="single" w:sz="8" w:space="0" w:color="C0C0C0"/>
              <w:right w:val="single" w:sz="8" w:space="0" w:color="C0C0C0"/>
            </w:tcBorders>
            <w:shd w:val="clear" w:color="auto" w:fill="auto"/>
          </w:tcPr>
          <w:p w14:paraId="6065B84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2008-2011</w:t>
            </w:r>
          </w:p>
        </w:tc>
        <w:tc>
          <w:tcPr>
            <w:tcW w:w="860" w:type="dxa"/>
            <w:tcBorders>
              <w:top w:val="nil"/>
              <w:left w:val="nil"/>
              <w:bottom w:val="single" w:sz="8" w:space="0" w:color="C0C0C0"/>
              <w:right w:val="single" w:sz="8" w:space="0" w:color="C0C0C0"/>
            </w:tcBorders>
            <w:shd w:val="clear" w:color="auto" w:fill="auto"/>
          </w:tcPr>
          <w:p w14:paraId="395B6B7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2010</w:t>
            </w:r>
          </w:p>
        </w:tc>
        <w:tc>
          <w:tcPr>
            <w:tcW w:w="843" w:type="dxa"/>
            <w:tcBorders>
              <w:top w:val="nil"/>
              <w:left w:val="nil"/>
              <w:bottom w:val="single" w:sz="8" w:space="0" w:color="C0C0C0"/>
              <w:right w:val="single" w:sz="8" w:space="0" w:color="C0C0C0"/>
            </w:tcBorders>
            <w:shd w:val="clear" w:color="auto" w:fill="auto"/>
          </w:tcPr>
          <w:p w14:paraId="033573E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0.9269</w:t>
            </w:r>
          </w:p>
        </w:tc>
        <w:tc>
          <w:tcPr>
            <w:tcW w:w="851" w:type="dxa"/>
            <w:tcBorders>
              <w:top w:val="nil"/>
              <w:left w:val="nil"/>
              <w:bottom w:val="single" w:sz="8" w:space="0" w:color="C0C0C0"/>
              <w:right w:val="single" w:sz="8" w:space="0" w:color="C0C0C0"/>
            </w:tcBorders>
            <w:shd w:val="clear" w:color="auto" w:fill="auto"/>
          </w:tcPr>
          <w:p w14:paraId="34ABC14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84-14</w:t>
            </w:r>
          </w:p>
        </w:tc>
        <w:tc>
          <w:tcPr>
            <w:tcW w:w="1134" w:type="dxa"/>
            <w:tcBorders>
              <w:top w:val="nil"/>
              <w:left w:val="nil"/>
              <w:bottom w:val="single" w:sz="8" w:space="0" w:color="C0C0C0"/>
              <w:right w:val="single" w:sz="8" w:space="0" w:color="C0C0C0"/>
            </w:tcBorders>
            <w:shd w:val="clear" w:color="auto" w:fill="auto"/>
          </w:tcPr>
          <w:p w14:paraId="3C21A2C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6</w:t>
            </w:r>
          </w:p>
        </w:tc>
        <w:tc>
          <w:tcPr>
            <w:tcW w:w="1134" w:type="dxa"/>
            <w:tcBorders>
              <w:top w:val="nil"/>
              <w:left w:val="nil"/>
              <w:bottom w:val="single" w:sz="8" w:space="0" w:color="C0C0C0"/>
              <w:right w:val="single" w:sz="8" w:space="0" w:color="C0C0C0"/>
            </w:tcBorders>
            <w:shd w:val="clear" w:color="auto" w:fill="auto"/>
          </w:tcPr>
          <w:p w14:paraId="716E4D5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0.6342</w:t>
            </w:r>
          </w:p>
        </w:tc>
        <w:tc>
          <w:tcPr>
            <w:tcW w:w="850" w:type="dxa"/>
            <w:tcBorders>
              <w:top w:val="nil"/>
              <w:left w:val="nil"/>
              <w:bottom w:val="single" w:sz="8" w:space="0" w:color="C0C0C0"/>
              <w:right w:val="single" w:sz="8" w:space="0" w:color="C0C0C0"/>
            </w:tcBorders>
            <w:shd w:val="clear" w:color="auto" w:fill="auto"/>
          </w:tcPr>
          <w:p w14:paraId="2F99BA0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3020</w:t>
            </w:r>
          </w:p>
        </w:tc>
        <w:tc>
          <w:tcPr>
            <w:tcW w:w="763" w:type="dxa"/>
            <w:tcBorders>
              <w:top w:val="nil"/>
              <w:left w:val="nil"/>
              <w:bottom w:val="single" w:sz="8" w:space="0" w:color="C0C0C0"/>
              <w:right w:val="single" w:sz="8" w:space="0" w:color="C0C0C0"/>
            </w:tcBorders>
            <w:shd w:val="clear" w:color="auto" w:fill="auto"/>
          </w:tcPr>
          <w:p w14:paraId="37836E7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3624</w:t>
            </w:r>
          </w:p>
        </w:tc>
      </w:tr>
      <w:tr w:rsidR="00C96521" w:rsidRPr="00C96521" w14:paraId="640B1D20"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1889CCC2"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Portugal </w:t>
            </w:r>
          </w:p>
        </w:tc>
        <w:tc>
          <w:tcPr>
            <w:tcW w:w="852" w:type="dxa"/>
            <w:tcBorders>
              <w:top w:val="nil"/>
              <w:left w:val="nil"/>
              <w:bottom w:val="single" w:sz="8" w:space="0" w:color="C0C0C0"/>
              <w:right w:val="single" w:sz="8" w:space="0" w:color="C0C0C0"/>
            </w:tcBorders>
            <w:shd w:val="clear" w:color="auto" w:fill="auto"/>
          </w:tcPr>
          <w:p w14:paraId="7980FF6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10,000</w:t>
            </w:r>
          </w:p>
        </w:tc>
        <w:tc>
          <w:tcPr>
            <w:tcW w:w="852" w:type="dxa"/>
            <w:tcBorders>
              <w:top w:val="nil"/>
              <w:left w:val="nil"/>
              <w:bottom w:val="single" w:sz="8" w:space="0" w:color="C0C0C0"/>
              <w:right w:val="single" w:sz="8" w:space="0" w:color="C0C0C0"/>
            </w:tcBorders>
            <w:shd w:val="clear" w:color="auto" w:fill="auto"/>
          </w:tcPr>
          <w:p w14:paraId="64D2CC7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50,000</w:t>
            </w:r>
          </w:p>
        </w:tc>
        <w:tc>
          <w:tcPr>
            <w:tcW w:w="755" w:type="dxa"/>
            <w:tcBorders>
              <w:top w:val="nil"/>
              <w:left w:val="nil"/>
              <w:bottom w:val="single" w:sz="8" w:space="0" w:color="C0C0C0"/>
              <w:right w:val="single" w:sz="8" w:space="0" w:color="C0C0C0"/>
            </w:tcBorders>
            <w:shd w:val="clear" w:color="auto" w:fill="auto"/>
          </w:tcPr>
          <w:p w14:paraId="05FBA89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2008-2012</w:t>
            </w:r>
          </w:p>
        </w:tc>
        <w:tc>
          <w:tcPr>
            <w:tcW w:w="860" w:type="dxa"/>
            <w:tcBorders>
              <w:top w:val="nil"/>
              <w:left w:val="nil"/>
              <w:bottom w:val="single" w:sz="8" w:space="0" w:color="C0C0C0"/>
              <w:right w:val="single" w:sz="8" w:space="0" w:color="C0C0C0"/>
            </w:tcBorders>
            <w:shd w:val="clear" w:color="auto" w:fill="auto"/>
          </w:tcPr>
          <w:p w14:paraId="227E44E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2010</w:t>
            </w:r>
          </w:p>
        </w:tc>
        <w:tc>
          <w:tcPr>
            <w:tcW w:w="843" w:type="dxa"/>
            <w:tcBorders>
              <w:top w:val="nil"/>
              <w:left w:val="nil"/>
              <w:bottom w:val="single" w:sz="8" w:space="0" w:color="C0C0C0"/>
              <w:right w:val="single" w:sz="8" w:space="0" w:color="C0C0C0"/>
            </w:tcBorders>
            <w:shd w:val="clear" w:color="auto" w:fill="auto"/>
          </w:tcPr>
          <w:p w14:paraId="6126FCC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0.9013</w:t>
            </w:r>
          </w:p>
        </w:tc>
        <w:tc>
          <w:tcPr>
            <w:tcW w:w="851" w:type="dxa"/>
            <w:tcBorders>
              <w:top w:val="nil"/>
              <w:left w:val="nil"/>
              <w:bottom w:val="single" w:sz="8" w:space="0" w:color="C0C0C0"/>
              <w:right w:val="single" w:sz="8" w:space="0" w:color="C0C0C0"/>
            </w:tcBorders>
            <w:shd w:val="clear" w:color="auto" w:fill="auto"/>
          </w:tcPr>
          <w:p w14:paraId="2FBD5A5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1984-14</w:t>
            </w:r>
          </w:p>
        </w:tc>
        <w:tc>
          <w:tcPr>
            <w:tcW w:w="1134" w:type="dxa"/>
            <w:tcBorders>
              <w:top w:val="nil"/>
              <w:left w:val="nil"/>
              <w:bottom w:val="single" w:sz="8" w:space="0" w:color="C0C0C0"/>
              <w:right w:val="single" w:sz="8" w:space="0" w:color="C0C0C0"/>
            </w:tcBorders>
            <w:shd w:val="clear" w:color="auto" w:fill="auto"/>
          </w:tcPr>
          <w:p w14:paraId="0E3F2D2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6</w:t>
            </w:r>
          </w:p>
        </w:tc>
        <w:tc>
          <w:tcPr>
            <w:tcW w:w="1134" w:type="dxa"/>
            <w:tcBorders>
              <w:top w:val="nil"/>
              <w:left w:val="nil"/>
              <w:bottom w:val="single" w:sz="8" w:space="0" w:color="C0C0C0"/>
              <w:right w:val="single" w:sz="8" w:space="0" w:color="C0C0C0"/>
            </w:tcBorders>
            <w:shd w:val="clear" w:color="auto" w:fill="auto"/>
          </w:tcPr>
          <w:p w14:paraId="28B3BC1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0.5361</w:t>
            </w:r>
          </w:p>
        </w:tc>
        <w:tc>
          <w:tcPr>
            <w:tcW w:w="850" w:type="dxa"/>
            <w:tcBorders>
              <w:top w:val="nil"/>
              <w:left w:val="nil"/>
              <w:bottom w:val="single" w:sz="8" w:space="0" w:color="C0C0C0"/>
              <w:right w:val="single" w:sz="8" w:space="0" w:color="C0C0C0"/>
            </w:tcBorders>
            <w:shd w:val="clear" w:color="auto" w:fill="auto"/>
          </w:tcPr>
          <w:p w14:paraId="1244459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5361</w:t>
            </w:r>
          </w:p>
        </w:tc>
        <w:tc>
          <w:tcPr>
            <w:tcW w:w="763" w:type="dxa"/>
            <w:tcBorders>
              <w:top w:val="nil"/>
              <w:left w:val="nil"/>
              <w:bottom w:val="single" w:sz="8" w:space="0" w:color="C0C0C0"/>
              <w:right w:val="single" w:sz="8" w:space="0" w:color="C0C0C0"/>
            </w:tcBorders>
            <w:shd w:val="clear" w:color="auto" w:fill="auto"/>
          </w:tcPr>
          <w:p w14:paraId="602E1C9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26803</w:t>
            </w:r>
          </w:p>
        </w:tc>
      </w:tr>
      <w:tr w:rsidR="00C96521" w:rsidRPr="00C96521" w14:paraId="1FFEBD46"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196939C8"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Spain </w:t>
            </w:r>
          </w:p>
        </w:tc>
        <w:tc>
          <w:tcPr>
            <w:tcW w:w="852" w:type="dxa"/>
            <w:tcBorders>
              <w:top w:val="nil"/>
              <w:left w:val="nil"/>
              <w:bottom w:val="single" w:sz="8" w:space="0" w:color="C0C0C0"/>
              <w:right w:val="single" w:sz="8" w:space="0" w:color="C0C0C0"/>
            </w:tcBorders>
            <w:shd w:val="clear" w:color="auto" w:fill="auto"/>
          </w:tcPr>
          <w:p w14:paraId="74DA695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1,370,000</w:t>
            </w:r>
          </w:p>
        </w:tc>
        <w:tc>
          <w:tcPr>
            <w:tcW w:w="852" w:type="dxa"/>
            <w:tcBorders>
              <w:top w:val="nil"/>
              <w:left w:val="nil"/>
              <w:bottom w:val="single" w:sz="8" w:space="0" w:color="C0C0C0"/>
              <w:right w:val="single" w:sz="8" w:space="0" w:color="C0C0C0"/>
            </w:tcBorders>
            <w:shd w:val="clear" w:color="auto" w:fill="auto"/>
          </w:tcPr>
          <w:p w14:paraId="7A0958C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2,285,000</w:t>
            </w:r>
          </w:p>
        </w:tc>
        <w:tc>
          <w:tcPr>
            <w:tcW w:w="755" w:type="dxa"/>
            <w:tcBorders>
              <w:top w:val="nil"/>
              <w:left w:val="nil"/>
              <w:bottom w:val="single" w:sz="8" w:space="0" w:color="C0C0C0"/>
              <w:right w:val="single" w:sz="8" w:space="0" w:color="C0C0C0"/>
            </w:tcBorders>
            <w:shd w:val="clear" w:color="auto" w:fill="auto"/>
          </w:tcPr>
          <w:p w14:paraId="53A06A8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2004-2006</w:t>
            </w:r>
          </w:p>
        </w:tc>
        <w:tc>
          <w:tcPr>
            <w:tcW w:w="860" w:type="dxa"/>
            <w:tcBorders>
              <w:top w:val="nil"/>
              <w:left w:val="nil"/>
              <w:bottom w:val="single" w:sz="8" w:space="0" w:color="C0C0C0"/>
              <w:right w:val="single" w:sz="8" w:space="0" w:color="C0C0C0"/>
            </w:tcBorders>
            <w:shd w:val="clear" w:color="auto" w:fill="auto"/>
          </w:tcPr>
          <w:p w14:paraId="4C2427A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2005</w:t>
            </w:r>
          </w:p>
        </w:tc>
        <w:tc>
          <w:tcPr>
            <w:tcW w:w="843" w:type="dxa"/>
            <w:tcBorders>
              <w:top w:val="nil"/>
              <w:left w:val="nil"/>
              <w:bottom w:val="single" w:sz="8" w:space="0" w:color="C0C0C0"/>
              <w:right w:val="single" w:sz="8" w:space="0" w:color="C0C0C0"/>
            </w:tcBorders>
            <w:shd w:val="clear" w:color="auto" w:fill="auto"/>
          </w:tcPr>
          <w:p w14:paraId="2211B3E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0.9814</w:t>
            </w:r>
          </w:p>
        </w:tc>
        <w:tc>
          <w:tcPr>
            <w:tcW w:w="851" w:type="dxa"/>
            <w:tcBorders>
              <w:top w:val="nil"/>
              <w:left w:val="nil"/>
              <w:bottom w:val="single" w:sz="8" w:space="0" w:color="C0C0C0"/>
              <w:right w:val="single" w:sz="8" w:space="0" w:color="C0C0C0"/>
            </w:tcBorders>
            <w:shd w:val="clear" w:color="auto" w:fill="auto"/>
          </w:tcPr>
          <w:p w14:paraId="1C30031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98-14</w:t>
            </w:r>
          </w:p>
        </w:tc>
        <w:tc>
          <w:tcPr>
            <w:tcW w:w="1134" w:type="dxa"/>
            <w:tcBorders>
              <w:top w:val="nil"/>
              <w:left w:val="nil"/>
              <w:bottom w:val="single" w:sz="8" w:space="0" w:color="C0C0C0"/>
              <w:right w:val="single" w:sz="8" w:space="0" w:color="C0C0C0"/>
            </w:tcBorders>
            <w:shd w:val="clear" w:color="auto" w:fill="auto"/>
          </w:tcPr>
          <w:p w14:paraId="78F305C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11</w:t>
            </w:r>
          </w:p>
        </w:tc>
        <w:tc>
          <w:tcPr>
            <w:tcW w:w="1134" w:type="dxa"/>
            <w:tcBorders>
              <w:top w:val="nil"/>
              <w:left w:val="nil"/>
              <w:bottom w:val="single" w:sz="8" w:space="0" w:color="C0C0C0"/>
              <w:right w:val="single" w:sz="8" w:space="0" w:color="C0C0C0"/>
            </w:tcBorders>
            <w:shd w:val="clear" w:color="auto" w:fill="auto"/>
          </w:tcPr>
          <w:p w14:paraId="1E30C81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0.8134</w:t>
            </w:r>
          </w:p>
        </w:tc>
        <w:tc>
          <w:tcPr>
            <w:tcW w:w="850" w:type="dxa"/>
            <w:tcBorders>
              <w:top w:val="nil"/>
              <w:left w:val="nil"/>
              <w:bottom w:val="single" w:sz="8" w:space="0" w:color="C0C0C0"/>
              <w:right w:val="single" w:sz="8" w:space="0" w:color="C0C0C0"/>
            </w:tcBorders>
            <w:shd w:val="clear" w:color="auto" w:fill="auto"/>
          </w:tcPr>
          <w:p w14:paraId="50798B8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1114364</w:t>
            </w:r>
          </w:p>
        </w:tc>
        <w:tc>
          <w:tcPr>
            <w:tcW w:w="763" w:type="dxa"/>
            <w:tcBorders>
              <w:top w:val="nil"/>
              <w:left w:val="nil"/>
              <w:bottom w:val="single" w:sz="8" w:space="0" w:color="C0C0C0"/>
              <w:right w:val="single" w:sz="8" w:space="0" w:color="C0C0C0"/>
            </w:tcBorders>
            <w:shd w:val="clear" w:color="auto" w:fill="auto"/>
          </w:tcPr>
          <w:p w14:paraId="61EB6E9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1858629</w:t>
            </w:r>
          </w:p>
        </w:tc>
      </w:tr>
      <w:tr w:rsidR="00C96521" w:rsidRPr="00C96521" w14:paraId="0404342B"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0AAFEA2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Switzerland </w:t>
            </w:r>
          </w:p>
        </w:tc>
        <w:tc>
          <w:tcPr>
            <w:tcW w:w="852" w:type="dxa"/>
            <w:tcBorders>
              <w:top w:val="nil"/>
              <w:left w:val="nil"/>
              <w:bottom w:val="single" w:sz="8" w:space="0" w:color="C0C0C0"/>
              <w:right w:val="single" w:sz="8" w:space="0" w:color="C0C0C0"/>
            </w:tcBorders>
            <w:shd w:val="clear" w:color="auto" w:fill="auto"/>
          </w:tcPr>
          <w:p w14:paraId="19B72EE4"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1,000</w:t>
            </w:r>
          </w:p>
        </w:tc>
        <w:tc>
          <w:tcPr>
            <w:tcW w:w="852" w:type="dxa"/>
            <w:tcBorders>
              <w:top w:val="nil"/>
              <w:left w:val="nil"/>
              <w:bottom w:val="single" w:sz="8" w:space="0" w:color="C0C0C0"/>
              <w:right w:val="single" w:sz="8" w:space="0" w:color="C0C0C0"/>
            </w:tcBorders>
            <w:shd w:val="clear" w:color="auto" w:fill="auto"/>
          </w:tcPr>
          <w:p w14:paraId="238EAE4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2,500</w:t>
            </w:r>
          </w:p>
        </w:tc>
        <w:tc>
          <w:tcPr>
            <w:tcW w:w="755" w:type="dxa"/>
            <w:tcBorders>
              <w:top w:val="nil"/>
              <w:left w:val="nil"/>
              <w:bottom w:val="single" w:sz="8" w:space="0" w:color="C0C0C0"/>
              <w:right w:val="single" w:sz="8" w:space="0" w:color="C0C0C0"/>
            </w:tcBorders>
            <w:shd w:val="clear" w:color="auto" w:fill="auto"/>
          </w:tcPr>
          <w:p w14:paraId="33C1B922"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1993-1996</w:t>
            </w:r>
          </w:p>
        </w:tc>
        <w:tc>
          <w:tcPr>
            <w:tcW w:w="860" w:type="dxa"/>
            <w:tcBorders>
              <w:top w:val="nil"/>
              <w:left w:val="nil"/>
              <w:bottom w:val="single" w:sz="8" w:space="0" w:color="C0C0C0"/>
              <w:right w:val="single" w:sz="8" w:space="0" w:color="C0C0C0"/>
            </w:tcBorders>
            <w:shd w:val="clear" w:color="auto" w:fill="auto"/>
          </w:tcPr>
          <w:p w14:paraId="29E81C2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1995</w:t>
            </w:r>
          </w:p>
        </w:tc>
        <w:tc>
          <w:tcPr>
            <w:tcW w:w="843" w:type="dxa"/>
            <w:tcBorders>
              <w:top w:val="nil"/>
              <w:left w:val="nil"/>
              <w:bottom w:val="single" w:sz="8" w:space="0" w:color="C0C0C0"/>
              <w:right w:val="single" w:sz="8" w:space="0" w:color="C0C0C0"/>
            </w:tcBorders>
            <w:shd w:val="clear" w:color="auto" w:fill="auto"/>
          </w:tcPr>
          <w:p w14:paraId="488DC77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0.9469</w:t>
            </w:r>
          </w:p>
        </w:tc>
        <w:tc>
          <w:tcPr>
            <w:tcW w:w="851" w:type="dxa"/>
            <w:tcBorders>
              <w:top w:val="nil"/>
              <w:left w:val="nil"/>
              <w:bottom w:val="single" w:sz="8" w:space="0" w:color="C0C0C0"/>
              <w:right w:val="single" w:sz="8" w:space="0" w:color="C0C0C0"/>
            </w:tcBorders>
            <w:shd w:val="clear" w:color="auto" w:fill="auto"/>
          </w:tcPr>
          <w:p w14:paraId="022AB16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99-14</w:t>
            </w:r>
          </w:p>
        </w:tc>
        <w:tc>
          <w:tcPr>
            <w:tcW w:w="1134" w:type="dxa"/>
            <w:tcBorders>
              <w:top w:val="nil"/>
              <w:left w:val="nil"/>
              <w:bottom w:val="single" w:sz="8" w:space="0" w:color="C0C0C0"/>
              <w:right w:val="single" w:sz="8" w:space="0" w:color="C0C0C0"/>
            </w:tcBorders>
            <w:shd w:val="clear" w:color="auto" w:fill="auto"/>
          </w:tcPr>
          <w:p w14:paraId="3AE539C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21</w:t>
            </w:r>
          </w:p>
        </w:tc>
        <w:tc>
          <w:tcPr>
            <w:tcW w:w="1134" w:type="dxa"/>
            <w:tcBorders>
              <w:top w:val="nil"/>
              <w:left w:val="nil"/>
              <w:bottom w:val="single" w:sz="8" w:space="0" w:color="C0C0C0"/>
              <w:right w:val="single" w:sz="8" w:space="0" w:color="C0C0C0"/>
            </w:tcBorders>
            <w:shd w:val="clear" w:color="auto" w:fill="auto"/>
          </w:tcPr>
          <w:p w14:paraId="06E5597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0.3180</w:t>
            </w:r>
          </w:p>
        </w:tc>
        <w:tc>
          <w:tcPr>
            <w:tcW w:w="850" w:type="dxa"/>
            <w:tcBorders>
              <w:top w:val="nil"/>
              <w:left w:val="nil"/>
              <w:bottom w:val="single" w:sz="8" w:space="0" w:color="C0C0C0"/>
              <w:right w:val="single" w:sz="8" w:space="0" w:color="C0C0C0"/>
            </w:tcBorders>
            <w:shd w:val="clear" w:color="auto" w:fill="auto"/>
          </w:tcPr>
          <w:p w14:paraId="27A5E52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318</w:t>
            </w:r>
          </w:p>
        </w:tc>
        <w:tc>
          <w:tcPr>
            <w:tcW w:w="763" w:type="dxa"/>
            <w:tcBorders>
              <w:top w:val="nil"/>
              <w:left w:val="nil"/>
              <w:bottom w:val="single" w:sz="8" w:space="0" w:color="C0C0C0"/>
              <w:right w:val="single" w:sz="8" w:space="0" w:color="C0C0C0"/>
            </w:tcBorders>
            <w:shd w:val="clear" w:color="auto" w:fill="auto"/>
          </w:tcPr>
          <w:p w14:paraId="2253CDA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795</w:t>
            </w:r>
          </w:p>
        </w:tc>
      </w:tr>
      <w:tr w:rsidR="00C96521" w:rsidRPr="00C96521" w14:paraId="55F5CC65"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3051FC3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UK</w:t>
            </w:r>
          </w:p>
        </w:tc>
        <w:tc>
          <w:tcPr>
            <w:tcW w:w="852" w:type="dxa"/>
            <w:tcBorders>
              <w:top w:val="nil"/>
              <w:left w:val="nil"/>
              <w:bottom w:val="single" w:sz="8" w:space="0" w:color="C0C0C0"/>
              <w:right w:val="single" w:sz="8" w:space="0" w:color="C0C0C0"/>
            </w:tcBorders>
            <w:shd w:val="clear" w:color="auto" w:fill="auto"/>
          </w:tcPr>
          <w:p w14:paraId="54456BF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5,300</w:t>
            </w:r>
          </w:p>
        </w:tc>
        <w:tc>
          <w:tcPr>
            <w:tcW w:w="852" w:type="dxa"/>
            <w:tcBorders>
              <w:top w:val="nil"/>
              <w:left w:val="nil"/>
              <w:bottom w:val="single" w:sz="8" w:space="0" w:color="C0C0C0"/>
              <w:right w:val="single" w:sz="8" w:space="0" w:color="C0C0C0"/>
            </w:tcBorders>
            <w:shd w:val="clear" w:color="auto" w:fill="auto"/>
          </w:tcPr>
          <w:p w14:paraId="064D015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5,300</w:t>
            </w:r>
          </w:p>
        </w:tc>
        <w:tc>
          <w:tcPr>
            <w:tcW w:w="755" w:type="dxa"/>
            <w:tcBorders>
              <w:top w:val="nil"/>
              <w:left w:val="nil"/>
              <w:bottom w:val="single" w:sz="8" w:space="0" w:color="C0C0C0"/>
              <w:right w:val="single" w:sz="8" w:space="0" w:color="C0C0C0"/>
            </w:tcBorders>
            <w:shd w:val="clear" w:color="auto" w:fill="auto"/>
          </w:tcPr>
          <w:p w14:paraId="53380E3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1999-2016</w:t>
            </w:r>
          </w:p>
        </w:tc>
        <w:tc>
          <w:tcPr>
            <w:tcW w:w="860" w:type="dxa"/>
            <w:tcBorders>
              <w:top w:val="nil"/>
              <w:left w:val="nil"/>
              <w:bottom w:val="single" w:sz="8" w:space="0" w:color="C0C0C0"/>
              <w:right w:val="single" w:sz="8" w:space="0" w:color="C0C0C0"/>
            </w:tcBorders>
            <w:shd w:val="clear" w:color="auto" w:fill="auto"/>
          </w:tcPr>
          <w:p w14:paraId="288617A4"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2015</w:t>
            </w:r>
          </w:p>
        </w:tc>
        <w:tc>
          <w:tcPr>
            <w:tcW w:w="843" w:type="dxa"/>
            <w:tcBorders>
              <w:top w:val="nil"/>
              <w:left w:val="nil"/>
              <w:bottom w:val="single" w:sz="8" w:space="0" w:color="C0C0C0"/>
              <w:right w:val="single" w:sz="8" w:space="0" w:color="C0C0C0"/>
            </w:tcBorders>
            <w:shd w:val="clear" w:color="auto" w:fill="auto"/>
          </w:tcPr>
          <w:p w14:paraId="3B45C93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0.9373</w:t>
            </w:r>
          </w:p>
        </w:tc>
        <w:tc>
          <w:tcPr>
            <w:tcW w:w="851" w:type="dxa"/>
            <w:tcBorders>
              <w:top w:val="nil"/>
              <w:left w:val="nil"/>
              <w:bottom w:val="single" w:sz="8" w:space="0" w:color="C0C0C0"/>
              <w:right w:val="single" w:sz="8" w:space="0" w:color="C0C0C0"/>
            </w:tcBorders>
            <w:shd w:val="clear" w:color="auto" w:fill="auto"/>
          </w:tcPr>
          <w:p w14:paraId="7F46211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66-14</w:t>
            </w:r>
          </w:p>
        </w:tc>
        <w:tc>
          <w:tcPr>
            <w:tcW w:w="1134" w:type="dxa"/>
            <w:tcBorders>
              <w:top w:val="nil"/>
              <w:left w:val="nil"/>
              <w:bottom w:val="single" w:sz="8" w:space="0" w:color="C0C0C0"/>
              <w:right w:val="single" w:sz="8" w:space="0" w:color="C0C0C0"/>
            </w:tcBorders>
            <w:shd w:val="clear" w:color="auto" w:fill="auto"/>
          </w:tcPr>
          <w:p w14:paraId="407174A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w:t>
            </w:r>
          </w:p>
        </w:tc>
        <w:tc>
          <w:tcPr>
            <w:tcW w:w="1134" w:type="dxa"/>
            <w:tcBorders>
              <w:top w:val="nil"/>
              <w:left w:val="nil"/>
              <w:bottom w:val="single" w:sz="8" w:space="0" w:color="C0C0C0"/>
              <w:right w:val="single" w:sz="8" w:space="0" w:color="C0C0C0"/>
            </w:tcBorders>
            <w:shd w:val="clear" w:color="auto" w:fill="auto"/>
          </w:tcPr>
          <w:p w14:paraId="5B962FE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0.9373</w:t>
            </w:r>
          </w:p>
        </w:tc>
        <w:tc>
          <w:tcPr>
            <w:tcW w:w="850" w:type="dxa"/>
            <w:tcBorders>
              <w:top w:val="nil"/>
              <w:left w:val="nil"/>
              <w:bottom w:val="single" w:sz="8" w:space="0" w:color="C0C0C0"/>
              <w:right w:val="single" w:sz="8" w:space="0" w:color="C0C0C0"/>
            </w:tcBorders>
            <w:shd w:val="clear" w:color="auto" w:fill="auto"/>
          </w:tcPr>
          <w:p w14:paraId="2BB93C1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4968</w:t>
            </w:r>
          </w:p>
        </w:tc>
        <w:tc>
          <w:tcPr>
            <w:tcW w:w="763" w:type="dxa"/>
            <w:tcBorders>
              <w:top w:val="nil"/>
              <w:left w:val="nil"/>
              <w:bottom w:val="single" w:sz="8" w:space="0" w:color="C0C0C0"/>
              <w:right w:val="single" w:sz="8" w:space="0" w:color="C0C0C0"/>
            </w:tcBorders>
            <w:shd w:val="clear" w:color="auto" w:fill="auto"/>
          </w:tcPr>
          <w:p w14:paraId="7C43F408"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4968</w:t>
            </w:r>
          </w:p>
        </w:tc>
      </w:tr>
    </w:tbl>
    <w:p w14:paraId="51AF1156" w14:textId="77777777" w:rsidR="00C96521" w:rsidRPr="00C96521" w:rsidRDefault="00C96521" w:rsidP="00C96521">
      <w:pPr>
        <w:widowControl/>
        <w:autoSpaceDE/>
        <w:autoSpaceDN/>
        <w:adjustRightInd/>
        <w:spacing w:line="276" w:lineRule="auto"/>
        <w:ind w:left="360" w:hanging="360"/>
        <w:rPr>
          <w:rFonts w:eastAsia="MS Mincho" w:cs="Arial"/>
          <w:i/>
          <w:sz w:val="16"/>
          <w:szCs w:val="16"/>
          <w:lang w:val="en-GB" w:eastAsia="ja-JP"/>
        </w:rPr>
      </w:pPr>
      <w:r w:rsidRPr="00C96521">
        <w:rPr>
          <w:rFonts w:eastAsia="MS Mincho" w:cs="Arial"/>
          <w:i/>
          <w:sz w:val="16"/>
          <w:szCs w:val="16"/>
          <w:lang w:val="en-GB" w:eastAsia="ja-JP"/>
        </w:rPr>
        <w:t>(1) the median year within the period over which the population size was estimated</w:t>
      </w:r>
    </w:p>
    <w:p w14:paraId="4438F77E" w14:textId="77777777" w:rsidR="00C96521" w:rsidRPr="00C96521" w:rsidRDefault="00C96521" w:rsidP="00C96521">
      <w:pPr>
        <w:widowControl/>
        <w:autoSpaceDE/>
        <w:autoSpaceDN/>
        <w:adjustRightInd/>
        <w:spacing w:line="276" w:lineRule="auto"/>
        <w:ind w:left="360" w:hanging="360"/>
        <w:rPr>
          <w:rFonts w:eastAsia="MS Mincho" w:cs="Arial"/>
          <w:i/>
          <w:sz w:val="16"/>
          <w:szCs w:val="16"/>
          <w:lang w:val="en-GB" w:eastAsia="ja-JP"/>
        </w:rPr>
      </w:pPr>
      <w:r w:rsidRPr="00C96521">
        <w:rPr>
          <w:rFonts w:eastAsia="MS Mincho" w:cs="Arial"/>
          <w:i/>
          <w:sz w:val="16"/>
          <w:szCs w:val="16"/>
          <w:lang w:val="en-GB" w:eastAsia="ja-JP"/>
        </w:rPr>
        <w:t>(2) as given in Figures 12 to 14</w:t>
      </w:r>
    </w:p>
    <w:p w14:paraId="587B8226" w14:textId="77777777" w:rsidR="00C96521" w:rsidRPr="00C96521" w:rsidRDefault="00C96521" w:rsidP="00C96521">
      <w:pPr>
        <w:widowControl/>
        <w:autoSpaceDE/>
        <w:autoSpaceDN/>
        <w:adjustRightInd/>
        <w:spacing w:line="276" w:lineRule="auto"/>
        <w:ind w:left="360" w:hanging="360"/>
        <w:rPr>
          <w:rFonts w:eastAsia="MS Mincho" w:cs="Arial"/>
          <w:i/>
          <w:sz w:val="16"/>
          <w:szCs w:val="16"/>
          <w:lang w:val="en-GB" w:eastAsia="ja-JP"/>
        </w:rPr>
      </w:pPr>
      <w:r w:rsidRPr="00C96521">
        <w:rPr>
          <w:rFonts w:eastAsia="MS Mincho" w:cs="Arial"/>
          <w:i/>
          <w:sz w:val="16"/>
          <w:szCs w:val="16"/>
          <w:lang w:val="en-GB" w:eastAsia="ja-JP"/>
        </w:rPr>
        <w:t>(3) period over which the slope was calculated (given in legends of Figures 12 to 14)</w:t>
      </w:r>
    </w:p>
    <w:p w14:paraId="153CE2CB" w14:textId="77777777" w:rsidR="00C96521" w:rsidRPr="00C96521" w:rsidRDefault="00C96521" w:rsidP="00C96521">
      <w:pPr>
        <w:widowControl/>
        <w:autoSpaceDE/>
        <w:autoSpaceDN/>
        <w:adjustRightInd/>
        <w:spacing w:line="276" w:lineRule="auto"/>
        <w:ind w:left="360" w:hanging="360"/>
        <w:rPr>
          <w:rFonts w:eastAsia="MS Mincho" w:cs="Arial"/>
          <w:i/>
          <w:sz w:val="16"/>
          <w:szCs w:val="16"/>
          <w:lang w:val="en-GB" w:eastAsia="ja-JP"/>
        </w:rPr>
      </w:pPr>
      <w:r w:rsidRPr="00C96521">
        <w:rPr>
          <w:rFonts w:eastAsia="MS Mincho" w:cs="Arial"/>
          <w:i/>
          <w:sz w:val="16"/>
          <w:szCs w:val="16"/>
          <w:lang w:val="en-GB" w:eastAsia="ja-JP"/>
        </w:rPr>
        <w:t>(4) time elapsed (in years) between median year and 2016</w:t>
      </w:r>
    </w:p>
    <w:p w14:paraId="5BD54A4E" w14:textId="77777777" w:rsidR="00C96521" w:rsidRPr="00C96521" w:rsidRDefault="00C96521" w:rsidP="00C96521">
      <w:pPr>
        <w:widowControl/>
        <w:autoSpaceDE/>
        <w:autoSpaceDN/>
        <w:adjustRightInd/>
        <w:spacing w:line="276" w:lineRule="auto"/>
        <w:ind w:left="360" w:rightChars="-45" w:right="-81" w:hanging="360"/>
        <w:rPr>
          <w:rFonts w:eastAsia="MS Mincho" w:cs="Arial"/>
          <w:i/>
          <w:sz w:val="16"/>
          <w:szCs w:val="16"/>
          <w:vertAlign w:val="superscript"/>
          <w:lang w:val="en-GB" w:eastAsia="ja-JP"/>
        </w:rPr>
      </w:pPr>
      <w:r w:rsidRPr="00C96521">
        <w:rPr>
          <w:rFonts w:eastAsia="MS Mincho" w:cs="Arial"/>
          <w:i/>
          <w:sz w:val="16"/>
          <w:szCs w:val="16"/>
          <w:lang w:val="en-GB" w:eastAsia="ja-JP"/>
        </w:rPr>
        <w:t>(5) rate of change in population size during the period of concern, calculated as: multiplicative slope</w:t>
      </w:r>
      <w:r w:rsidRPr="00C96521">
        <w:rPr>
          <w:rFonts w:eastAsia="MS Mincho" w:cs="Arial"/>
          <w:i/>
          <w:sz w:val="16"/>
          <w:szCs w:val="16"/>
          <w:vertAlign w:val="superscript"/>
          <w:lang w:val="en-GB" w:eastAsia="ja-JP"/>
        </w:rPr>
        <w:t>[number of years elapsed]</w:t>
      </w:r>
    </w:p>
    <w:p w14:paraId="209073E5" w14:textId="77777777" w:rsidR="00C96521" w:rsidRPr="00C96521" w:rsidRDefault="00C96521" w:rsidP="00C96521">
      <w:pPr>
        <w:widowControl/>
        <w:autoSpaceDE/>
        <w:autoSpaceDN/>
        <w:adjustRightInd/>
        <w:spacing w:line="276" w:lineRule="auto"/>
        <w:ind w:left="360" w:hanging="360"/>
        <w:rPr>
          <w:rFonts w:eastAsia="MS Mincho" w:cs="Arial"/>
          <w:i/>
          <w:sz w:val="16"/>
          <w:szCs w:val="16"/>
          <w:lang w:val="en-GB" w:eastAsia="ja-JP"/>
        </w:rPr>
      </w:pPr>
      <w:r w:rsidRPr="00C96521">
        <w:rPr>
          <w:rFonts w:eastAsia="MS Mincho" w:cs="Arial"/>
          <w:i/>
          <w:sz w:val="16"/>
          <w:szCs w:val="16"/>
          <w:lang w:val="en-GB" w:eastAsia="ja-JP"/>
        </w:rPr>
        <w:t xml:space="preserve">(6) population size in 2016, calculated as: initial population size </w:t>
      </w:r>
      <w:r w:rsidRPr="00C96521">
        <w:rPr>
          <w:rFonts w:eastAsia="MS Mincho" w:cs="Arial"/>
          <w:i/>
          <w:sz w:val="16"/>
          <w:szCs w:val="16"/>
          <w:lang w:val="en-GB" w:eastAsia="ja-JP"/>
        </w:rPr>
        <w:sym w:font="Symbol" w:char="F0B4"/>
      </w:r>
      <w:r w:rsidRPr="00C96521">
        <w:rPr>
          <w:rFonts w:eastAsia="MS Mincho" w:cs="Arial"/>
          <w:i/>
          <w:sz w:val="16"/>
          <w:szCs w:val="16"/>
          <w:lang w:val="en-GB" w:eastAsia="ja-JP"/>
        </w:rPr>
        <w:t xml:space="preserve"> rate of change</w:t>
      </w:r>
    </w:p>
    <w:p w14:paraId="60BADEB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7BFE4FF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Some publications (Escandell 2011, Spina and Volponi 2008) present recovery maps in which it appears that some birds ringed in islands located east of Spain (for example, the Balearic Islands and Colombretes) are recovered in Italy during spring migration, and some birds ringed in Italy are recovered in western Europe (France, Spain, Portugal), although it is not known if ringing occurred during the breeding period and/or during migration. These observations suggest that at least a part of the Italian population may use the western flyway during both spring and autumn migrations, so making those birds available for hunting on the western flyway. </w:t>
      </w:r>
    </w:p>
    <w:p w14:paraId="664DC55D"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0996184" w14:textId="0CF50B19"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In a second scenario, Italy was partly included by adding the area located north of a line from La Spezia to Bologna (alpine chain excluded), as most of the recoveries located in western Europe of doves ringed in Italy were from this area. No data are available to on the percentage of the Italian turtle-dove breeding population in this region. As it accounts for 21</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of the national area, this same ratio was used.</w:t>
      </w:r>
    </w:p>
    <w:p w14:paraId="273EF1E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34D2E271" w14:textId="3CD0C770"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Based on the Migration Atlas Spina and Volponi (2008), a hypothesis was used that among all birds ringed and recovered in Italy, those recovered in the northern part of the country were more likely to contribute to the hunting bag associated with the western flyway. Using this hypothesis, and as the vast majority of recoveries in Italy are obtained through hunting, a rough calculation based on the map showing national recoveries showed 19 recoveries out of 102 above the Spezia-Bologna line, leading to an estimate of 18.6</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 xml:space="preserve">of the national hunting bag. </w:t>
      </w:r>
    </w:p>
    <w:p w14:paraId="1945D36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6CB1146" w14:textId="77777777" w:rsidR="00C96521" w:rsidRPr="00C96521" w:rsidRDefault="00C96521" w:rsidP="00C96521">
      <w:pPr>
        <w:widowControl/>
        <w:autoSpaceDE/>
        <w:autoSpaceDN/>
        <w:adjustRightInd/>
        <w:spacing w:line="276" w:lineRule="auto"/>
        <w:rPr>
          <w:rFonts w:eastAsia="MS Mincho" w:cs="Arial"/>
          <w:b/>
          <w:sz w:val="20"/>
          <w:szCs w:val="20"/>
          <w:lang w:val="en-GB" w:eastAsia="ja-JP"/>
        </w:rPr>
      </w:pPr>
      <w:r w:rsidRPr="00C96521">
        <w:rPr>
          <w:rFonts w:eastAsia="MS Mincho" w:cs="Arial"/>
          <w:b/>
          <w:sz w:val="20"/>
          <w:szCs w:val="20"/>
          <w:lang w:val="en-GB" w:eastAsia="ja-JP"/>
        </w:rPr>
        <w:t>Method</w:t>
      </w:r>
    </w:p>
    <w:p w14:paraId="5762668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7503F01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aim was to estimate the maximum harvestable population allowed by population growth.</w:t>
      </w:r>
    </w:p>
    <w:p w14:paraId="331E217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5F65874"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cs="Arial"/>
          <w:sz w:val="20"/>
          <w:szCs w:val="20"/>
          <w:lang w:val="en-GB" w:eastAsia="ja-JP"/>
        </w:rPr>
        <w:t xml:space="preserve">It can be estimated as: </w:t>
      </w:r>
      <w:r w:rsidRPr="00C96521">
        <w:rPr>
          <w:rFonts w:eastAsia="MS Mincho"/>
          <w:b/>
          <w:sz w:val="20"/>
          <w:szCs w:val="22"/>
          <w:lang w:val="en-GB" w:eastAsia="ja-JP"/>
        </w:rPr>
        <w:t>P = Nb(λ</w:t>
      </w:r>
      <w:r w:rsidRPr="00C96521">
        <w:rPr>
          <w:rFonts w:eastAsia="MS Mincho"/>
          <w:b/>
          <w:sz w:val="20"/>
          <w:szCs w:val="22"/>
          <w:vertAlign w:val="subscript"/>
          <w:lang w:val="en-GB" w:eastAsia="ja-JP"/>
        </w:rPr>
        <w:t>max</w:t>
      </w:r>
      <w:r w:rsidRPr="00C96521">
        <w:rPr>
          <w:rFonts w:eastAsia="MS Mincho"/>
          <w:b/>
          <w:sz w:val="20"/>
          <w:szCs w:val="22"/>
          <w:lang w:val="en-GB" w:eastAsia="ja-JP"/>
        </w:rPr>
        <w:t xml:space="preserve"> – 1) </w:t>
      </w:r>
    </w:p>
    <w:p w14:paraId="76AC108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203530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P</w:t>
      </w:r>
      <w:r w:rsidRPr="00C96521">
        <w:rPr>
          <w:rFonts w:eastAsia="MS Mincho" w:cs="Arial"/>
          <w:sz w:val="20"/>
          <w:szCs w:val="20"/>
          <w:lang w:val="en-GB" w:eastAsia="ja-JP"/>
        </w:rPr>
        <w:t xml:space="preserve"> - potential maximum harvestable population fraction</w:t>
      </w:r>
    </w:p>
    <w:p w14:paraId="149505B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340A0777" w14:textId="4A69549F"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N</w:t>
      </w:r>
      <w:r w:rsidRPr="00C96521">
        <w:rPr>
          <w:rFonts w:eastAsia="MS Mincho" w:cs="Arial"/>
          <w:sz w:val="20"/>
          <w:szCs w:val="20"/>
          <w:lang w:val="en-GB" w:eastAsia="ja-JP"/>
        </w:rPr>
        <w:t xml:space="preserve"> - total population size, before the hunting season starts. Total population size includes adults and juveniles produced in the relevant year. To estimate the 2016 adult population size, the most recent estimates available for </w:t>
      </w:r>
      <w:r w:rsidR="007910C0">
        <w:rPr>
          <w:rFonts w:eastAsia="MS Mincho" w:cs="Arial"/>
          <w:sz w:val="20"/>
          <w:szCs w:val="20"/>
          <w:lang w:val="en-GB" w:eastAsia="ja-JP"/>
        </w:rPr>
        <w:t>T</w:t>
      </w:r>
      <w:r w:rsidRPr="00C96521">
        <w:rPr>
          <w:rFonts w:eastAsia="MS Mincho" w:cs="Arial"/>
          <w:sz w:val="20"/>
          <w:szCs w:val="20"/>
          <w:lang w:val="en-GB" w:eastAsia="ja-JP"/>
        </w:rPr>
        <w:t xml:space="preserve">urtle </w:t>
      </w:r>
      <w:r w:rsidR="007910C0">
        <w:rPr>
          <w:rFonts w:eastAsia="MS Mincho" w:cs="Arial"/>
          <w:sz w:val="20"/>
          <w:szCs w:val="20"/>
          <w:lang w:val="en-GB" w:eastAsia="ja-JP"/>
        </w:rPr>
        <w:t>D</w:t>
      </w:r>
      <w:r w:rsidR="007910C0" w:rsidRPr="00C96521">
        <w:rPr>
          <w:rFonts w:eastAsia="MS Mincho" w:cs="Arial"/>
          <w:sz w:val="20"/>
          <w:szCs w:val="20"/>
          <w:lang w:val="en-GB" w:eastAsia="ja-JP"/>
        </w:rPr>
        <w:t xml:space="preserve">ove </w:t>
      </w:r>
      <w:r w:rsidRPr="00C96521">
        <w:rPr>
          <w:rFonts w:eastAsia="MS Mincho" w:cs="Arial"/>
          <w:sz w:val="20"/>
          <w:szCs w:val="20"/>
          <w:lang w:val="en-GB" w:eastAsia="ja-JP"/>
        </w:rPr>
        <w:t>population size in each of the countries were corrected by the yearly multiplicative trend slope. To estimate the juvenile population size, the breeding population (in pairs; all adults were considered to breed, which may not be the case) was multiplied by a productivity estimate (number of flying juveniles produced per pair per year). Two different estimates were used as lower and upper intervals: 1.3 (calculated in the 1990s in the UK by Browne and Aebischer 2004) and 2.71 (calculated in Spain by Fontoura and Dias 1995).</w:t>
      </w:r>
    </w:p>
    <w:p w14:paraId="7FCD37F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7EE919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b</w:t>
      </w:r>
      <w:r w:rsidRPr="00C96521">
        <w:rPr>
          <w:rFonts w:eastAsia="MS Mincho" w:cs="Arial"/>
          <w:sz w:val="20"/>
          <w:szCs w:val="20"/>
          <w:lang w:val="en-GB" w:eastAsia="ja-JP"/>
        </w:rPr>
        <w:t xml:space="preserve"> - correction factor accounting for the effect of density on demographic performance. Initially, Wade (1998) recommended setting </w:t>
      </w:r>
      <w:r w:rsidRPr="00C96521">
        <w:rPr>
          <w:rFonts w:eastAsia="MS Mincho" w:cs="Arial"/>
          <w:b/>
          <w:sz w:val="20"/>
          <w:szCs w:val="20"/>
          <w:lang w:val="en-GB" w:eastAsia="ja-JP"/>
        </w:rPr>
        <w:t xml:space="preserve">b </w:t>
      </w:r>
      <w:r w:rsidRPr="00C96521">
        <w:rPr>
          <w:rFonts w:eastAsia="MS Mincho" w:cs="Arial"/>
          <w:sz w:val="20"/>
          <w:szCs w:val="20"/>
          <w:lang w:val="en-GB" w:eastAsia="ja-JP"/>
        </w:rPr>
        <w:t>at the default value of 0.5. However, more recently, Dillingham and Fletcher (2008) suggested that, without further information, it may be reasonable to use a value of 0.1 for threatened or endangered species (0.5 for Least Concern species). 0.1 is used in this model.</w:t>
      </w:r>
    </w:p>
    <w:p w14:paraId="4F90DA3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310681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λ</w:t>
      </w:r>
      <w:r w:rsidRPr="00C96521">
        <w:rPr>
          <w:rFonts w:eastAsia="MS Mincho" w:cs="Arial"/>
          <w:b/>
          <w:sz w:val="20"/>
          <w:szCs w:val="20"/>
          <w:vertAlign w:val="subscript"/>
          <w:lang w:val="en-GB" w:eastAsia="ja-JP"/>
        </w:rPr>
        <w:t>max</w:t>
      </w:r>
      <w:r w:rsidRPr="00C96521">
        <w:rPr>
          <w:rFonts w:eastAsia="MS Mincho" w:cs="Arial"/>
          <w:sz w:val="20"/>
          <w:szCs w:val="20"/>
          <w:lang w:val="en-GB" w:eastAsia="ja-JP"/>
        </w:rPr>
        <w:t xml:space="preserve"> - maximal growth rate.</w:t>
      </w:r>
    </w:p>
    <w:p w14:paraId="27761AB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8EBA89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3AF65A0"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λ</w:t>
      </w:r>
      <w:r w:rsidRPr="00C96521">
        <w:rPr>
          <w:rFonts w:eastAsia="MS Mincho" w:cs="Arial"/>
          <w:b/>
          <w:sz w:val="20"/>
          <w:szCs w:val="20"/>
          <w:vertAlign w:val="subscript"/>
          <w:lang w:val="en-GB" w:eastAsia="ja-JP"/>
        </w:rPr>
        <w:t>max</w:t>
      </w:r>
      <w:r w:rsidRPr="00C96521">
        <w:rPr>
          <w:rFonts w:eastAsia="MS Mincho" w:cs="Arial"/>
          <w:sz w:val="20"/>
          <w:szCs w:val="20"/>
          <w:lang w:val="en-GB" w:eastAsia="ja-JP"/>
        </w:rPr>
        <w:t xml:space="preserve"> is estimated following Niel and Lebreton (2005) by solving numerically:</w:t>
      </w:r>
    </w:p>
    <w:p w14:paraId="7ADA6A9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837F6ED" w14:textId="77777777" w:rsidR="00C96521" w:rsidRPr="00C96521" w:rsidRDefault="00C96521" w:rsidP="00C96521">
      <w:pPr>
        <w:widowControl/>
        <w:autoSpaceDE/>
        <w:autoSpaceDN/>
        <w:adjustRightInd/>
        <w:spacing w:line="276" w:lineRule="auto"/>
        <w:ind w:left="708" w:firstLine="708"/>
        <w:rPr>
          <w:rFonts w:eastAsia="MS Mincho"/>
          <w:b/>
          <w:sz w:val="20"/>
          <w:szCs w:val="22"/>
          <w:lang w:val="en-GB" w:eastAsia="ja-JP"/>
        </w:rPr>
      </w:pPr>
      <w:r w:rsidRPr="00C96521">
        <w:rPr>
          <w:rFonts w:eastAsia="MS Mincho"/>
          <w:b/>
          <w:sz w:val="20"/>
          <w:szCs w:val="22"/>
          <w:lang w:val="en-GB" w:eastAsia="ja-JP"/>
        </w:rPr>
        <w:t>λ</w:t>
      </w:r>
      <w:r w:rsidRPr="00C96521">
        <w:rPr>
          <w:rFonts w:eastAsia="MS Mincho"/>
          <w:b/>
          <w:sz w:val="20"/>
          <w:szCs w:val="22"/>
          <w:vertAlign w:val="subscript"/>
          <w:lang w:val="en-GB" w:eastAsia="ja-JP"/>
        </w:rPr>
        <w:t>max</w:t>
      </w:r>
      <w:r w:rsidRPr="00C96521">
        <w:rPr>
          <w:rFonts w:eastAsia="MS Mincho"/>
          <w:b/>
          <w:sz w:val="20"/>
          <w:szCs w:val="22"/>
          <w:lang w:val="en-GB" w:eastAsia="ja-JP"/>
        </w:rPr>
        <w:t xml:space="preserve"> = exp([a + So/( λ</w:t>
      </w:r>
      <w:r w:rsidRPr="00C96521">
        <w:rPr>
          <w:rFonts w:eastAsia="MS Mincho"/>
          <w:b/>
          <w:sz w:val="20"/>
          <w:szCs w:val="22"/>
          <w:vertAlign w:val="subscript"/>
          <w:lang w:val="en-GB" w:eastAsia="ja-JP"/>
        </w:rPr>
        <w:t>max</w:t>
      </w:r>
      <w:r w:rsidRPr="00C96521">
        <w:rPr>
          <w:rFonts w:eastAsia="MS Mincho"/>
          <w:b/>
          <w:sz w:val="20"/>
          <w:szCs w:val="22"/>
          <w:lang w:val="en-GB" w:eastAsia="ja-JP"/>
        </w:rPr>
        <w:t>- So)]</w:t>
      </w:r>
      <w:r w:rsidRPr="00C96521">
        <w:rPr>
          <w:rFonts w:eastAsia="MS Mincho"/>
          <w:b/>
          <w:sz w:val="20"/>
          <w:szCs w:val="22"/>
          <w:vertAlign w:val="superscript"/>
          <w:lang w:val="en-GB" w:eastAsia="ja-JP"/>
        </w:rPr>
        <w:t>-1</w:t>
      </w:r>
      <w:r w:rsidRPr="00C96521">
        <w:rPr>
          <w:rFonts w:eastAsia="MS Mincho"/>
          <w:b/>
          <w:sz w:val="20"/>
          <w:szCs w:val="22"/>
          <w:lang w:val="en-GB" w:eastAsia="ja-JP"/>
        </w:rPr>
        <w:t>)</w:t>
      </w:r>
    </w:p>
    <w:p w14:paraId="0608B473" w14:textId="77777777" w:rsidR="00C96521" w:rsidRPr="00C96521" w:rsidRDefault="00C96521" w:rsidP="00C96521">
      <w:pPr>
        <w:widowControl/>
        <w:autoSpaceDE/>
        <w:autoSpaceDN/>
        <w:adjustRightInd/>
        <w:spacing w:line="276" w:lineRule="auto"/>
        <w:ind w:left="708" w:firstLine="708"/>
        <w:rPr>
          <w:rFonts w:eastAsia="MS Mincho"/>
          <w:sz w:val="20"/>
          <w:szCs w:val="22"/>
          <w:lang w:val="en-GB" w:eastAsia="ja-JP"/>
        </w:rPr>
      </w:pPr>
    </w:p>
    <w:p w14:paraId="16FF44CB" w14:textId="09340A9A"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a</w:t>
      </w:r>
      <w:r w:rsidRPr="00C96521">
        <w:rPr>
          <w:rFonts w:eastAsia="MS Mincho" w:cs="Arial"/>
          <w:sz w:val="20"/>
          <w:szCs w:val="20"/>
          <w:lang w:val="en-GB" w:eastAsia="ja-JP"/>
        </w:rPr>
        <w:t xml:space="preserve"> - average age at first reproduction. In the absence of published data, it was considered that 100</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 xml:space="preserve">of birds first breed at one year. </w:t>
      </w:r>
    </w:p>
    <w:p w14:paraId="59FEEF3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42D1303"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So</w:t>
      </w:r>
      <w:r w:rsidRPr="00C96521">
        <w:rPr>
          <w:rFonts w:eastAsia="MS Mincho" w:cs="Arial"/>
          <w:sz w:val="20"/>
          <w:szCs w:val="20"/>
          <w:lang w:val="en-GB" w:eastAsia="ja-JP"/>
        </w:rPr>
        <w:t xml:space="preserve"> - adult survival rate. Estimates of survival rates are available for France and the UK.</w:t>
      </w:r>
    </w:p>
    <w:p w14:paraId="703F2CB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2A40F8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For France, apparent adult survival rates came from a study at the CMR station located on Oléron Island (France, south-west) and monitored since 1998. The model accounted for transience effect on survival (due to permanent emigration), considering a distinct survival rate for transient and resident individuals. Both these survival rates could vary between year but recapture probability </w:t>
      </w:r>
      <w:r w:rsidRPr="00C96521">
        <w:rPr>
          <w:rFonts w:eastAsia="MS Mincho" w:cs="Arial"/>
          <w:b/>
          <w:sz w:val="20"/>
          <w:szCs w:val="20"/>
          <w:lang w:val="en-GB" w:eastAsia="ja-JP"/>
        </w:rPr>
        <w:t>p</w:t>
      </w:r>
      <w:r w:rsidRPr="00C96521">
        <w:rPr>
          <w:rFonts w:eastAsia="MS Mincho" w:cs="Arial"/>
          <w:sz w:val="20"/>
          <w:szCs w:val="20"/>
          <w:lang w:val="en-GB" w:eastAsia="ja-JP"/>
        </w:rPr>
        <w:t xml:space="preserve"> held constant (model</w:t>
      </w:r>
      <w:r w:rsidRPr="00C96521">
        <w:rPr>
          <w:rFonts w:eastAsia="MS Mincho" w:cs="Arial"/>
          <w:b/>
          <w:sz w:val="20"/>
          <w:szCs w:val="20"/>
          <w:lang w:val="en-GB" w:eastAsia="ja-JP"/>
        </w:rPr>
        <w:t xml:space="preserve"> ϕtp</w:t>
      </w:r>
      <w:r w:rsidRPr="00C96521">
        <w:rPr>
          <w:rFonts w:eastAsia="MS Mincho" w:cs="Arial"/>
          <w:sz w:val="20"/>
          <w:szCs w:val="20"/>
          <w:lang w:val="en-GB" w:eastAsia="ja-JP"/>
        </w:rPr>
        <w:t xml:space="preserve">). An average value of </w:t>
      </w:r>
      <w:r w:rsidRPr="00C96521">
        <w:rPr>
          <w:rFonts w:eastAsia="MS Mincho" w:cs="Arial"/>
          <w:b/>
          <w:sz w:val="20"/>
          <w:szCs w:val="20"/>
          <w:lang w:val="en-GB" w:eastAsia="ja-JP"/>
        </w:rPr>
        <w:t>So</w:t>
      </w:r>
      <w:r w:rsidRPr="00C96521">
        <w:rPr>
          <w:rFonts w:eastAsia="MS Mincho" w:cs="Arial"/>
          <w:sz w:val="20"/>
          <w:szCs w:val="20"/>
          <w:lang w:val="en-GB" w:eastAsia="ja-JP"/>
        </w:rPr>
        <w:t xml:space="preserve"> for resident individuals was used with Mark software (“Output/Specific model output/Variance components/Real parameter estimates”), set to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0.593.</w:t>
      </w:r>
    </w:p>
    <w:p w14:paraId="2AF5536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08CDB8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As apparent survival rate is likely to underestimates true survival, an alternative approach was also applied by using the averaged upper 95% interval confidence of resident survival rates obtained through the same model (from 1998 to 2016). From this,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0.748. </w:t>
      </w:r>
    </w:p>
    <w:p w14:paraId="56CE865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C0559B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For UK, survival estimates found in Siriwardena </w:t>
      </w:r>
      <w:r w:rsidRPr="00C96521">
        <w:rPr>
          <w:rFonts w:eastAsia="MS Mincho" w:cs="Arial"/>
          <w:i/>
          <w:sz w:val="20"/>
          <w:szCs w:val="20"/>
          <w:lang w:val="en-GB" w:eastAsia="ja-JP"/>
        </w:rPr>
        <w:t>et al</w:t>
      </w:r>
      <w:r w:rsidRPr="00C96521">
        <w:rPr>
          <w:rFonts w:eastAsia="MS Mincho" w:cs="Arial"/>
          <w:sz w:val="20"/>
          <w:szCs w:val="20"/>
          <w:lang w:val="en-GB" w:eastAsia="ja-JP"/>
        </w:rPr>
        <w:t xml:space="preserve"> (1999) were used, obtained through ring recoveries data (and so being a more realistic representation of true survival rate). Two adult survival rates were given, one when the population was considered as stable,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0.623, and one when the population was declining, and set to 52.5%. As an intermediate approach compared to France, I used the value of </w:t>
      </w:r>
      <w:r w:rsidRPr="00C96521">
        <w:rPr>
          <w:rFonts w:eastAsia="MS Mincho" w:cs="Arial"/>
          <w:b/>
          <w:sz w:val="20"/>
          <w:szCs w:val="20"/>
          <w:lang w:val="en-GB" w:eastAsia="ja-JP"/>
        </w:rPr>
        <w:t xml:space="preserve">So </w:t>
      </w:r>
      <w:r w:rsidRPr="00C96521">
        <w:rPr>
          <w:rFonts w:eastAsia="MS Mincho" w:cs="Arial"/>
          <w:sz w:val="20"/>
          <w:szCs w:val="20"/>
          <w:lang w:val="en-GB" w:eastAsia="ja-JP"/>
        </w:rPr>
        <w:t>= 0.623.</w:t>
      </w:r>
    </w:p>
    <w:p w14:paraId="04501A6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10118F21" w14:textId="75E57EEF"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The potential maximum harvestable population fraction (P) according to different group of hypotheses were estimated. In the first group of scenarios, Italy was not included, while in a second group, data were included as previously described. In each group, productivity and adult survival could have different values. There were </w:t>
      </w:r>
      <w:r w:rsidR="007910C0">
        <w:rPr>
          <w:rFonts w:eastAsia="MS Mincho" w:cs="Arial"/>
          <w:sz w:val="20"/>
          <w:szCs w:val="20"/>
          <w:lang w:val="en-GB" w:eastAsia="ja-JP"/>
        </w:rPr>
        <w:t>six</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different scenarios in each group (Figure 19).</w:t>
      </w:r>
    </w:p>
    <w:p w14:paraId="0CAC90D3" w14:textId="77777777" w:rsidR="00C96521" w:rsidRPr="00C96521" w:rsidRDefault="00C96521" w:rsidP="00C96521">
      <w:pPr>
        <w:widowControl/>
        <w:autoSpaceDE/>
        <w:autoSpaceDN/>
        <w:adjustRightInd/>
        <w:spacing w:line="276" w:lineRule="auto"/>
        <w:ind w:firstLine="708"/>
        <w:rPr>
          <w:rFonts w:eastAsia="MS Mincho"/>
          <w:sz w:val="20"/>
          <w:szCs w:val="22"/>
          <w:lang w:val="en-GB" w:eastAsia="ja-JP"/>
        </w:rPr>
      </w:pPr>
    </w:p>
    <w:p w14:paraId="533CAC18" w14:textId="77777777" w:rsidR="00C96521" w:rsidRPr="00C96521" w:rsidRDefault="00C96521" w:rsidP="00C96521">
      <w:pPr>
        <w:widowControl/>
        <w:autoSpaceDE/>
        <w:autoSpaceDN/>
        <w:adjustRightInd/>
        <w:spacing w:line="276" w:lineRule="auto"/>
        <w:ind w:firstLine="708"/>
        <w:rPr>
          <w:rFonts w:eastAsia="MS Mincho"/>
          <w:sz w:val="20"/>
          <w:szCs w:val="22"/>
          <w:lang w:val="en-GB" w:eastAsia="ja-JP"/>
        </w:rPr>
      </w:pPr>
    </w:p>
    <w:p w14:paraId="59A2EC75" w14:textId="77777777" w:rsidR="00C96521" w:rsidRPr="00C96521" w:rsidRDefault="00C96521" w:rsidP="00C96521">
      <w:pPr>
        <w:widowControl/>
        <w:autoSpaceDE/>
        <w:autoSpaceDN/>
        <w:adjustRightInd/>
        <w:spacing w:before="120" w:line="276" w:lineRule="auto"/>
        <w:rPr>
          <w:rFonts w:eastAsia="MS Mincho"/>
          <w:i/>
          <w:sz w:val="20"/>
          <w:szCs w:val="20"/>
          <w:lang w:val="en-GB" w:eastAsia="ja-JP"/>
        </w:rPr>
      </w:pPr>
      <w:r w:rsidRPr="00C96521">
        <w:rPr>
          <w:rFonts w:eastAsia="MS Mincho"/>
          <w:i/>
          <w:sz w:val="22"/>
          <w:szCs w:val="22"/>
          <w:lang w:val="en-GB" w:eastAsia="ja-JP"/>
        </w:rPr>
        <w:br w:type="page"/>
      </w:r>
      <w:r w:rsidRPr="00C96521">
        <w:rPr>
          <w:rFonts w:eastAsia="MS Mincho"/>
          <w:i/>
          <w:sz w:val="20"/>
          <w:szCs w:val="20"/>
          <w:lang w:val="en-GB" w:eastAsia="ja-JP"/>
        </w:rPr>
        <w:lastRenderedPageBreak/>
        <w:t xml:space="preserve"> </w:t>
      </w:r>
    </w:p>
    <w:p w14:paraId="58F605B4" w14:textId="270EA014" w:rsidR="00C96521" w:rsidRPr="00CB5111" w:rsidRDefault="00C96521" w:rsidP="00CB5111">
      <w:pPr>
        <w:widowControl/>
        <w:autoSpaceDE/>
        <w:autoSpaceDN/>
        <w:adjustRightInd/>
        <w:spacing w:line="276" w:lineRule="auto"/>
        <w:ind w:firstLine="708"/>
        <w:rPr>
          <w:rFonts w:eastAsia="MS Mincho"/>
          <w:sz w:val="20"/>
          <w:szCs w:val="20"/>
          <w:lang w:val="en-GB" w:eastAsia="ja-JP"/>
        </w:rPr>
      </w:pPr>
      <w:r w:rsidRPr="00C96521">
        <w:rPr>
          <w:rFonts w:eastAsia="MS Mincho"/>
          <w:noProof/>
          <w:sz w:val="20"/>
          <w:szCs w:val="20"/>
        </w:rPr>
        <mc:AlternateContent>
          <mc:Choice Requires="wpc">
            <w:drawing>
              <wp:anchor distT="0" distB="0" distL="114300" distR="114300" simplePos="0" relativeHeight="251660800" behindDoc="0" locked="0" layoutInCell="1" allowOverlap="1" wp14:anchorId="79916F28" wp14:editId="5B623E7A">
                <wp:simplePos x="0" y="0"/>
                <wp:positionH relativeFrom="column">
                  <wp:posOffset>228600</wp:posOffset>
                </wp:positionH>
                <wp:positionV relativeFrom="paragraph">
                  <wp:posOffset>81280</wp:posOffset>
                </wp:positionV>
                <wp:extent cx="5143500" cy="4895850"/>
                <wp:effectExtent l="0" t="11430" r="3175" b="7620"/>
                <wp:wrapSquare wrapText="bothSides"/>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Rectangle 104"/>
                        <wps:cNvSpPr>
                          <a:spLocks noChangeArrowheads="1"/>
                        </wps:cNvSpPr>
                        <wps:spPr bwMode="auto">
                          <a:xfrm>
                            <a:off x="249238" y="0"/>
                            <a:ext cx="4824413" cy="4895850"/>
                          </a:xfrm>
                          <a:prstGeom prst="rect">
                            <a:avLst/>
                          </a:prstGeom>
                          <a:solidFill>
                            <a:srgbClr val="EAEAEA"/>
                          </a:solidFill>
                          <a:ln w="9525">
                            <a:solidFill>
                              <a:srgbClr val="000000"/>
                            </a:solidFill>
                            <a:miter lim="800000"/>
                            <a:headEnd/>
                            <a:tailEnd/>
                          </a:ln>
                        </wps:spPr>
                        <wps:bodyPr rot="0" vert="horz" wrap="square" lIns="91440" tIns="45720" rIns="91440" bIns="45720" anchor="ctr" anchorCtr="0" upright="1">
                          <a:noAutofit/>
                        </wps:bodyPr>
                      </wps:wsp>
                      <wps:wsp>
                        <wps:cNvPr id="12" name="Rectangle 105"/>
                        <wps:cNvSpPr>
                          <a:spLocks noChangeArrowheads="1"/>
                        </wps:cNvSpPr>
                        <wps:spPr bwMode="auto">
                          <a:xfrm>
                            <a:off x="2119313" y="71438"/>
                            <a:ext cx="2811463" cy="19446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 name="Text Box 106"/>
                        <wps:cNvSpPr txBox="1">
                          <a:spLocks noChangeArrowheads="1"/>
                        </wps:cNvSpPr>
                        <wps:spPr bwMode="auto">
                          <a:xfrm>
                            <a:off x="1905000" y="115888"/>
                            <a:ext cx="3238500"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9ADD6" w14:textId="77777777" w:rsidR="00B70B7A" w:rsidRPr="008D569D" w:rsidRDefault="00B70B7A" w:rsidP="00C96521">
                              <w:pPr>
                                <w:jc w:val="center"/>
                                <w:rPr>
                                  <w:rFonts w:cs="Arial"/>
                                  <w:b/>
                                  <w:bCs/>
                                  <w:color w:val="000000"/>
                                  <w:szCs w:val="18"/>
                                  <w:vertAlign w:val="subscript"/>
                                </w:rPr>
                              </w:pPr>
                              <w:r>
                                <w:rPr>
                                  <w:rFonts w:cs="Arial"/>
                                  <w:b/>
                                  <w:bCs/>
                                  <w:color w:val="000000"/>
                                  <w:szCs w:val="18"/>
                                </w:rPr>
                                <w:t xml:space="preserve">Step 2: post breeding </w:t>
                              </w:r>
                              <w:r w:rsidRPr="008D569D">
                                <w:rPr>
                                  <w:rFonts w:cs="Arial"/>
                                  <w:b/>
                                  <w:bCs/>
                                  <w:color w:val="000000"/>
                                  <w:szCs w:val="18"/>
                                </w:rPr>
                                <w:t>population size in 2016</w:t>
                              </w:r>
                            </w:p>
                          </w:txbxContent>
                        </wps:txbx>
                        <wps:bodyPr rot="0" vert="horz" wrap="square" lIns="91440" tIns="45720" rIns="91440" bIns="45720" anchor="t" anchorCtr="0" upright="1">
                          <a:noAutofit/>
                        </wps:bodyPr>
                      </wps:wsp>
                      <wps:wsp>
                        <wps:cNvPr id="23" name="Rectangle 107"/>
                        <wps:cNvSpPr>
                          <a:spLocks noChangeArrowheads="1"/>
                        </wps:cNvSpPr>
                        <wps:spPr bwMode="auto">
                          <a:xfrm>
                            <a:off x="706438" y="2068513"/>
                            <a:ext cx="3887788" cy="27701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4" name="Rectangle 108"/>
                        <wps:cNvSpPr>
                          <a:spLocks noChangeArrowheads="1"/>
                        </wps:cNvSpPr>
                        <wps:spPr bwMode="auto">
                          <a:xfrm>
                            <a:off x="341313" y="71438"/>
                            <a:ext cx="1733550" cy="19446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5" name="Text Box 109"/>
                        <wps:cNvSpPr txBox="1">
                          <a:spLocks noChangeArrowheads="1"/>
                        </wps:cNvSpPr>
                        <wps:spPr bwMode="auto">
                          <a:xfrm>
                            <a:off x="0" y="139700"/>
                            <a:ext cx="230346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EBBE3" w14:textId="77777777" w:rsidR="00B70B7A" w:rsidRDefault="00B70B7A" w:rsidP="00C96521">
                              <w:pPr>
                                <w:jc w:val="center"/>
                                <w:rPr>
                                  <w:rFonts w:cs="Arial"/>
                                  <w:b/>
                                  <w:bCs/>
                                  <w:color w:val="000000"/>
                                  <w:szCs w:val="18"/>
                                  <w:vertAlign w:val="subscript"/>
                                </w:rPr>
                              </w:pPr>
                              <w:r>
                                <w:rPr>
                                  <w:rFonts w:cs="Arial"/>
                                  <w:b/>
                                  <w:bCs/>
                                  <w:color w:val="000000"/>
                                  <w:szCs w:val="18"/>
                                </w:rPr>
                                <w:t xml:space="preserve">Step 1: </w:t>
                              </w:r>
                              <w:r>
                                <w:rPr>
                                  <w:rFonts w:cs="Arial"/>
                                  <w:b/>
                                  <w:bCs/>
                                  <w:color w:val="000000"/>
                                  <w:szCs w:val="18"/>
                                  <w:lang w:val="el-GR"/>
                                </w:rPr>
                                <w:t>λ</w:t>
                              </w:r>
                              <w:r>
                                <w:rPr>
                                  <w:rFonts w:cs="Arial"/>
                                  <w:b/>
                                  <w:bCs/>
                                  <w:color w:val="000000"/>
                                  <w:szCs w:val="18"/>
                                  <w:vertAlign w:val="subscript"/>
                                </w:rPr>
                                <w:t>max</w:t>
                              </w:r>
                            </w:p>
                          </w:txbxContent>
                        </wps:txbx>
                        <wps:bodyPr rot="0" vert="horz" wrap="square" lIns="91440" tIns="45720" rIns="91440" bIns="45720" anchor="t" anchorCtr="0" upright="1">
                          <a:noAutofit/>
                        </wps:bodyPr>
                      </wps:wsp>
                      <wps:wsp>
                        <wps:cNvPr id="28" name="Text Box 110"/>
                        <wps:cNvSpPr txBox="1">
                          <a:spLocks noChangeArrowheads="1"/>
                        </wps:cNvSpPr>
                        <wps:spPr bwMode="auto">
                          <a:xfrm>
                            <a:off x="896938" y="2087563"/>
                            <a:ext cx="3384550"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AE8CD" w14:textId="77777777" w:rsidR="00B70B7A" w:rsidRDefault="00B70B7A" w:rsidP="00C96521">
                              <w:pPr>
                                <w:jc w:val="center"/>
                                <w:rPr>
                                  <w:rFonts w:cs="Arial"/>
                                  <w:b/>
                                  <w:bCs/>
                                  <w:color w:val="000000"/>
                                  <w:szCs w:val="18"/>
                                  <w:vertAlign w:val="subscript"/>
                                </w:rPr>
                              </w:pPr>
                              <w:r>
                                <w:rPr>
                                  <w:rFonts w:cs="Arial"/>
                                  <w:b/>
                                  <w:bCs/>
                                  <w:color w:val="000000"/>
                                  <w:szCs w:val="18"/>
                                </w:rPr>
                                <w:t>Step 3: estimation of P</w:t>
                              </w:r>
                            </w:p>
                          </w:txbxContent>
                        </wps:txbx>
                        <wps:bodyPr rot="0" vert="horz" wrap="square" lIns="91440" tIns="45720" rIns="91440" bIns="45720" anchor="t" anchorCtr="0" upright="1">
                          <a:noAutofit/>
                        </wps:bodyPr>
                      </wps:wsp>
                      <wps:wsp>
                        <wps:cNvPr id="30" name="Text Box 111"/>
                        <wps:cNvSpPr txBox="1">
                          <a:spLocks noChangeArrowheads="1"/>
                        </wps:cNvSpPr>
                        <wps:spPr bwMode="auto">
                          <a:xfrm>
                            <a:off x="427038" y="415925"/>
                            <a:ext cx="4699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2CB1EBB2" w14:textId="77777777" w:rsidR="00B70B7A" w:rsidRDefault="00B70B7A" w:rsidP="00C96521">
                              <w:pPr>
                                <w:jc w:val="center"/>
                                <w:rPr>
                                  <w:rFonts w:cs="Arial"/>
                                  <w:color w:val="000000"/>
                                  <w:szCs w:val="18"/>
                                </w:rPr>
                              </w:pPr>
                              <w:r>
                                <w:rPr>
                                  <w:rFonts w:cs="Arial"/>
                                  <w:color w:val="000000"/>
                                  <w:szCs w:val="18"/>
                                </w:rPr>
                                <w:t>So1</w:t>
                              </w:r>
                            </w:p>
                          </w:txbxContent>
                        </wps:txbx>
                        <wps:bodyPr rot="0" vert="horz" wrap="square" lIns="91440" tIns="45720" rIns="91440" bIns="45720" anchor="t" anchorCtr="0" upright="1">
                          <a:noAutofit/>
                        </wps:bodyPr>
                      </wps:wsp>
                      <wps:wsp>
                        <wps:cNvPr id="35" name="Text Box 112"/>
                        <wps:cNvSpPr txBox="1">
                          <a:spLocks noChangeArrowheads="1"/>
                        </wps:cNvSpPr>
                        <wps:spPr bwMode="auto">
                          <a:xfrm>
                            <a:off x="969963" y="415925"/>
                            <a:ext cx="4699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40ABE2CE" w14:textId="77777777" w:rsidR="00B70B7A" w:rsidRDefault="00B70B7A" w:rsidP="00C96521">
                              <w:pPr>
                                <w:jc w:val="center"/>
                                <w:rPr>
                                  <w:rFonts w:cs="Arial"/>
                                  <w:color w:val="000000"/>
                                  <w:szCs w:val="18"/>
                                </w:rPr>
                              </w:pPr>
                              <w:r>
                                <w:rPr>
                                  <w:rFonts w:cs="Arial"/>
                                  <w:color w:val="000000"/>
                                  <w:szCs w:val="18"/>
                                </w:rPr>
                                <w:t>So2</w:t>
                              </w:r>
                            </w:p>
                          </w:txbxContent>
                        </wps:txbx>
                        <wps:bodyPr rot="0" vert="horz" wrap="square" lIns="91440" tIns="45720" rIns="91440" bIns="45720" anchor="t" anchorCtr="0" upright="1">
                          <a:noAutofit/>
                        </wps:bodyPr>
                      </wps:wsp>
                      <wps:wsp>
                        <wps:cNvPr id="36" name="Text Box 113"/>
                        <wps:cNvSpPr txBox="1">
                          <a:spLocks noChangeArrowheads="1"/>
                        </wps:cNvSpPr>
                        <wps:spPr bwMode="auto">
                          <a:xfrm>
                            <a:off x="1492250" y="414338"/>
                            <a:ext cx="4699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1D28DC31" w14:textId="77777777" w:rsidR="00B70B7A" w:rsidRDefault="00B70B7A" w:rsidP="00C96521">
                              <w:pPr>
                                <w:jc w:val="center"/>
                                <w:rPr>
                                  <w:rFonts w:cs="Arial"/>
                                  <w:color w:val="000000"/>
                                  <w:szCs w:val="18"/>
                                </w:rPr>
                              </w:pPr>
                              <w:r>
                                <w:rPr>
                                  <w:rFonts w:cs="Arial"/>
                                  <w:color w:val="000000"/>
                                  <w:szCs w:val="18"/>
                                </w:rPr>
                                <w:t>So3</w:t>
                              </w:r>
                            </w:p>
                          </w:txbxContent>
                        </wps:txbx>
                        <wps:bodyPr rot="0" vert="horz" wrap="square" lIns="91440" tIns="45720" rIns="91440" bIns="45720" anchor="t" anchorCtr="0" upright="1">
                          <a:noAutofit/>
                        </wps:bodyPr>
                      </wps:wsp>
                      <wps:wsp>
                        <wps:cNvPr id="37" name="Text Box 114"/>
                        <wps:cNvSpPr txBox="1">
                          <a:spLocks noChangeArrowheads="1"/>
                        </wps:cNvSpPr>
                        <wps:spPr bwMode="auto">
                          <a:xfrm>
                            <a:off x="465138" y="987425"/>
                            <a:ext cx="140652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43941818" w14:textId="77777777" w:rsidR="00B70B7A" w:rsidRDefault="00B70B7A" w:rsidP="00C96521">
                              <w:pPr>
                                <w:jc w:val="center"/>
                                <w:rPr>
                                  <w:rFonts w:cs="Arial"/>
                                  <w:color w:val="000000"/>
                                  <w:szCs w:val="18"/>
                                </w:rPr>
                              </w:pPr>
                              <w:r>
                                <w:rPr>
                                  <w:rFonts w:cs="Arial"/>
                                  <w:color w:val="000000"/>
                                  <w:szCs w:val="18"/>
                                </w:rPr>
                                <w:t>a</w:t>
                              </w:r>
                            </w:p>
                          </w:txbxContent>
                        </wps:txbx>
                        <wps:bodyPr rot="0" vert="horz" wrap="square" lIns="91440" tIns="45720" rIns="91440" bIns="45720" anchor="t" anchorCtr="0" upright="1">
                          <a:noAutofit/>
                        </wps:bodyPr>
                      </wps:wsp>
                      <wps:wsp>
                        <wps:cNvPr id="38" name="Text Box 115"/>
                        <wps:cNvSpPr txBox="1">
                          <a:spLocks noChangeArrowheads="1"/>
                        </wps:cNvSpPr>
                        <wps:spPr bwMode="auto">
                          <a:xfrm>
                            <a:off x="455613" y="1589088"/>
                            <a:ext cx="4572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236D37D2" w14:textId="77777777" w:rsidR="00B70B7A" w:rsidRDefault="00B70B7A"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max1</w:t>
                              </w:r>
                            </w:p>
                          </w:txbxContent>
                        </wps:txbx>
                        <wps:bodyPr rot="0" vert="horz" wrap="square" lIns="91440" tIns="45720" rIns="91440" bIns="45720" anchor="t" anchorCtr="0" upright="1">
                          <a:noAutofit/>
                        </wps:bodyPr>
                      </wps:wsp>
                      <wps:wsp>
                        <wps:cNvPr id="39" name="Text Box 116"/>
                        <wps:cNvSpPr txBox="1">
                          <a:spLocks noChangeArrowheads="1"/>
                        </wps:cNvSpPr>
                        <wps:spPr bwMode="auto">
                          <a:xfrm>
                            <a:off x="979488" y="1584325"/>
                            <a:ext cx="4572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30034ABB" w14:textId="77777777" w:rsidR="00B70B7A" w:rsidRDefault="00B70B7A"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max2</w:t>
                              </w:r>
                            </w:p>
                          </w:txbxContent>
                        </wps:txbx>
                        <wps:bodyPr rot="0" vert="horz" wrap="square" lIns="91440" tIns="45720" rIns="91440" bIns="45720" anchor="t" anchorCtr="0" upright="1">
                          <a:noAutofit/>
                        </wps:bodyPr>
                      </wps:wsp>
                      <wps:wsp>
                        <wps:cNvPr id="42" name="Text Box 117"/>
                        <wps:cNvSpPr txBox="1">
                          <a:spLocks noChangeArrowheads="1"/>
                        </wps:cNvSpPr>
                        <wps:spPr bwMode="auto">
                          <a:xfrm>
                            <a:off x="1498600" y="1589088"/>
                            <a:ext cx="4572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956C0CD" w14:textId="77777777" w:rsidR="00B70B7A" w:rsidRDefault="00B70B7A"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max3</w:t>
                              </w:r>
                            </w:p>
                          </w:txbxContent>
                        </wps:txbx>
                        <wps:bodyPr rot="0" vert="horz" wrap="square" lIns="91440" tIns="45720" rIns="91440" bIns="45720" anchor="t" anchorCtr="0" upright="1">
                          <a:noAutofit/>
                        </wps:bodyPr>
                      </wps:wsp>
                      <wps:wsp>
                        <wps:cNvPr id="43" name="Text Box 118"/>
                        <wps:cNvSpPr txBox="1">
                          <a:spLocks noChangeArrowheads="1"/>
                        </wps:cNvSpPr>
                        <wps:spPr bwMode="auto">
                          <a:xfrm>
                            <a:off x="2263775" y="409575"/>
                            <a:ext cx="244792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602F3C48" w14:textId="77777777" w:rsidR="00B70B7A" w:rsidRDefault="00B70B7A" w:rsidP="00C96521">
                              <w:pPr>
                                <w:jc w:val="center"/>
                                <w:rPr>
                                  <w:rFonts w:cs="Arial"/>
                                  <w:color w:val="000000"/>
                                  <w:szCs w:val="18"/>
                                </w:rPr>
                              </w:pPr>
                              <w:r>
                                <w:rPr>
                                  <w:rFonts w:cs="Arial"/>
                                  <w:color w:val="000000"/>
                                  <w:szCs w:val="18"/>
                                </w:rPr>
                                <w:t>N pre-breeding (N)</w:t>
                              </w:r>
                            </w:p>
                          </w:txbxContent>
                        </wps:txbx>
                        <wps:bodyPr rot="0" vert="horz" wrap="square" lIns="91440" tIns="45720" rIns="91440" bIns="45720" anchor="t" anchorCtr="0" upright="1">
                          <a:noAutofit/>
                        </wps:bodyPr>
                      </wps:wsp>
                      <wps:wsp>
                        <wps:cNvPr id="44" name="Text Box 119"/>
                        <wps:cNvSpPr txBox="1">
                          <a:spLocks noChangeArrowheads="1"/>
                        </wps:cNvSpPr>
                        <wps:spPr bwMode="auto">
                          <a:xfrm>
                            <a:off x="2406650" y="998538"/>
                            <a:ext cx="1081088"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F287EC2" w14:textId="77777777" w:rsidR="00B70B7A" w:rsidRDefault="00B70B7A" w:rsidP="00C96521">
                              <w:pPr>
                                <w:rPr>
                                  <w:rFonts w:cs="Arial"/>
                                  <w:color w:val="000000"/>
                                  <w:szCs w:val="18"/>
                                  <w:vertAlign w:val="subscript"/>
                                </w:rPr>
                              </w:pPr>
                              <w:r>
                                <w:rPr>
                                  <w:rFonts w:cs="Arial"/>
                                  <w:color w:val="000000"/>
                                  <w:szCs w:val="18"/>
                                </w:rPr>
                                <w:t>Productivity1</w:t>
                              </w:r>
                            </w:p>
                          </w:txbxContent>
                        </wps:txbx>
                        <wps:bodyPr rot="0" vert="horz" wrap="square" lIns="91440" tIns="45720" rIns="91440" bIns="45720" anchor="t" anchorCtr="0" upright="1">
                          <a:noAutofit/>
                        </wps:bodyPr>
                      </wps:wsp>
                      <wps:wsp>
                        <wps:cNvPr id="45" name="Text Box 120"/>
                        <wps:cNvSpPr txBox="1">
                          <a:spLocks noChangeArrowheads="1"/>
                        </wps:cNvSpPr>
                        <wps:spPr bwMode="auto">
                          <a:xfrm>
                            <a:off x="3632200" y="993775"/>
                            <a:ext cx="10795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1F93A1D5" w14:textId="77777777" w:rsidR="00B70B7A" w:rsidRDefault="00B70B7A" w:rsidP="00C96521">
                              <w:pPr>
                                <w:rPr>
                                  <w:rFonts w:cs="Arial"/>
                                  <w:color w:val="000000"/>
                                  <w:szCs w:val="18"/>
                                  <w:vertAlign w:val="subscript"/>
                                </w:rPr>
                              </w:pPr>
                              <w:r>
                                <w:rPr>
                                  <w:rFonts w:cs="Arial"/>
                                  <w:color w:val="000000"/>
                                  <w:szCs w:val="18"/>
                                </w:rPr>
                                <w:t>Productivity2</w:t>
                              </w:r>
                            </w:p>
                          </w:txbxContent>
                        </wps:txbx>
                        <wps:bodyPr rot="0" vert="horz" wrap="square" lIns="91440" tIns="45720" rIns="91440" bIns="45720" anchor="t" anchorCtr="0" upright="1">
                          <a:noAutofit/>
                        </wps:bodyPr>
                      </wps:wsp>
                      <wps:wsp>
                        <wps:cNvPr id="46" name="Text Box 121"/>
                        <wps:cNvSpPr txBox="1">
                          <a:spLocks noChangeArrowheads="1"/>
                        </wps:cNvSpPr>
                        <wps:spPr bwMode="auto">
                          <a:xfrm>
                            <a:off x="2190750" y="1617663"/>
                            <a:ext cx="128587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7DB43B8C" w14:textId="77777777" w:rsidR="00B70B7A" w:rsidRDefault="00B70B7A" w:rsidP="00C96521">
                              <w:pPr>
                                <w:jc w:val="center"/>
                                <w:rPr>
                                  <w:rFonts w:cs="Arial"/>
                                  <w:color w:val="000000"/>
                                  <w:szCs w:val="18"/>
                                  <w:vertAlign w:val="subscript"/>
                                </w:rPr>
                              </w:pPr>
                              <w:r>
                                <w:rPr>
                                  <w:rFonts w:cs="Arial"/>
                                  <w:color w:val="000000"/>
                                  <w:szCs w:val="18"/>
                                </w:rPr>
                                <w:t>N post-breeding (N1)</w:t>
                              </w:r>
                            </w:p>
                          </w:txbxContent>
                        </wps:txbx>
                        <wps:bodyPr rot="0" vert="horz" wrap="square" lIns="91440" tIns="45720" rIns="91440" bIns="45720" anchor="t" anchorCtr="0" upright="1">
                          <a:noAutofit/>
                        </wps:bodyPr>
                      </wps:wsp>
                      <wps:wsp>
                        <wps:cNvPr id="47" name="Text Box 122"/>
                        <wps:cNvSpPr txBox="1">
                          <a:spLocks noChangeArrowheads="1"/>
                        </wps:cNvSpPr>
                        <wps:spPr bwMode="auto">
                          <a:xfrm>
                            <a:off x="3536950" y="1612900"/>
                            <a:ext cx="1319213"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65D5B88" w14:textId="77777777" w:rsidR="00B70B7A" w:rsidRDefault="00B70B7A" w:rsidP="00C96521">
                              <w:pPr>
                                <w:jc w:val="center"/>
                                <w:rPr>
                                  <w:rFonts w:cs="Arial"/>
                                  <w:color w:val="000000"/>
                                  <w:szCs w:val="18"/>
                                  <w:vertAlign w:val="subscript"/>
                                </w:rPr>
                              </w:pPr>
                              <w:r>
                                <w:rPr>
                                  <w:rFonts w:cs="Arial"/>
                                  <w:color w:val="000000"/>
                                  <w:szCs w:val="18"/>
                                </w:rPr>
                                <w:t>N post-breeding (N2)</w:t>
                              </w:r>
                            </w:p>
                          </w:txbxContent>
                        </wps:txbx>
                        <wps:bodyPr rot="0" vert="horz" wrap="square" lIns="91440" tIns="45720" rIns="91440" bIns="45720" anchor="t" anchorCtr="0" upright="1">
                          <a:noAutofit/>
                        </wps:bodyPr>
                      </wps:wsp>
                      <wps:wsp>
                        <wps:cNvPr id="48" name="Text Box 123"/>
                        <wps:cNvSpPr txBox="1">
                          <a:spLocks noChangeArrowheads="1"/>
                        </wps:cNvSpPr>
                        <wps:spPr bwMode="auto">
                          <a:xfrm>
                            <a:off x="1338263" y="2319338"/>
                            <a:ext cx="2447925" cy="8524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468D12A6" w14:textId="77777777" w:rsidR="00B70B7A" w:rsidRDefault="00B70B7A" w:rsidP="00C96521">
                              <w:pPr>
                                <w:jc w:val="center"/>
                                <w:rPr>
                                  <w:rFonts w:cs="Arial"/>
                                  <w:color w:val="000000"/>
                                  <w:szCs w:val="18"/>
                                </w:rPr>
                              </w:pPr>
                              <w:r>
                                <w:rPr>
                                  <w:rFonts w:cs="Arial"/>
                                  <w:color w:val="000000"/>
                                  <w:szCs w:val="18"/>
                                </w:rPr>
                                <w:t>B</w:t>
                              </w:r>
                            </w:p>
                            <w:p w14:paraId="2D114485" w14:textId="77777777" w:rsidR="00B70B7A" w:rsidRDefault="00B70B7A" w:rsidP="00C96521">
                              <w:pPr>
                                <w:jc w:val="center"/>
                                <w:rPr>
                                  <w:rFonts w:cs="Arial"/>
                                  <w:color w:val="000000"/>
                                  <w:szCs w:val="18"/>
                                </w:rPr>
                              </w:pPr>
                            </w:p>
                            <w:p w14:paraId="0A7E7078" w14:textId="77777777" w:rsidR="00B70B7A" w:rsidRDefault="00B70B7A" w:rsidP="00C96521">
                              <w:pPr>
                                <w:jc w:val="center"/>
                                <w:rPr>
                                  <w:rFonts w:cs="Arial"/>
                                  <w:color w:val="000000"/>
                                  <w:szCs w:val="18"/>
                                </w:rPr>
                              </w:pPr>
                            </w:p>
                            <w:p w14:paraId="2FAD7061" w14:textId="77777777" w:rsidR="00B70B7A" w:rsidRDefault="00B70B7A" w:rsidP="00C96521">
                              <w:pPr>
                                <w:jc w:val="center"/>
                                <w:rPr>
                                  <w:rFonts w:cs="Arial"/>
                                  <w:color w:val="000000"/>
                                  <w:szCs w:val="18"/>
                                </w:rPr>
                              </w:pPr>
                            </w:p>
                          </w:txbxContent>
                        </wps:txbx>
                        <wps:bodyPr rot="0" vert="horz" wrap="square" lIns="91440" tIns="45720" rIns="91440" bIns="45720" anchor="t" anchorCtr="0" upright="1">
                          <a:noAutofit/>
                        </wps:bodyPr>
                      </wps:wsp>
                      <wps:wsp>
                        <wps:cNvPr id="49" name="Line 124"/>
                        <wps:cNvCnPr>
                          <a:cxnSpLocks noChangeShapeType="1"/>
                        </wps:cNvCnPr>
                        <wps:spPr bwMode="auto">
                          <a:xfrm>
                            <a:off x="681038" y="715963"/>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25"/>
                        <wps:cNvCnPr>
                          <a:cxnSpLocks noChangeShapeType="1"/>
                        </wps:cNvCnPr>
                        <wps:spPr bwMode="auto">
                          <a:xfrm>
                            <a:off x="1150938" y="719138"/>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26"/>
                        <wps:cNvCnPr>
                          <a:cxnSpLocks noChangeShapeType="1"/>
                        </wps:cNvCnPr>
                        <wps:spPr bwMode="auto">
                          <a:xfrm>
                            <a:off x="1689100" y="715963"/>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127"/>
                        <wps:cNvSpPr txBox="1">
                          <a:spLocks noChangeArrowheads="1"/>
                        </wps:cNvSpPr>
                        <wps:spPr bwMode="auto">
                          <a:xfrm>
                            <a:off x="1390650" y="2947988"/>
                            <a:ext cx="576263"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D0957" w14:textId="77777777" w:rsidR="00B70B7A" w:rsidRDefault="00B70B7A"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max1</w:t>
                              </w:r>
                            </w:p>
                          </w:txbxContent>
                        </wps:txbx>
                        <wps:bodyPr rot="0" vert="horz" wrap="square" lIns="91440" tIns="45720" rIns="91440" bIns="45720" anchor="t" anchorCtr="0" upright="1">
                          <a:noAutofit/>
                        </wps:bodyPr>
                      </wps:wsp>
                      <wps:wsp>
                        <wps:cNvPr id="53" name="Text Box 128"/>
                        <wps:cNvSpPr txBox="1">
                          <a:spLocks noChangeArrowheads="1"/>
                        </wps:cNvSpPr>
                        <wps:spPr bwMode="auto">
                          <a:xfrm>
                            <a:off x="2359025" y="2943225"/>
                            <a:ext cx="576263"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C08C1" w14:textId="77777777" w:rsidR="00B70B7A" w:rsidRDefault="00B70B7A"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max2</w:t>
                              </w:r>
                            </w:p>
                          </w:txbxContent>
                        </wps:txbx>
                        <wps:bodyPr rot="0" vert="horz" wrap="square" lIns="91440" tIns="45720" rIns="91440" bIns="45720" anchor="t" anchorCtr="0" upright="1">
                          <a:noAutofit/>
                        </wps:bodyPr>
                      </wps:wsp>
                      <wps:wsp>
                        <wps:cNvPr id="54" name="Text Box 129"/>
                        <wps:cNvSpPr txBox="1">
                          <a:spLocks noChangeArrowheads="1"/>
                        </wps:cNvSpPr>
                        <wps:spPr bwMode="auto">
                          <a:xfrm>
                            <a:off x="3282950" y="2943225"/>
                            <a:ext cx="576263"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885CA" w14:textId="77777777" w:rsidR="00B70B7A" w:rsidRDefault="00B70B7A"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max3</w:t>
                              </w:r>
                            </w:p>
                          </w:txbxContent>
                        </wps:txbx>
                        <wps:bodyPr rot="0" vert="horz" wrap="square" lIns="91440" tIns="45720" rIns="91440" bIns="45720" anchor="t" anchorCtr="0" upright="1">
                          <a:noAutofit/>
                        </wps:bodyPr>
                      </wps:wsp>
                      <wps:wsp>
                        <wps:cNvPr id="55" name="Text Box 130"/>
                        <wps:cNvSpPr txBox="1">
                          <a:spLocks noChangeArrowheads="1"/>
                        </wps:cNvSpPr>
                        <wps:spPr bwMode="auto">
                          <a:xfrm>
                            <a:off x="3900488" y="3789363"/>
                            <a:ext cx="593725" cy="374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648180A1" w14:textId="77777777" w:rsidR="00B70B7A" w:rsidRDefault="00B70B7A"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max3</w:t>
                              </w:r>
                            </w:p>
                          </w:txbxContent>
                        </wps:txbx>
                        <wps:bodyPr rot="0" vert="horz" wrap="square" lIns="91440" tIns="45720" rIns="91440" bIns="45720" anchor="t" anchorCtr="0" upright="1">
                          <a:noAutofit/>
                        </wps:bodyPr>
                      </wps:wsp>
                      <wps:wsp>
                        <wps:cNvPr id="56" name="AutoShape 131"/>
                        <wps:cNvCnPr>
                          <a:cxnSpLocks noChangeShapeType="1"/>
                          <a:stCxn id="52" idx="2"/>
                          <a:endCxn id="70" idx="0"/>
                        </wps:cNvCnPr>
                        <wps:spPr bwMode="auto">
                          <a:xfrm flipH="1">
                            <a:off x="1091406" y="3176588"/>
                            <a:ext cx="587375" cy="612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132"/>
                        <wps:cNvCnPr>
                          <a:cxnSpLocks noChangeShapeType="1"/>
                          <a:stCxn id="53" idx="2"/>
                          <a:endCxn id="72" idx="0"/>
                        </wps:cNvCnPr>
                        <wps:spPr bwMode="auto">
                          <a:xfrm flipH="1">
                            <a:off x="1674813" y="3171825"/>
                            <a:ext cx="972344" cy="61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33"/>
                        <wps:cNvCnPr>
                          <a:cxnSpLocks noChangeShapeType="1"/>
                          <a:stCxn id="54" idx="2"/>
                          <a:endCxn id="55" idx="0"/>
                        </wps:cNvCnPr>
                        <wps:spPr bwMode="auto">
                          <a:xfrm>
                            <a:off x="3571081" y="3171825"/>
                            <a:ext cx="627063" cy="6175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134"/>
                        <wps:cNvCnPr>
                          <a:cxnSpLocks noChangeShapeType="1"/>
                        </wps:cNvCnPr>
                        <wps:spPr bwMode="auto">
                          <a:xfrm>
                            <a:off x="681038" y="1293813"/>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135"/>
                        <wps:cNvCnPr>
                          <a:cxnSpLocks noChangeShapeType="1"/>
                        </wps:cNvCnPr>
                        <wps:spPr bwMode="auto">
                          <a:xfrm>
                            <a:off x="1150938" y="1296988"/>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136"/>
                        <wps:cNvCnPr>
                          <a:cxnSpLocks noChangeShapeType="1"/>
                        </wps:cNvCnPr>
                        <wps:spPr bwMode="auto">
                          <a:xfrm>
                            <a:off x="1704975" y="1293813"/>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137"/>
                        <wps:cNvCnPr>
                          <a:cxnSpLocks noChangeShapeType="1"/>
                        </wps:cNvCnPr>
                        <wps:spPr bwMode="auto">
                          <a:xfrm>
                            <a:off x="3054350" y="703263"/>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138"/>
                        <wps:cNvCnPr>
                          <a:cxnSpLocks noChangeShapeType="1"/>
                        </wps:cNvCnPr>
                        <wps:spPr bwMode="auto">
                          <a:xfrm>
                            <a:off x="3990975" y="700088"/>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139"/>
                        <wps:cNvCnPr>
                          <a:cxnSpLocks noChangeShapeType="1"/>
                        </wps:cNvCnPr>
                        <wps:spPr bwMode="auto">
                          <a:xfrm>
                            <a:off x="3055938" y="1298575"/>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140"/>
                        <wps:cNvCnPr>
                          <a:cxnSpLocks noChangeShapeType="1"/>
                        </wps:cNvCnPr>
                        <wps:spPr bwMode="auto">
                          <a:xfrm>
                            <a:off x="3992563" y="1295400"/>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141"/>
                        <wps:cNvSpPr txBox="1">
                          <a:spLocks noChangeArrowheads="1"/>
                        </wps:cNvSpPr>
                        <wps:spPr bwMode="auto">
                          <a:xfrm>
                            <a:off x="2051050" y="2679700"/>
                            <a:ext cx="430213"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0900E" w14:textId="77777777" w:rsidR="00B70B7A" w:rsidRDefault="00B70B7A" w:rsidP="00C96521">
                              <w:pPr>
                                <w:rPr>
                                  <w:rFonts w:cs="Arial"/>
                                  <w:color w:val="000000"/>
                                  <w:szCs w:val="18"/>
                                </w:rPr>
                              </w:pPr>
                              <w:r>
                                <w:rPr>
                                  <w:rFonts w:cs="Arial"/>
                                  <w:color w:val="000000"/>
                                  <w:szCs w:val="18"/>
                                </w:rPr>
                                <w:t>N1</w:t>
                              </w:r>
                            </w:p>
                          </w:txbxContent>
                        </wps:txbx>
                        <wps:bodyPr rot="0" vert="horz" wrap="square" lIns="91440" tIns="45720" rIns="91440" bIns="45720" anchor="t" anchorCtr="0" upright="1">
                          <a:noAutofit/>
                        </wps:bodyPr>
                      </wps:wsp>
                      <wps:wsp>
                        <wps:cNvPr id="67" name="Text Box 142"/>
                        <wps:cNvSpPr txBox="1">
                          <a:spLocks noChangeArrowheads="1"/>
                        </wps:cNvSpPr>
                        <wps:spPr bwMode="auto">
                          <a:xfrm>
                            <a:off x="2841625" y="2674938"/>
                            <a:ext cx="431800"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354AE" w14:textId="77777777" w:rsidR="00B70B7A" w:rsidRDefault="00B70B7A" w:rsidP="00C96521">
                              <w:pPr>
                                <w:rPr>
                                  <w:rFonts w:cs="Arial"/>
                                  <w:color w:val="000000"/>
                                  <w:szCs w:val="18"/>
                                </w:rPr>
                              </w:pPr>
                              <w:r>
                                <w:rPr>
                                  <w:rFonts w:cs="Arial"/>
                                  <w:color w:val="000000"/>
                                  <w:szCs w:val="18"/>
                                </w:rPr>
                                <w:t>N2</w:t>
                              </w:r>
                            </w:p>
                          </w:txbxContent>
                        </wps:txbx>
                        <wps:bodyPr rot="0" vert="horz" wrap="square" lIns="91440" tIns="45720" rIns="91440" bIns="45720" anchor="t" anchorCtr="0" upright="1">
                          <a:noAutofit/>
                        </wps:bodyPr>
                      </wps:wsp>
                      <wps:wsp>
                        <wps:cNvPr id="68" name="Text Box 143"/>
                        <wps:cNvSpPr txBox="1">
                          <a:spLocks noChangeArrowheads="1"/>
                        </wps:cNvSpPr>
                        <wps:spPr bwMode="auto">
                          <a:xfrm>
                            <a:off x="3260725" y="3792538"/>
                            <a:ext cx="593725" cy="374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69A4911E" w14:textId="77777777" w:rsidR="00B70B7A" w:rsidRDefault="00B70B7A"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max2</w:t>
                              </w:r>
                            </w:p>
                          </w:txbxContent>
                        </wps:txbx>
                        <wps:bodyPr rot="0" vert="horz" wrap="square" lIns="91440" tIns="45720" rIns="91440" bIns="45720" anchor="t" anchorCtr="0" upright="1">
                          <a:noAutofit/>
                        </wps:bodyPr>
                      </wps:wsp>
                      <wps:wsp>
                        <wps:cNvPr id="69" name="Text Box 144"/>
                        <wps:cNvSpPr txBox="1">
                          <a:spLocks noChangeArrowheads="1"/>
                        </wps:cNvSpPr>
                        <wps:spPr bwMode="auto">
                          <a:xfrm>
                            <a:off x="2625725" y="3792538"/>
                            <a:ext cx="593725" cy="374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69601A1E" w14:textId="77777777" w:rsidR="00B70B7A" w:rsidRDefault="00B70B7A"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max1</w:t>
                              </w:r>
                            </w:p>
                          </w:txbxContent>
                        </wps:txbx>
                        <wps:bodyPr rot="0" vert="horz" wrap="square" lIns="91440" tIns="45720" rIns="91440" bIns="45720" anchor="t" anchorCtr="0" upright="1">
                          <a:noAutofit/>
                        </wps:bodyPr>
                      </wps:wsp>
                      <wps:wsp>
                        <wps:cNvPr id="70" name="Text Box 145"/>
                        <wps:cNvSpPr txBox="1">
                          <a:spLocks noChangeArrowheads="1"/>
                        </wps:cNvSpPr>
                        <wps:spPr bwMode="auto">
                          <a:xfrm>
                            <a:off x="825500" y="3789363"/>
                            <a:ext cx="531813" cy="374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26D6D228" w14:textId="77777777" w:rsidR="00B70B7A" w:rsidRDefault="00B70B7A"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max1</w:t>
                              </w:r>
                            </w:p>
                          </w:txbxContent>
                        </wps:txbx>
                        <wps:bodyPr rot="0" vert="horz" wrap="square" lIns="91440" tIns="45720" rIns="91440" bIns="45720" anchor="t" anchorCtr="0" upright="1">
                          <a:noAutofit/>
                        </wps:bodyPr>
                      </wps:wsp>
                      <wps:wsp>
                        <wps:cNvPr id="71" name="Text Box 146"/>
                        <wps:cNvSpPr txBox="1">
                          <a:spLocks noChangeArrowheads="1"/>
                        </wps:cNvSpPr>
                        <wps:spPr bwMode="auto">
                          <a:xfrm>
                            <a:off x="1978025" y="3787775"/>
                            <a:ext cx="531813" cy="374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1A491988" w14:textId="77777777" w:rsidR="00B70B7A" w:rsidRDefault="00B70B7A"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max3</w:t>
                              </w:r>
                            </w:p>
                          </w:txbxContent>
                        </wps:txbx>
                        <wps:bodyPr rot="0" vert="horz" wrap="square" lIns="91440" tIns="45720" rIns="91440" bIns="45720" anchor="t" anchorCtr="0" upright="1">
                          <a:noAutofit/>
                        </wps:bodyPr>
                      </wps:wsp>
                      <wps:wsp>
                        <wps:cNvPr id="72" name="Text Box 147"/>
                        <wps:cNvSpPr txBox="1">
                          <a:spLocks noChangeArrowheads="1"/>
                        </wps:cNvSpPr>
                        <wps:spPr bwMode="auto">
                          <a:xfrm>
                            <a:off x="1408113" y="3787775"/>
                            <a:ext cx="531813" cy="374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1653773" w14:textId="77777777" w:rsidR="00B70B7A" w:rsidRDefault="00B70B7A"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max2</w:t>
                              </w:r>
                            </w:p>
                          </w:txbxContent>
                        </wps:txbx>
                        <wps:bodyPr rot="0" vert="horz" wrap="square" lIns="91440" tIns="45720" rIns="91440" bIns="45720" anchor="t" anchorCtr="0" upright="1">
                          <a:noAutofit/>
                        </wps:bodyPr>
                      </wps:wsp>
                      <wps:wsp>
                        <wps:cNvPr id="73" name="AutoShape 148"/>
                        <wps:cNvCnPr>
                          <a:cxnSpLocks noChangeShapeType="1"/>
                          <a:stCxn id="54" idx="2"/>
                          <a:endCxn id="71" idx="0"/>
                        </wps:cNvCnPr>
                        <wps:spPr bwMode="auto">
                          <a:xfrm flipH="1">
                            <a:off x="2243931" y="3171825"/>
                            <a:ext cx="1327150" cy="61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149"/>
                        <wps:cNvCnPr>
                          <a:cxnSpLocks noChangeShapeType="1"/>
                          <a:stCxn id="52" idx="2"/>
                          <a:endCxn id="69" idx="0"/>
                        </wps:cNvCnPr>
                        <wps:spPr bwMode="auto">
                          <a:xfrm>
                            <a:off x="1678781" y="3176588"/>
                            <a:ext cx="1243806" cy="61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50"/>
                        <wps:cNvCnPr>
                          <a:cxnSpLocks noChangeShapeType="1"/>
                          <a:stCxn id="53" idx="2"/>
                          <a:endCxn id="68" idx="0"/>
                        </wps:cNvCnPr>
                        <wps:spPr bwMode="auto">
                          <a:xfrm>
                            <a:off x="2647156" y="3171825"/>
                            <a:ext cx="910431" cy="6207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51"/>
                        <wps:cNvSpPr txBox="1">
                          <a:spLocks noChangeArrowheads="1"/>
                        </wps:cNvSpPr>
                        <wps:spPr bwMode="auto">
                          <a:xfrm>
                            <a:off x="896938" y="4519613"/>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230CDD5E" w14:textId="77777777" w:rsidR="00B70B7A" w:rsidRDefault="00B70B7A" w:rsidP="00C96521">
                              <w:pPr>
                                <w:jc w:val="center"/>
                                <w:rPr>
                                  <w:rFonts w:cs="Arial"/>
                                  <w:color w:val="000000"/>
                                  <w:szCs w:val="18"/>
                                </w:rPr>
                              </w:pPr>
                              <w:r>
                                <w:rPr>
                                  <w:rFonts w:cs="Arial"/>
                                  <w:color w:val="000000"/>
                                  <w:szCs w:val="18"/>
                                </w:rPr>
                                <w:t>P1</w:t>
                              </w:r>
                            </w:p>
                          </w:txbxContent>
                        </wps:txbx>
                        <wps:bodyPr rot="0" vert="horz" wrap="square" lIns="91440" tIns="45720" rIns="91440" bIns="45720" anchor="t" anchorCtr="0" upright="1">
                          <a:noAutofit/>
                        </wps:bodyPr>
                      </wps:wsp>
                      <wps:wsp>
                        <wps:cNvPr id="77" name="Text Box 152"/>
                        <wps:cNvSpPr txBox="1">
                          <a:spLocks noChangeArrowheads="1"/>
                        </wps:cNvSpPr>
                        <wps:spPr bwMode="auto">
                          <a:xfrm>
                            <a:off x="1506538" y="4513263"/>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3F952788" w14:textId="77777777" w:rsidR="00B70B7A" w:rsidRDefault="00B70B7A" w:rsidP="00C96521">
                              <w:pPr>
                                <w:jc w:val="center"/>
                                <w:rPr>
                                  <w:rFonts w:cs="Arial"/>
                                  <w:color w:val="000000"/>
                                  <w:szCs w:val="18"/>
                                </w:rPr>
                              </w:pPr>
                              <w:r>
                                <w:rPr>
                                  <w:rFonts w:cs="Arial"/>
                                  <w:color w:val="000000"/>
                                  <w:szCs w:val="18"/>
                                </w:rPr>
                                <w:t>P2</w:t>
                              </w:r>
                            </w:p>
                          </w:txbxContent>
                        </wps:txbx>
                        <wps:bodyPr rot="0" vert="horz" wrap="square" lIns="91440" tIns="45720" rIns="91440" bIns="45720" anchor="t" anchorCtr="0" upright="1">
                          <a:noAutofit/>
                        </wps:bodyPr>
                      </wps:wsp>
                      <wps:wsp>
                        <wps:cNvPr id="78" name="Text Box 153"/>
                        <wps:cNvSpPr txBox="1">
                          <a:spLocks noChangeArrowheads="1"/>
                        </wps:cNvSpPr>
                        <wps:spPr bwMode="auto">
                          <a:xfrm>
                            <a:off x="2087563" y="4529138"/>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581A5D37" w14:textId="77777777" w:rsidR="00B70B7A" w:rsidRDefault="00B70B7A" w:rsidP="00C96521">
                              <w:pPr>
                                <w:jc w:val="center"/>
                                <w:rPr>
                                  <w:rFonts w:cs="Arial"/>
                                  <w:color w:val="000000"/>
                                  <w:szCs w:val="18"/>
                                </w:rPr>
                              </w:pPr>
                              <w:r>
                                <w:rPr>
                                  <w:rFonts w:cs="Arial"/>
                                  <w:color w:val="000000"/>
                                  <w:szCs w:val="18"/>
                                </w:rPr>
                                <w:t>P3</w:t>
                              </w:r>
                            </w:p>
                          </w:txbxContent>
                        </wps:txbx>
                        <wps:bodyPr rot="0" vert="horz" wrap="square" lIns="91440" tIns="45720" rIns="91440" bIns="45720" anchor="t" anchorCtr="0" upright="1">
                          <a:noAutofit/>
                        </wps:bodyPr>
                      </wps:wsp>
                      <wps:wsp>
                        <wps:cNvPr id="79" name="Text Box 154"/>
                        <wps:cNvSpPr txBox="1">
                          <a:spLocks noChangeArrowheads="1"/>
                        </wps:cNvSpPr>
                        <wps:spPr bwMode="auto">
                          <a:xfrm>
                            <a:off x="2711450" y="4525963"/>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676F02F" w14:textId="77777777" w:rsidR="00B70B7A" w:rsidRDefault="00B70B7A" w:rsidP="00C96521">
                              <w:pPr>
                                <w:jc w:val="center"/>
                                <w:rPr>
                                  <w:rFonts w:cs="Arial"/>
                                  <w:color w:val="000000"/>
                                  <w:szCs w:val="18"/>
                                </w:rPr>
                              </w:pPr>
                              <w:r>
                                <w:rPr>
                                  <w:rFonts w:cs="Arial"/>
                                  <w:color w:val="000000"/>
                                  <w:szCs w:val="18"/>
                                </w:rPr>
                                <w:t>P4</w:t>
                              </w:r>
                            </w:p>
                          </w:txbxContent>
                        </wps:txbx>
                        <wps:bodyPr rot="0" vert="horz" wrap="square" lIns="91440" tIns="45720" rIns="91440" bIns="45720" anchor="t" anchorCtr="0" upright="1">
                          <a:noAutofit/>
                        </wps:bodyPr>
                      </wps:wsp>
                      <wps:wsp>
                        <wps:cNvPr id="80" name="Text Box 155"/>
                        <wps:cNvSpPr txBox="1">
                          <a:spLocks noChangeArrowheads="1"/>
                        </wps:cNvSpPr>
                        <wps:spPr bwMode="auto">
                          <a:xfrm>
                            <a:off x="3332163" y="4525963"/>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1BE8EF74" w14:textId="77777777" w:rsidR="00B70B7A" w:rsidRDefault="00B70B7A" w:rsidP="00C96521">
                              <w:pPr>
                                <w:jc w:val="center"/>
                                <w:rPr>
                                  <w:rFonts w:cs="Arial"/>
                                  <w:color w:val="000000"/>
                                  <w:szCs w:val="18"/>
                                </w:rPr>
                              </w:pPr>
                              <w:r>
                                <w:rPr>
                                  <w:rFonts w:cs="Arial"/>
                                  <w:color w:val="000000"/>
                                  <w:szCs w:val="18"/>
                                </w:rPr>
                                <w:t>P5</w:t>
                              </w:r>
                            </w:p>
                          </w:txbxContent>
                        </wps:txbx>
                        <wps:bodyPr rot="0" vert="horz" wrap="square" lIns="91440" tIns="45720" rIns="91440" bIns="45720" anchor="t" anchorCtr="0" upright="1">
                          <a:noAutofit/>
                        </wps:bodyPr>
                      </wps:wsp>
                      <wps:wsp>
                        <wps:cNvPr id="81" name="Text Box 156"/>
                        <wps:cNvSpPr txBox="1">
                          <a:spLocks noChangeArrowheads="1"/>
                        </wps:cNvSpPr>
                        <wps:spPr bwMode="auto">
                          <a:xfrm>
                            <a:off x="3946525" y="4522788"/>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5236E758" w14:textId="77777777" w:rsidR="00B70B7A" w:rsidRDefault="00B70B7A" w:rsidP="00C96521">
                              <w:pPr>
                                <w:jc w:val="center"/>
                                <w:rPr>
                                  <w:rFonts w:cs="Arial"/>
                                  <w:color w:val="000000"/>
                                  <w:szCs w:val="18"/>
                                </w:rPr>
                              </w:pPr>
                              <w:r>
                                <w:rPr>
                                  <w:rFonts w:cs="Arial"/>
                                  <w:color w:val="000000"/>
                                  <w:szCs w:val="18"/>
                                </w:rPr>
                                <w:t>P6</w:t>
                              </w:r>
                            </w:p>
                          </w:txbxContent>
                        </wps:txbx>
                        <wps:bodyPr rot="0" vert="horz" wrap="square" lIns="91440" tIns="45720" rIns="91440" bIns="45720" anchor="t" anchorCtr="0" upright="1">
                          <a:noAutofit/>
                        </wps:bodyPr>
                      </wps:wsp>
                      <wps:wsp>
                        <wps:cNvPr id="82" name="Line 157"/>
                        <wps:cNvCnPr>
                          <a:cxnSpLocks noChangeShapeType="1"/>
                        </wps:cNvCnPr>
                        <wps:spPr bwMode="auto">
                          <a:xfrm>
                            <a:off x="1046163" y="4210050"/>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158"/>
                        <wps:cNvCnPr>
                          <a:cxnSpLocks noChangeShapeType="1"/>
                        </wps:cNvCnPr>
                        <wps:spPr bwMode="auto">
                          <a:xfrm>
                            <a:off x="1708150" y="4217988"/>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59"/>
                        <wps:cNvCnPr>
                          <a:cxnSpLocks noChangeShapeType="1"/>
                        </wps:cNvCnPr>
                        <wps:spPr bwMode="auto">
                          <a:xfrm>
                            <a:off x="2284413" y="4219575"/>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160"/>
                        <wps:cNvCnPr>
                          <a:cxnSpLocks noChangeShapeType="1"/>
                        </wps:cNvCnPr>
                        <wps:spPr bwMode="auto">
                          <a:xfrm>
                            <a:off x="2924175" y="4217988"/>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61"/>
                        <wps:cNvCnPr>
                          <a:cxnSpLocks noChangeShapeType="1"/>
                        </wps:cNvCnPr>
                        <wps:spPr bwMode="auto">
                          <a:xfrm>
                            <a:off x="3529013" y="4210050"/>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62"/>
                        <wps:cNvCnPr>
                          <a:cxnSpLocks noChangeShapeType="1"/>
                        </wps:cNvCnPr>
                        <wps:spPr bwMode="auto">
                          <a:xfrm>
                            <a:off x="4157663" y="4210050"/>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9916F28" id="Canvas 102" o:spid="_x0000_s1028" editas="canvas" style="position:absolute;left:0;text-align:left;margin-left:18pt;margin-top:6.4pt;width:405pt;height:385.5pt;z-index:251660800" coordsize="51435,4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">
                <v:shape id="_x0000_s1029" type="#_x0000_t75" style="position:absolute;width:51435;height:48958;visibility:visible;mso-wrap-style:square">
                  <v:fill o:detectmouseclick="t"/>
                  <v:path o:connecttype="none"/>
                </v:shape>
                <v:rect id="Rectangle 104" o:spid="_x0000_s1030" style="position:absolute;left:2492;width:48244;height:48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" fillcolor="#eaeaea"/>
                <v:rect id="Rectangle 105" o:spid="_x0000_s1031" style="position:absolute;left:21193;top:714;width:28114;height:19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"/>
                <v:shape id="Text Box 106" o:spid="_x0000_s1032" type="#_x0000_t202" style="position:absolute;left:19050;top:1158;width:323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" filled="f" fillcolor="#bbe0e3" stroked="f">
                  <v:textbox>
                    <w:txbxContent>
                      <w:p w14:paraId="4BD9ADD6" w14:textId="77777777" w:rsidR="00B70B7A" w:rsidRPr="008D569D" w:rsidRDefault="00B70B7A" w:rsidP="00C96521">
                        <w:pPr>
                          <w:jc w:val="center"/>
                          <w:rPr>
                            <w:rFonts w:cs="Arial"/>
                            <w:b/>
                            <w:bCs/>
                            <w:color w:val="000000"/>
                            <w:szCs w:val="18"/>
                            <w:vertAlign w:val="subscript"/>
                          </w:rPr>
                        </w:pPr>
                        <w:r>
                          <w:rPr>
                            <w:rFonts w:cs="Arial"/>
                            <w:b/>
                            <w:bCs/>
                            <w:color w:val="000000"/>
                            <w:szCs w:val="18"/>
                          </w:rPr>
                          <w:t xml:space="preserve">Step 2: post breeding </w:t>
                        </w:r>
                        <w:r w:rsidRPr="008D569D">
                          <w:rPr>
                            <w:rFonts w:cs="Arial"/>
                            <w:b/>
                            <w:bCs/>
                            <w:color w:val="000000"/>
                            <w:szCs w:val="18"/>
                          </w:rPr>
                          <w:t>population size in 2016</w:t>
                        </w:r>
                      </w:p>
                    </w:txbxContent>
                  </v:textbox>
                </v:shape>
                <v:rect id="Rectangle 107" o:spid="_x0000_s1033" style="position:absolute;left:7064;top:20685;width:38878;height:2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"/>
                <v:rect id="Rectangle 108" o:spid="_x0000_s1034" style="position:absolute;left:3413;top:714;width:17335;height:19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"/>
                <v:shape id="Text Box 109" o:spid="_x0000_s1035" type="#_x0000_t202" style="position:absolute;top:1397;width:230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8EEBBE3" w14:textId="77777777" w:rsidR="00B70B7A" w:rsidRDefault="00B70B7A" w:rsidP="00C96521">
                        <w:pPr>
                          <w:jc w:val="center"/>
                          <w:rPr>
                            <w:rFonts w:cs="Arial"/>
                            <w:b/>
                            <w:bCs/>
                            <w:color w:val="000000"/>
                            <w:szCs w:val="18"/>
                            <w:vertAlign w:val="subscript"/>
                          </w:rPr>
                        </w:pPr>
                        <w:r>
                          <w:rPr>
                            <w:rFonts w:cs="Arial"/>
                            <w:b/>
                            <w:bCs/>
                            <w:color w:val="000000"/>
                            <w:szCs w:val="18"/>
                          </w:rPr>
                          <w:t xml:space="preserve">Step 1: </w:t>
                        </w:r>
                        <w:r>
                          <w:rPr>
                            <w:rFonts w:cs="Arial"/>
                            <w:b/>
                            <w:bCs/>
                            <w:color w:val="000000"/>
                            <w:szCs w:val="18"/>
                            <w:lang w:val="el-GR"/>
                          </w:rPr>
                          <w:t>λ</w:t>
                        </w:r>
                        <w:r>
                          <w:rPr>
                            <w:rFonts w:cs="Arial"/>
                            <w:b/>
                            <w:bCs/>
                            <w:color w:val="000000"/>
                            <w:szCs w:val="18"/>
                            <w:vertAlign w:val="subscript"/>
                          </w:rPr>
                          <w:t>max</w:t>
                        </w:r>
                      </w:p>
                    </w:txbxContent>
                  </v:textbox>
                </v:shape>
                <v:shape id="Text Box 110" o:spid="_x0000_s1036" type="#_x0000_t202" style="position:absolute;left:8969;top:20875;width:338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" filled="f" fillcolor="#bbe0e3" stroked="f">
                  <v:textbox>
                    <w:txbxContent>
                      <w:p w14:paraId="79AAE8CD" w14:textId="77777777" w:rsidR="00B70B7A" w:rsidRDefault="00B70B7A" w:rsidP="00C96521">
                        <w:pPr>
                          <w:jc w:val="center"/>
                          <w:rPr>
                            <w:rFonts w:cs="Arial"/>
                            <w:b/>
                            <w:bCs/>
                            <w:color w:val="000000"/>
                            <w:szCs w:val="18"/>
                            <w:vertAlign w:val="subscript"/>
                          </w:rPr>
                        </w:pPr>
                        <w:r>
                          <w:rPr>
                            <w:rFonts w:cs="Arial"/>
                            <w:b/>
                            <w:bCs/>
                            <w:color w:val="000000"/>
                            <w:szCs w:val="18"/>
                          </w:rPr>
                          <w:t>Step 3: estimation of P</w:t>
                        </w:r>
                      </w:p>
                    </w:txbxContent>
                  </v:textbox>
                </v:shape>
                <v:shape id="Text Box 111" o:spid="_x0000_s1037" type="#_x0000_t202" style="position:absolute;left:4270;top:4159;width:469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" filled="f" fillcolor="#bbe0e3">
                  <v:textbox>
                    <w:txbxContent>
                      <w:p w14:paraId="2CB1EBB2" w14:textId="77777777" w:rsidR="00B70B7A" w:rsidRDefault="00B70B7A" w:rsidP="00C96521">
                        <w:pPr>
                          <w:jc w:val="center"/>
                          <w:rPr>
                            <w:rFonts w:cs="Arial"/>
                            <w:color w:val="000000"/>
                            <w:szCs w:val="18"/>
                          </w:rPr>
                        </w:pPr>
                        <w:r>
                          <w:rPr>
                            <w:rFonts w:cs="Arial"/>
                            <w:color w:val="000000"/>
                            <w:szCs w:val="18"/>
                          </w:rPr>
                          <w:t>So1</w:t>
                        </w:r>
                      </w:p>
                    </w:txbxContent>
                  </v:textbox>
                </v:shape>
                <v:shape id="Text Box 112" o:spid="_x0000_s1038" type="#_x0000_t202" style="position:absolute;left:9699;top:4159;width:469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" filled="f" fillcolor="#bbe0e3">
                  <v:textbox>
                    <w:txbxContent>
                      <w:p w14:paraId="40ABE2CE" w14:textId="77777777" w:rsidR="00B70B7A" w:rsidRDefault="00B70B7A" w:rsidP="00C96521">
                        <w:pPr>
                          <w:jc w:val="center"/>
                          <w:rPr>
                            <w:rFonts w:cs="Arial"/>
                            <w:color w:val="000000"/>
                            <w:szCs w:val="18"/>
                          </w:rPr>
                        </w:pPr>
                        <w:r>
                          <w:rPr>
                            <w:rFonts w:cs="Arial"/>
                            <w:color w:val="000000"/>
                            <w:szCs w:val="18"/>
                          </w:rPr>
                          <w:t>So2</w:t>
                        </w:r>
                      </w:p>
                    </w:txbxContent>
                  </v:textbox>
                </v:shape>
                <v:shape id="Text Box 113" o:spid="_x0000_s1039" type="#_x0000_t202" style="position:absolute;left:14922;top:4143;width:469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" filled="f" fillcolor="#bbe0e3">
                  <v:textbox>
                    <w:txbxContent>
                      <w:p w14:paraId="1D28DC31" w14:textId="77777777" w:rsidR="00B70B7A" w:rsidRDefault="00B70B7A" w:rsidP="00C96521">
                        <w:pPr>
                          <w:jc w:val="center"/>
                          <w:rPr>
                            <w:rFonts w:cs="Arial"/>
                            <w:color w:val="000000"/>
                            <w:szCs w:val="18"/>
                          </w:rPr>
                        </w:pPr>
                        <w:r>
                          <w:rPr>
                            <w:rFonts w:cs="Arial"/>
                            <w:color w:val="000000"/>
                            <w:szCs w:val="18"/>
                          </w:rPr>
                          <w:t>So3</w:t>
                        </w:r>
                      </w:p>
                    </w:txbxContent>
                  </v:textbox>
                </v:shape>
                <v:shape id="Text Box 114" o:spid="_x0000_s1040" type="#_x0000_t202" style="position:absolute;left:4651;top:9874;width:1406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" filled="f" fillcolor="#bbe0e3">
                  <v:textbox>
                    <w:txbxContent>
                      <w:p w14:paraId="43941818" w14:textId="77777777" w:rsidR="00B70B7A" w:rsidRDefault="00B70B7A" w:rsidP="00C96521">
                        <w:pPr>
                          <w:jc w:val="center"/>
                          <w:rPr>
                            <w:rFonts w:cs="Arial"/>
                            <w:color w:val="000000"/>
                            <w:szCs w:val="18"/>
                          </w:rPr>
                        </w:pPr>
                        <w:r>
                          <w:rPr>
                            <w:rFonts w:cs="Arial"/>
                            <w:color w:val="000000"/>
                            <w:szCs w:val="18"/>
                          </w:rPr>
                          <w:t>a</w:t>
                        </w:r>
                      </w:p>
                    </w:txbxContent>
                  </v:textbox>
                </v:shape>
                <v:shape id="Text Box 115" o:spid="_x0000_s1041" type="#_x0000_t202" style="position:absolute;left:4556;top:15890;width:45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" filled="f" fillcolor="#bbe0e3">
                  <v:textbox>
                    <w:txbxContent>
                      <w:p w14:paraId="236D37D2" w14:textId="77777777" w:rsidR="00B70B7A" w:rsidRDefault="00B70B7A"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max1</w:t>
                        </w:r>
                      </w:p>
                    </w:txbxContent>
                  </v:textbox>
                </v:shape>
                <v:shape id="Text Box 116" o:spid="_x0000_s1042" type="#_x0000_t202" style="position:absolute;left:9794;top:15843;width:45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" filled="f" fillcolor="#bbe0e3">
                  <v:textbox>
                    <w:txbxContent>
                      <w:p w14:paraId="30034ABB" w14:textId="77777777" w:rsidR="00B70B7A" w:rsidRDefault="00B70B7A"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max2</w:t>
                        </w:r>
                      </w:p>
                    </w:txbxContent>
                  </v:textbox>
                </v:shape>
                <v:shape id="Text Box 117" o:spid="_x0000_s1043" type="#_x0000_t202" style="position:absolute;left:14986;top:15890;width:45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" filled="f" fillcolor="#bbe0e3">
                  <v:textbox>
                    <w:txbxContent>
                      <w:p w14:paraId="0956C0CD" w14:textId="77777777" w:rsidR="00B70B7A" w:rsidRDefault="00B70B7A"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max3</w:t>
                        </w:r>
                      </w:p>
                    </w:txbxContent>
                  </v:textbox>
                </v:shape>
                <v:shape id="Text Box 118" o:spid="_x0000_s1044" type="#_x0000_t202" style="position:absolute;left:22637;top:4095;width:2448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" filled="f" fillcolor="#bbe0e3">
                  <v:textbox>
                    <w:txbxContent>
                      <w:p w14:paraId="602F3C48" w14:textId="77777777" w:rsidR="00B70B7A" w:rsidRDefault="00B70B7A" w:rsidP="00C96521">
                        <w:pPr>
                          <w:jc w:val="center"/>
                          <w:rPr>
                            <w:rFonts w:cs="Arial"/>
                            <w:color w:val="000000"/>
                            <w:szCs w:val="18"/>
                          </w:rPr>
                        </w:pPr>
                        <w:r>
                          <w:rPr>
                            <w:rFonts w:cs="Arial"/>
                            <w:color w:val="000000"/>
                            <w:szCs w:val="18"/>
                          </w:rPr>
                          <w:t>N pre-breeding (N)</w:t>
                        </w:r>
                      </w:p>
                    </w:txbxContent>
                  </v:textbox>
                </v:shape>
                <v:shape id="Text Box 119" o:spid="_x0000_s1045" type="#_x0000_t202" style="position:absolute;left:24066;top:9985;width:1081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" filled="f" fillcolor="#bbe0e3">
                  <v:textbox>
                    <w:txbxContent>
                      <w:p w14:paraId="0F287EC2" w14:textId="77777777" w:rsidR="00B70B7A" w:rsidRDefault="00B70B7A" w:rsidP="00C96521">
                        <w:pPr>
                          <w:rPr>
                            <w:rFonts w:cs="Arial"/>
                            <w:color w:val="000000"/>
                            <w:szCs w:val="18"/>
                            <w:vertAlign w:val="subscript"/>
                          </w:rPr>
                        </w:pPr>
                        <w:r>
                          <w:rPr>
                            <w:rFonts w:cs="Arial"/>
                            <w:color w:val="000000"/>
                            <w:szCs w:val="18"/>
                          </w:rPr>
                          <w:t>Productivity1</w:t>
                        </w:r>
                      </w:p>
                    </w:txbxContent>
                  </v:textbox>
                </v:shape>
                <v:shape id="Text Box 120" o:spid="_x0000_s1046" type="#_x0000_t202" style="position:absolute;left:36322;top:9937;width:1079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" filled="f" fillcolor="#bbe0e3">
                  <v:textbox>
                    <w:txbxContent>
                      <w:p w14:paraId="1F93A1D5" w14:textId="77777777" w:rsidR="00B70B7A" w:rsidRDefault="00B70B7A" w:rsidP="00C96521">
                        <w:pPr>
                          <w:rPr>
                            <w:rFonts w:cs="Arial"/>
                            <w:color w:val="000000"/>
                            <w:szCs w:val="18"/>
                            <w:vertAlign w:val="subscript"/>
                          </w:rPr>
                        </w:pPr>
                        <w:r>
                          <w:rPr>
                            <w:rFonts w:cs="Arial"/>
                            <w:color w:val="000000"/>
                            <w:szCs w:val="18"/>
                          </w:rPr>
                          <w:t>Productivity2</w:t>
                        </w:r>
                      </w:p>
                    </w:txbxContent>
                  </v:textbox>
                </v:shape>
                <v:shape id="Text Box 121" o:spid="_x0000_s1047" type="#_x0000_t202" style="position:absolute;left:21907;top:16176;width:1285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" filled="f" fillcolor="#bbe0e3">
                  <v:textbox>
                    <w:txbxContent>
                      <w:p w14:paraId="7DB43B8C" w14:textId="77777777" w:rsidR="00B70B7A" w:rsidRDefault="00B70B7A" w:rsidP="00C96521">
                        <w:pPr>
                          <w:jc w:val="center"/>
                          <w:rPr>
                            <w:rFonts w:cs="Arial"/>
                            <w:color w:val="000000"/>
                            <w:szCs w:val="18"/>
                            <w:vertAlign w:val="subscript"/>
                          </w:rPr>
                        </w:pPr>
                        <w:r>
                          <w:rPr>
                            <w:rFonts w:cs="Arial"/>
                            <w:color w:val="000000"/>
                            <w:szCs w:val="18"/>
                          </w:rPr>
                          <w:t>N post-breeding (N1)</w:t>
                        </w:r>
                      </w:p>
                    </w:txbxContent>
                  </v:textbox>
                </v:shape>
                <v:shape id="Text Box 122" o:spid="_x0000_s1048" type="#_x0000_t202" style="position:absolute;left:35369;top:16129;width:1319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" filled="f" fillcolor="#bbe0e3">
                  <v:textbox>
                    <w:txbxContent>
                      <w:p w14:paraId="065D5B88" w14:textId="77777777" w:rsidR="00B70B7A" w:rsidRDefault="00B70B7A" w:rsidP="00C96521">
                        <w:pPr>
                          <w:jc w:val="center"/>
                          <w:rPr>
                            <w:rFonts w:cs="Arial"/>
                            <w:color w:val="000000"/>
                            <w:szCs w:val="18"/>
                            <w:vertAlign w:val="subscript"/>
                          </w:rPr>
                        </w:pPr>
                        <w:r>
                          <w:rPr>
                            <w:rFonts w:cs="Arial"/>
                            <w:color w:val="000000"/>
                            <w:szCs w:val="18"/>
                          </w:rPr>
                          <w:t>N post-breeding (N2)</w:t>
                        </w:r>
                      </w:p>
                    </w:txbxContent>
                  </v:textbox>
                </v:shape>
                <v:shape id="Text Box 123" o:spid="_x0000_s1049" type="#_x0000_t202" style="position:absolute;left:13382;top:23193;width:24479;height:8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" filled="f" fillcolor="#bbe0e3">
                  <v:textbox>
                    <w:txbxContent>
                      <w:p w14:paraId="468D12A6" w14:textId="77777777" w:rsidR="00B70B7A" w:rsidRDefault="00B70B7A" w:rsidP="00C96521">
                        <w:pPr>
                          <w:jc w:val="center"/>
                          <w:rPr>
                            <w:rFonts w:cs="Arial"/>
                            <w:color w:val="000000"/>
                            <w:szCs w:val="18"/>
                          </w:rPr>
                        </w:pPr>
                        <w:r>
                          <w:rPr>
                            <w:rFonts w:cs="Arial"/>
                            <w:color w:val="000000"/>
                            <w:szCs w:val="18"/>
                          </w:rPr>
                          <w:t>B</w:t>
                        </w:r>
                      </w:p>
                      <w:p w14:paraId="2D114485" w14:textId="77777777" w:rsidR="00B70B7A" w:rsidRDefault="00B70B7A" w:rsidP="00C96521">
                        <w:pPr>
                          <w:jc w:val="center"/>
                          <w:rPr>
                            <w:rFonts w:cs="Arial"/>
                            <w:color w:val="000000"/>
                            <w:szCs w:val="18"/>
                          </w:rPr>
                        </w:pPr>
                      </w:p>
                      <w:p w14:paraId="0A7E7078" w14:textId="77777777" w:rsidR="00B70B7A" w:rsidRDefault="00B70B7A" w:rsidP="00C96521">
                        <w:pPr>
                          <w:jc w:val="center"/>
                          <w:rPr>
                            <w:rFonts w:cs="Arial"/>
                            <w:color w:val="000000"/>
                            <w:szCs w:val="18"/>
                          </w:rPr>
                        </w:pPr>
                      </w:p>
                      <w:p w14:paraId="2FAD7061" w14:textId="77777777" w:rsidR="00B70B7A" w:rsidRDefault="00B70B7A" w:rsidP="00C96521">
                        <w:pPr>
                          <w:jc w:val="center"/>
                          <w:rPr>
                            <w:rFonts w:cs="Arial"/>
                            <w:color w:val="000000"/>
                            <w:szCs w:val="18"/>
                          </w:rPr>
                        </w:pPr>
                      </w:p>
                    </w:txbxContent>
                  </v:textbox>
                </v:shape>
                <v:line id="Line 124" o:spid="_x0000_s1050" style="position:absolute;visibility:visible;mso-wrap-style:square" from="6810,7159" to="6810,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" strokeweight="1.25pt">
                  <v:stroke endarrow="block"/>
                </v:line>
                <v:line id="Line 125" o:spid="_x0000_s1051" style="position:absolute;visibility:visible;mso-wrap-style:square" from="11509,7191" to="11509,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" strokeweight="1.25pt">
                  <v:stroke endarrow="block"/>
                </v:line>
                <v:line id="Line 126" o:spid="_x0000_s1052" style="position:absolute;visibility:visible;mso-wrap-style:square" from="16891,7159" to="16891,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" strokeweight="1.25pt">
                  <v:stroke endarrow="block"/>
                </v:line>
                <v:shape id="Text Box 127" o:spid="_x0000_s1053" type="#_x0000_t202" style="position:absolute;left:13906;top:29479;width:5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" filled="f" fillcolor="#bbe0e3" stroked="f">
                  <v:textbox>
                    <w:txbxContent>
                      <w:p w14:paraId="2BBD0957" w14:textId="77777777" w:rsidR="00B70B7A" w:rsidRDefault="00B70B7A"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max1</w:t>
                        </w:r>
                      </w:p>
                    </w:txbxContent>
                  </v:textbox>
                </v:shape>
                <v:shape id="Text Box 128" o:spid="_x0000_s1054" type="#_x0000_t202" style="position:absolute;left:23590;top:29432;width:57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" filled="f" fillcolor="#bbe0e3" stroked="f">
                  <v:textbox>
                    <w:txbxContent>
                      <w:p w14:paraId="0E1C08C1" w14:textId="77777777" w:rsidR="00B70B7A" w:rsidRDefault="00B70B7A"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max2</w:t>
                        </w:r>
                      </w:p>
                    </w:txbxContent>
                  </v:textbox>
                </v:shape>
                <v:shape id="Text Box 129" o:spid="_x0000_s1055" type="#_x0000_t202" style="position:absolute;left:32829;top:29432;width:5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" filled="f" fillcolor="#bbe0e3" stroked="f">
                  <v:textbox>
                    <w:txbxContent>
                      <w:p w14:paraId="648885CA" w14:textId="77777777" w:rsidR="00B70B7A" w:rsidRDefault="00B70B7A"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max3</w:t>
                        </w:r>
                      </w:p>
                    </w:txbxContent>
                  </v:textbox>
                </v:shape>
                <v:shape id="Text Box 130" o:spid="_x0000_s1056" type="#_x0000_t202" style="position:absolute;left:39004;top:37893;width:593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" filled="f" fillcolor="#bbe0e3">
                  <v:textbox>
                    <w:txbxContent>
                      <w:p w14:paraId="648180A1" w14:textId="77777777" w:rsidR="00B70B7A" w:rsidRDefault="00B70B7A"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max3</w:t>
                        </w:r>
                      </w:p>
                    </w:txbxContent>
                  </v:textbox>
                </v:shape>
                <v:shapetype id="_x0000_t32" coordsize="21600,21600" o:spt="32" o:oned="t" path="m,l21600,21600e" filled="f">
                  <v:path arrowok="t" fillok="f" o:connecttype="none"/>
                  <o:lock v:ext="edit" shapetype="t"/>
                </v:shapetype>
                <v:shape id="AutoShape 131" o:spid="_x0000_s1057" type="#_x0000_t32" style="position:absolute;left:10914;top:31765;width:5873;height:6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">
                  <v:stroke endarrow="block"/>
                </v:shape>
                <v:shape id="AutoShape 132" o:spid="_x0000_s1058" type="#_x0000_t32" style="position:absolute;left:16748;top:31718;width:9723;height:6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">
                  <v:stroke endarrow="block"/>
                </v:shape>
                <v:shape id="AutoShape 133" o:spid="_x0000_s1059" type="#_x0000_t32" style="position:absolute;left:35710;top:31718;width:6271;height:6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line id="Line 134" o:spid="_x0000_s1060" style="position:absolute;visibility:visible;mso-wrap-style:square" from="6810,12938" to="6810,1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" strokeweight="1.25pt">
                  <v:stroke endarrow="block"/>
                </v:line>
                <v:line id="Line 135" o:spid="_x0000_s1061" style="position:absolute;visibility:visible;mso-wrap-style:square" from="11509,12969" to="11509,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" strokeweight="1.25pt">
                  <v:stroke endarrow="block"/>
                </v:line>
                <v:line id="Line 136" o:spid="_x0000_s1062" style="position:absolute;visibility:visible;mso-wrap-style:square" from="17049,12938" to="17049,1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" strokeweight="1.25pt">
                  <v:stroke endarrow="block"/>
                </v:line>
                <v:line id="Line 137" o:spid="_x0000_s1063" style="position:absolute;visibility:visible;mso-wrap-style:square" from="30543,7032" to="30543,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" strokeweight="1.25pt">
                  <v:stroke endarrow="block"/>
                </v:line>
                <v:line id="Line 138" o:spid="_x0000_s1064" style="position:absolute;visibility:visible;mso-wrap-style:square" from="39909,7000" to="3990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" strokeweight="1.25pt">
                  <v:stroke endarrow="block"/>
                </v:line>
                <v:line id="Line 139" o:spid="_x0000_s1065" style="position:absolute;visibility:visible;mso-wrap-style:square" from="30559,12985" to="30559,1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" strokeweight="1.25pt">
                  <v:stroke endarrow="block"/>
                </v:line>
                <v:line id="Line 140" o:spid="_x0000_s1066" style="position:absolute;visibility:visible;mso-wrap-style:square" from="39925,12954" to="39925,1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" strokeweight="1.25pt">
                  <v:stroke endarrow="block"/>
                </v:line>
                <v:shape id="Text Box 141" o:spid="_x0000_s1067" type="#_x0000_t202" style="position:absolute;left:20510;top:26797;width:43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" filled="f" fillcolor="#bbe0e3" stroked="f">
                  <v:textbox>
                    <w:txbxContent>
                      <w:p w14:paraId="5730900E" w14:textId="77777777" w:rsidR="00B70B7A" w:rsidRDefault="00B70B7A" w:rsidP="00C96521">
                        <w:pPr>
                          <w:rPr>
                            <w:rFonts w:cs="Arial"/>
                            <w:color w:val="000000"/>
                            <w:szCs w:val="18"/>
                          </w:rPr>
                        </w:pPr>
                        <w:r>
                          <w:rPr>
                            <w:rFonts w:cs="Arial"/>
                            <w:color w:val="000000"/>
                            <w:szCs w:val="18"/>
                          </w:rPr>
                          <w:t>N1</w:t>
                        </w:r>
                      </w:p>
                    </w:txbxContent>
                  </v:textbox>
                </v:shape>
                <v:shape id="Text Box 142" o:spid="_x0000_s1068" type="#_x0000_t202" style="position:absolute;left:28416;top:26749;width:43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" filled="f" fillcolor="#bbe0e3" stroked="f">
                  <v:textbox>
                    <w:txbxContent>
                      <w:p w14:paraId="7D1354AE" w14:textId="77777777" w:rsidR="00B70B7A" w:rsidRDefault="00B70B7A" w:rsidP="00C96521">
                        <w:pPr>
                          <w:rPr>
                            <w:rFonts w:cs="Arial"/>
                            <w:color w:val="000000"/>
                            <w:szCs w:val="18"/>
                          </w:rPr>
                        </w:pPr>
                        <w:r>
                          <w:rPr>
                            <w:rFonts w:cs="Arial"/>
                            <w:color w:val="000000"/>
                            <w:szCs w:val="18"/>
                          </w:rPr>
                          <w:t>N2</w:t>
                        </w:r>
                      </w:p>
                    </w:txbxContent>
                  </v:textbox>
                </v:shape>
                <v:shape id="Text Box 143" o:spid="_x0000_s1069" type="#_x0000_t202" style="position:absolute;left:32607;top:37925;width:5937;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" filled="f" fillcolor="#bbe0e3">
                  <v:textbox>
                    <w:txbxContent>
                      <w:p w14:paraId="69A4911E" w14:textId="77777777" w:rsidR="00B70B7A" w:rsidRDefault="00B70B7A"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max2</w:t>
                        </w:r>
                      </w:p>
                    </w:txbxContent>
                  </v:textbox>
                </v:shape>
                <v:shape id="Text Box 144" o:spid="_x0000_s1070" type="#_x0000_t202" style="position:absolute;left:26257;top:37925;width:5937;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" filled="f" fillcolor="#bbe0e3">
                  <v:textbox>
                    <w:txbxContent>
                      <w:p w14:paraId="69601A1E" w14:textId="77777777" w:rsidR="00B70B7A" w:rsidRDefault="00B70B7A"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max1</w:t>
                        </w:r>
                      </w:p>
                    </w:txbxContent>
                  </v:textbox>
                </v:shape>
                <v:shape id="Text Box 145" o:spid="_x0000_s1071" type="#_x0000_t202" style="position:absolute;left:8255;top:37893;width:531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" filled="f" fillcolor="#bbe0e3">
                  <v:textbox>
                    <w:txbxContent>
                      <w:p w14:paraId="26D6D228" w14:textId="77777777" w:rsidR="00B70B7A" w:rsidRDefault="00B70B7A"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max1</w:t>
                        </w:r>
                      </w:p>
                    </w:txbxContent>
                  </v:textbox>
                </v:shape>
                <v:shape id="Text Box 146" o:spid="_x0000_s1072" type="#_x0000_t202" style="position:absolute;left:19780;top:37877;width:531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" filled="f" fillcolor="#bbe0e3">
                  <v:textbox>
                    <w:txbxContent>
                      <w:p w14:paraId="1A491988" w14:textId="77777777" w:rsidR="00B70B7A" w:rsidRDefault="00B70B7A"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max3</w:t>
                        </w:r>
                      </w:p>
                    </w:txbxContent>
                  </v:textbox>
                </v:shape>
                <v:shape id="Text Box 147" o:spid="_x0000_s1073" type="#_x0000_t202" style="position:absolute;left:14081;top:37877;width:531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" filled="f" fillcolor="#bbe0e3">
                  <v:textbox>
                    <w:txbxContent>
                      <w:p w14:paraId="01653773" w14:textId="77777777" w:rsidR="00B70B7A" w:rsidRDefault="00B70B7A"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max2</w:t>
                        </w:r>
                      </w:p>
                    </w:txbxContent>
                  </v:textbox>
                </v:shape>
                <v:shape id="AutoShape 148" o:spid="_x0000_s1074" type="#_x0000_t32" style="position:absolute;left:22439;top:31718;width:13271;height:6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uMwgAAANsAAAAPAAAAZHJzL2Rvd25yZXYueG1sRI9BawIx&#10;FITvgv8hPKE3zVqp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Cad2uMwgAAANsAAAAPAAAA&#10;AAAAAAAAAAAAAAcCAABkcnMvZG93bnJldi54bWxQSwUGAAAAAAMAAwC3AAAA9gIAAAAA&#10;">
                  <v:stroke endarrow="block"/>
                </v:shape>
                <v:shape id="AutoShape 149" o:spid="_x0000_s1075" type="#_x0000_t32" style="position:absolute;left:16787;top:31765;width:12438;height:6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150" o:spid="_x0000_s1076" type="#_x0000_t32" style="position:absolute;left:26471;top:31718;width:9104;height:6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Text Box 151" o:spid="_x0000_s1077" type="#_x0000_t202" style="position:absolute;left:8969;top:45196;width:374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" filled="f" fillcolor="#bbe0e3">
                  <v:textbox>
                    <w:txbxContent>
                      <w:p w14:paraId="230CDD5E" w14:textId="77777777" w:rsidR="00B70B7A" w:rsidRDefault="00B70B7A" w:rsidP="00C96521">
                        <w:pPr>
                          <w:jc w:val="center"/>
                          <w:rPr>
                            <w:rFonts w:cs="Arial"/>
                            <w:color w:val="000000"/>
                            <w:szCs w:val="18"/>
                          </w:rPr>
                        </w:pPr>
                        <w:r>
                          <w:rPr>
                            <w:rFonts w:cs="Arial"/>
                            <w:color w:val="000000"/>
                            <w:szCs w:val="18"/>
                          </w:rPr>
                          <w:t>P1</w:t>
                        </w:r>
                      </w:p>
                    </w:txbxContent>
                  </v:textbox>
                </v:shape>
                <v:shape id="Text Box 152" o:spid="_x0000_s1078" type="#_x0000_t202" style="position:absolute;left:15065;top:45132;width:374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" filled="f" fillcolor="#bbe0e3">
                  <v:textbox>
                    <w:txbxContent>
                      <w:p w14:paraId="3F952788" w14:textId="77777777" w:rsidR="00B70B7A" w:rsidRDefault="00B70B7A" w:rsidP="00C96521">
                        <w:pPr>
                          <w:jc w:val="center"/>
                          <w:rPr>
                            <w:rFonts w:cs="Arial"/>
                            <w:color w:val="000000"/>
                            <w:szCs w:val="18"/>
                          </w:rPr>
                        </w:pPr>
                        <w:r>
                          <w:rPr>
                            <w:rFonts w:cs="Arial"/>
                            <w:color w:val="000000"/>
                            <w:szCs w:val="18"/>
                          </w:rPr>
                          <w:t>P2</w:t>
                        </w:r>
                      </w:p>
                    </w:txbxContent>
                  </v:textbox>
                </v:shape>
                <v:shape id="Text Box 153" o:spid="_x0000_s1079" type="#_x0000_t202" style="position:absolute;left:20875;top:45291;width:374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" filled="f" fillcolor="#bbe0e3">
                  <v:textbox>
                    <w:txbxContent>
                      <w:p w14:paraId="581A5D37" w14:textId="77777777" w:rsidR="00B70B7A" w:rsidRDefault="00B70B7A" w:rsidP="00C96521">
                        <w:pPr>
                          <w:jc w:val="center"/>
                          <w:rPr>
                            <w:rFonts w:cs="Arial"/>
                            <w:color w:val="000000"/>
                            <w:szCs w:val="18"/>
                          </w:rPr>
                        </w:pPr>
                        <w:r>
                          <w:rPr>
                            <w:rFonts w:cs="Arial"/>
                            <w:color w:val="000000"/>
                            <w:szCs w:val="18"/>
                          </w:rPr>
                          <w:t>P3</w:t>
                        </w:r>
                      </w:p>
                    </w:txbxContent>
                  </v:textbox>
                </v:shape>
                <v:shape id="Text Box 154" o:spid="_x0000_s1080" type="#_x0000_t202" style="position:absolute;left:27114;top:45259;width:374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" filled="f" fillcolor="#bbe0e3">
                  <v:textbox>
                    <w:txbxContent>
                      <w:p w14:paraId="0676F02F" w14:textId="77777777" w:rsidR="00B70B7A" w:rsidRDefault="00B70B7A" w:rsidP="00C96521">
                        <w:pPr>
                          <w:jc w:val="center"/>
                          <w:rPr>
                            <w:rFonts w:cs="Arial"/>
                            <w:color w:val="000000"/>
                            <w:szCs w:val="18"/>
                          </w:rPr>
                        </w:pPr>
                        <w:r>
                          <w:rPr>
                            <w:rFonts w:cs="Arial"/>
                            <w:color w:val="000000"/>
                            <w:szCs w:val="18"/>
                          </w:rPr>
                          <w:t>P4</w:t>
                        </w:r>
                      </w:p>
                    </w:txbxContent>
                  </v:textbox>
                </v:shape>
                <v:shape id="Text Box 155" o:spid="_x0000_s1081" type="#_x0000_t202" style="position:absolute;left:33321;top:45259;width:374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" filled="f" fillcolor="#bbe0e3">
                  <v:textbox>
                    <w:txbxContent>
                      <w:p w14:paraId="1BE8EF74" w14:textId="77777777" w:rsidR="00B70B7A" w:rsidRDefault="00B70B7A" w:rsidP="00C96521">
                        <w:pPr>
                          <w:jc w:val="center"/>
                          <w:rPr>
                            <w:rFonts w:cs="Arial"/>
                            <w:color w:val="000000"/>
                            <w:szCs w:val="18"/>
                          </w:rPr>
                        </w:pPr>
                        <w:r>
                          <w:rPr>
                            <w:rFonts w:cs="Arial"/>
                            <w:color w:val="000000"/>
                            <w:szCs w:val="18"/>
                          </w:rPr>
                          <w:t>P5</w:t>
                        </w:r>
                      </w:p>
                    </w:txbxContent>
                  </v:textbox>
                </v:shape>
                <v:shape id="Text Box 156" o:spid="_x0000_s1082" type="#_x0000_t202" style="position:absolute;left:39465;top:45227;width:374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" filled="f" fillcolor="#bbe0e3">
                  <v:textbox>
                    <w:txbxContent>
                      <w:p w14:paraId="5236E758" w14:textId="77777777" w:rsidR="00B70B7A" w:rsidRDefault="00B70B7A" w:rsidP="00C96521">
                        <w:pPr>
                          <w:jc w:val="center"/>
                          <w:rPr>
                            <w:rFonts w:cs="Arial"/>
                            <w:color w:val="000000"/>
                            <w:szCs w:val="18"/>
                          </w:rPr>
                        </w:pPr>
                        <w:r>
                          <w:rPr>
                            <w:rFonts w:cs="Arial"/>
                            <w:color w:val="000000"/>
                            <w:szCs w:val="18"/>
                          </w:rPr>
                          <w:t>P6</w:t>
                        </w:r>
                      </w:p>
                    </w:txbxContent>
                  </v:textbox>
                </v:shape>
                <v:line id="Line 157" o:spid="_x0000_s1083" style="position:absolute;visibility:visible;mso-wrap-style:square" from="10461,42100" to="10461,4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" strokeweight="1.25pt">
                  <v:stroke endarrow="block"/>
                </v:line>
                <v:line id="Line 158" o:spid="_x0000_s1084" style="position:absolute;visibility:visible;mso-wrap-style:square" from="17081,42179" to="17081,4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" strokeweight="1.25pt">
                  <v:stroke endarrow="block"/>
                </v:line>
                <v:line id="Line 159" o:spid="_x0000_s1085" style="position:absolute;visibility:visible;mso-wrap-style:square" from="22844,42195" to="22844,44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" strokeweight="1.25pt">
                  <v:stroke endarrow="block"/>
                </v:line>
                <v:line id="Line 160" o:spid="_x0000_s1086" style="position:absolute;visibility:visible;mso-wrap-style:square" from="29241,42179" to="29241,4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" strokeweight="1.25pt">
                  <v:stroke endarrow="block"/>
                </v:line>
                <v:line id="Line 161" o:spid="_x0000_s1087" style="position:absolute;visibility:visible;mso-wrap-style:square" from="35290,42100" to="35290,4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" strokeweight="1.25pt">
                  <v:stroke endarrow="block"/>
                </v:line>
                <v:line id="Line 162" o:spid="_x0000_s1088" style="position:absolute;visibility:visible;mso-wrap-style:square" from="41576,42100" to="41576,4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" strokeweight="1.25pt">
                  <v:stroke endarrow="block"/>
                </v:line>
                <w10:wrap type="square"/>
              </v:group>
            </w:pict>
          </mc:Fallback>
        </mc:AlternateContent>
      </w:r>
    </w:p>
    <w:p w14:paraId="7145A4AD" w14:textId="77777777" w:rsidR="00C96521" w:rsidRPr="00C96521" w:rsidRDefault="00C96521" w:rsidP="00C96521">
      <w:pPr>
        <w:widowControl/>
        <w:autoSpaceDE/>
        <w:autoSpaceDN/>
        <w:adjustRightInd/>
        <w:spacing w:line="276" w:lineRule="auto"/>
        <w:rPr>
          <w:rFonts w:eastAsia="MS Mincho"/>
          <w:i/>
          <w:sz w:val="20"/>
          <w:szCs w:val="20"/>
          <w:lang w:val="en-GB" w:eastAsia="ja-JP"/>
        </w:rPr>
      </w:pPr>
      <w:r w:rsidRPr="00C96521">
        <w:rPr>
          <w:rFonts w:eastAsia="MS Mincho"/>
          <w:i/>
          <w:sz w:val="20"/>
          <w:szCs w:val="20"/>
          <w:lang w:val="en-GB" w:eastAsia="ja-JP"/>
        </w:rPr>
        <w:t>Figure 19. The three steps required to estimate the Potential maximum harvestable population fraction (P). Three values are used for survival S and hence λ</w:t>
      </w:r>
      <w:r w:rsidRPr="00C96521">
        <w:rPr>
          <w:rFonts w:eastAsia="MS Mincho"/>
          <w:i/>
          <w:sz w:val="20"/>
          <w:szCs w:val="20"/>
          <w:vertAlign w:val="subscript"/>
          <w:lang w:val="en-GB" w:eastAsia="ja-JP"/>
        </w:rPr>
        <w:t>max</w:t>
      </w:r>
      <w:r w:rsidRPr="00C96521">
        <w:rPr>
          <w:rFonts w:eastAsia="MS Mincho"/>
          <w:i/>
          <w:sz w:val="20"/>
          <w:szCs w:val="20"/>
          <w:lang w:val="en-GB" w:eastAsia="ja-JP"/>
        </w:rPr>
        <w:t>, two values are used for productivity, leading to six different scenarios. Other parameters remain constant (a: age at 1</w:t>
      </w:r>
      <w:r w:rsidRPr="00C96521">
        <w:rPr>
          <w:rFonts w:eastAsia="MS Mincho"/>
          <w:i/>
          <w:sz w:val="20"/>
          <w:szCs w:val="20"/>
          <w:vertAlign w:val="superscript"/>
          <w:lang w:val="en-GB" w:eastAsia="ja-JP"/>
        </w:rPr>
        <w:t>st</w:t>
      </w:r>
      <w:r w:rsidRPr="00C96521">
        <w:rPr>
          <w:rFonts w:eastAsia="MS Mincho"/>
          <w:i/>
          <w:sz w:val="20"/>
          <w:szCs w:val="20"/>
          <w:lang w:val="en-GB" w:eastAsia="ja-JP"/>
        </w:rPr>
        <w:t xml:space="preserve"> breeding, b: correction factor).</w:t>
      </w:r>
    </w:p>
    <w:p w14:paraId="17CB7C55" w14:textId="3AC942DE" w:rsidR="00C96521" w:rsidRDefault="00C96521" w:rsidP="00C96521">
      <w:pPr>
        <w:widowControl/>
        <w:autoSpaceDE/>
        <w:autoSpaceDN/>
        <w:adjustRightInd/>
        <w:spacing w:line="276" w:lineRule="auto"/>
        <w:rPr>
          <w:rFonts w:eastAsia="MS Mincho" w:cs="Arial"/>
          <w:sz w:val="20"/>
          <w:szCs w:val="20"/>
          <w:lang w:val="en-GB" w:eastAsia="ja-JP"/>
        </w:rPr>
      </w:pPr>
    </w:p>
    <w:p w14:paraId="561714F7" w14:textId="13E997E6" w:rsidR="00CB5111" w:rsidRDefault="00CB5111" w:rsidP="00C96521">
      <w:pPr>
        <w:widowControl/>
        <w:autoSpaceDE/>
        <w:autoSpaceDN/>
        <w:adjustRightInd/>
        <w:spacing w:line="276" w:lineRule="auto"/>
        <w:rPr>
          <w:rFonts w:eastAsia="MS Mincho" w:cs="Arial"/>
          <w:sz w:val="20"/>
          <w:szCs w:val="20"/>
          <w:lang w:val="en-GB" w:eastAsia="ja-JP"/>
        </w:rPr>
      </w:pPr>
    </w:p>
    <w:p w14:paraId="037512D9" w14:textId="77777777" w:rsidR="00CB5111" w:rsidRPr="00C96521" w:rsidRDefault="00CB5111" w:rsidP="00C96521">
      <w:pPr>
        <w:widowControl/>
        <w:autoSpaceDE/>
        <w:autoSpaceDN/>
        <w:adjustRightInd/>
        <w:spacing w:line="276" w:lineRule="auto"/>
        <w:rPr>
          <w:rFonts w:eastAsia="MS Mincho" w:cs="Arial"/>
          <w:sz w:val="20"/>
          <w:szCs w:val="20"/>
          <w:lang w:val="en-GB" w:eastAsia="ja-JP"/>
        </w:rPr>
      </w:pPr>
    </w:p>
    <w:p w14:paraId="746D898A" w14:textId="734ACF88"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P1 is the potential maximum harvestable population fraction that could be performed in conditions that are the most conservative for </w:t>
      </w:r>
      <w:r w:rsidR="007910C0">
        <w:rPr>
          <w:rFonts w:eastAsia="MS Mincho"/>
          <w:sz w:val="20"/>
          <w:szCs w:val="22"/>
          <w:lang w:val="en-GB" w:eastAsia="ja-JP"/>
        </w:rPr>
        <w:t>T</w:t>
      </w:r>
      <w:r w:rsidR="007910C0" w:rsidRPr="00C96521">
        <w:rPr>
          <w:rFonts w:eastAsia="MS Mincho"/>
          <w:sz w:val="20"/>
          <w:szCs w:val="22"/>
          <w:lang w:val="en-GB" w:eastAsia="ja-JP"/>
        </w:rPr>
        <w:t>urtle</w:t>
      </w:r>
      <w:r w:rsidR="007910C0">
        <w:rPr>
          <w:rFonts w:eastAsia="MS Mincho"/>
          <w:sz w:val="20"/>
          <w:szCs w:val="22"/>
          <w:lang w:val="en-GB" w:eastAsia="ja-JP"/>
        </w:rPr>
        <w:t xml:space="preserve"> D</w:t>
      </w:r>
      <w:r w:rsidR="007910C0" w:rsidRPr="00C96521">
        <w:rPr>
          <w:rFonts w:eastAsia="MS Mincho"/>
          <w:sz w:val="20"/>
          <w:szCs w:val="22"/>
          <w:lang w:val="en-GB" w:eastAsia="ja-JP"/>
        </w:rPr>
        <w:t xml:space="preserve">ove </w:t>
      </w:r>
      <w:r w:rsidRPr="00C96521">
        <w:rPr>
          <w:rFonts w:eastAsia="MS Mincho" w:cs="Arial"/>
          <w:sz w:val="20"/>
          <w:szCs w:val="20"/>
          <w:lang w:val="en-GB" w:eastAsia="ja-JP"/>
        </w:rPr>
        <w:t>populations (lowest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post-breeding population calculated with the lowest productivity value). P6 gives the potential maximum harvestable population fraction that could be performed in conditions that are the least conservative for </w:t>
      </w:r>
      <w:r w:rsidR="007910C0">
        <w:rPr>
          <w:rFonts w:eastAsia="MS Mincho"/>
          <w:sz w:val="20"/>
          <w:szCs w:val="22"/>
          <w:lang w:val="en-GB" w:eastAsia="ja-JP"/>
        </w:rPr>
        <w:t>T</w:t>
      </w:r>
      <w:r w:rsidR="007910C0" w:rsidRPr="00C96521">
        <w:rPr>
          <w:rFonts w:eastAsia="MS Mincho"/>
          <w:sz w:val="20"/>
          <w:szCs w:val="22"/>
          <w:lang w:val="en-GB" w:eastAsia="ja-JP"/>
        </w:rPr>
        <w:t>urtle</w:t>
      </w:r>
      <w:r w:rsidR="007910C0">
        <w:rPr>
          <w:rFonts w:eastAsia="MS Mincho"/>
          <w:sz w:val="20"/>
          <w:szCs w:val="22"/>
          <w:lang w:val="en-GB" w:eastAsia="ja-JP"/>
        </w:rPr>
        <w:t xml:space="preserve"> D</w:t>
      </w:r>
      <w:r w:rsidR="007910C0" w:rsidRPr="00C96521">
        <w:rPr>
          <w:rFonts w:eastAsia="MS Mincho"/>
          <w:sz w:val="20"/>
          <w:szCs w:val="22"/>
          <w:lang w:val="en-GB" w:eastAsia="ja-JP"/>
        </w:rPr>
        <w:t xml:space="preserve">ove </w:t>
      </w:r>
      <w:r w:rsidRPr="00C96521">
        <w:rPr>
          <w:rFonts w:eastAsia="MS Mincho" w:cs="Arial"/>
          <w:sz w:val="20"/>
          <w:szCs w:val="20"/>
          <w:lang w:val="en-GB" w:eastAsia="ja-JP"/>
        </w:rPr>
        <w:t>populations (highest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post-breeding population calculated with the highest productivity value).</w:t>
      </w:r>
    </w:p>
    <w:p w14:paraId="294269F9" w14:textId="4161512B" w:rsidR="00C96521" w:rsidRDefault="00C96521" w:rsidP="00C96521">
      <w:pPr>
        <w:widowControl/>
        <w:autoSpaceDE/>
        <w:autoSpaceDN/>
        <w:adjustRightInd/>
        <w:spacing w:line="276" w:lineRule="auto"/>
        <w:rPr>
          <w:rFonts w:eastAsia="MS Mincho" w:cs="Arial"/>
          <w:b/>
          <w:sz w:val="20"/>
          <w:szCs w:val="20"/>
          <w:lang w:val="en-GB" w:eastAsia="ja-JP"/>
        </w:rPr>
      </w:pPr>
    </w:p>
    <w:p w14:paraId="4D73C127" w14:textId="77777777" w:rsidR="00CB5111" w:rsidRPr="00C96521" w:rsidRDefault="00CB5111" w:rsidP="00C96521">
      <w:pPr>
        <w:widowControl/>
        <w:autoSpaceDE/>
        <w:autoSpaceDN/>
        <w:adjustRightInd/>
        <w:spacing w:line="276" w:lineRule="auto"/>
        <w:rPr>
          <w:rFonts w:eastAsia="MS Mincho" w:cs="Arial"/>
          <w:b/>
          <w:sz w:val="20"/>
          <w:szCs w:val="20"/>
          <w:lang w:val="en-GB" w:eastAsia="ja-JP"/>
        </w:rPr>
      </w:pPr>
    </w:p>
    <w:p w14:paraId="73E82C3A" w14:textId="77777777" w:rsidR="00C96521" w:rsidRPr="00C96521" w:rsidRDefault="00C96521" w:rsidP="00C96521">
      <w:pPr>
        <w:widowControl/>
        <w:autoSpaceDE/>
        <w:autoSpaceDN/>
        <w:adjustRightInd/>
        <w:spacing w:line="276" w:lineRule="auto"/>
        <w:rPr>
          <w:rFonts w:eastAsia="MS Mincho" w:cs="Arial"/>
          <w:b/>
          <w:sz w:val="20"/>
          <w:szCs w:val="20"/>
          <w:lang w:val="en-GB" w:eastAsia="ja-JP"/>
        </w:rPr>
      </w:pPr>
      <w:r w:rsidRPr="00C96521">
        <w:rPr>
          <w:rFonts w:eastAsia="MS Mincho" w:cs="Arial"/>
          <w:b/>
          <w:sz w:val="20"/>
          <w:szCs w:val="20"/>
          <w:lang w:val="en-GB" w:eastAsia="ja-JP"/>
        </w:rPr>
        <w:t>Results</w:t>
      </w:r>
    </w:p>
    <w:p w14:paraId="2CF5A4CF"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66C056DD" w14:textId="77777777" w:rsidR="00C96521" w:rsidRPr="00C96521" w:rsidRDefault="00C96521" w:rsidP="00C96521">
      <w:pPr>
        <w:widowControl/>
        <w:autoSpaceDE/>
        <w:autoSpaceDN/>
        <w:adjustRightInd/>
        <w:spacing w:line="276" w:lineRule="auto"/>
        <w:rPr>
          <w:rFonts w:eastAsia="MS Mincho" w:cs="Arial"/>
          <w:b/>
          <w:i/>
          <w:sz w:val="20"/>
          <w:szCs w:val="20"/>
          <w:lang w:val="en-GB" w:eastAsia="ja-JP"/>
        </w:rPr>
      </w:pPr>
      <w:r w:rsidRPr="00C96521">
        <w:rPr>
          <w:rFonts w:eastAsia="MS Mincho" w:cs="Arial"/>
          <w:b/>
          <w:i/>
          <w:sz w:val="20"/>
          <w:szCs w:val="20"/>
          <w:lang w:val="en-GB" w:eastAsia="ja-JP"/>
        </w:rPr>
        <w:t>Estimates of population size from western flyway potentially targeted by hunting:</w:t>
      </w:r>
    </w:p>
    <w:p w14:paraId="7BD148EE" w14:textId="77777777" w:rsidR="00C96521" w:rsidRPr="00C96521" w:rsidRDefault="00C96521" w:rsidP="00C96521">
      <w:pPr>
        <w:widowControl/>
        <w:autoSpaceDE/>
        <w:autoSpaceDN/>
        <w:adjustRightInd/>
        <w:spacing w:line="276" w:lineRule="auto"/>
        <w:ind w:firstLine="708"/>
        <w:rPr>
          <w:rFonts w:eastAsia="MS Mincho" w:cs="Arial"/>
          <w:sz w:val="20"/>
          <w:szCs w:val="20"/>
          <w:lang w:val="en-GB" w:eastAsia="ja-JP"/>
        </w:rPr>
      </w:pPr>
    </w:p>
    <w:p w14:paraId="26E7BAD7" w14:textId="77777777" w:rsidR="00C96521" w:rsidRPr="00C96521" w:rsidRDefault="00C96521" w:rsidP="00C96521">
      <w:pPr>
        <w:widowControl/>
        <w:shd w:val="clear" w:color="auto" w:fill="E6E6E6"/>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Group 1: Italy not included in population size</w:t>
      </w:r>
    </w:p>
    <w:p w14:paraId="22F77EA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BC1CCF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Using the information in Table 7, the adult population size N in 2016 = 1,489,918-2,343,495 breeding pairs </w:t>
      </w:r>
      <w:r w:rsidRPr="00C96521">
        <w:rPr>
          <w:rFonts w:eastAsia="MS Mincho" w:cs="Arial"/>
          <w:sz w:val="20"/>
          <w:szCs w:val="20"/>
          <w:lang w:val="en-GB" w:eastAsia="ja-JP"/>
        </w:rPr>
        <w:sym w:font="Symbol" w:char="F0B4"/>
      </w:r>
      <w:r w:rsidRPr="00C96521">
        <w:rPr>
          <w:rFonts w:eastAsia="MS Mincho" w:cs="Arial"/>
          <w:sz w:val="20"/>
          <w:szCs w:val="20"/>
          <w:lang w:val="en-GB" w:eastAsia="ja-JP"/>
        </w:rPr>
        <w:t xml:space="preserve"> 2 = 2,979,836-4,686,990 birds.</w:t>
      </w:r>
    </w:p>
    <w:p w14:paraId="24E1F255" w14:textId="77777777" w:rsidR="00C96521" w:rsidRPr="00C96521" w:rsidRDefault="00C96521" w:rsidP="00C96521">
      <w:pPr>
        <w:widowControl/>
        <w:autoSpaceDE/>
        <w:autoSpaceDN/>
        <w:adjustRightInd/>
        <w:spacing w:line="276" w:lineRule="auto"/>
        <w:ind w:firstLine="708"/>
        <w:rPr>
          <w:rFonts w:eastAsia="MS Mincho" w:cs="Arial"/>
          <w:sz w:val="20"/>
          <w:szCs w:val="20"/>
          <w:lang w:val="en-GB" w:eastAsia="ja-JP"/>
        </w:rPr>
      </w:pPr>
    </w:p>
    <w:p w14:paraId="0B1A7A5A"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lastRenderedPageBreak/>
        <w:sym w:font="Wingdings" w:char="F09F"/>
      </w:r>
      <w:r w:rsidRPr="00C96521">
        <w:rPr>
          <w:rFonts w:eastAsia="MS Mincho" w:cs="Arial"/>
          <w:i/>
          <w:sz w:val="20"/>
          <w:szCs w:val="20"/>
          <w:lang w:val="en-GB" w:eastAsia="ja-JP"/>
        </w:rPr>
        <w:t xml:space="preserve"> Hypothesis 1: post-breeding population N1 (productivity rate = 1.3) </w:t>
      </w:r>
    </w:p>
    <w:p w14:paraId="11D48F83"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2924CA3"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Applying a productivity rate of 1.3 would lead to a juvenile population of 1,936,893-3,046,543.</w:t>
      </w:r>
    </w:p>
    <w:p w14:paraId="6192DDF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A59EA8D"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total population before hunting, calculated as twice the number of breeding pairs plus the number of juveniles produced = N + N1 = 4,916,729-7,733,533 birds.</w:t>
      </w:r>
    </w:p>
    <w:p w14:paraId="4688084D" w14:textId="77777777" w:rsidR="00C96521" w:rsidRPr="00C96521" w:rsidRDefault="00C96521" w:rsidP="00C96521">
      <w:pPr>
        <w:widowControl/>
        <w:autoSpaceDE/>
        <w:autoSpaceDN/>
        <w:adjustRightInd/>
        <w:spacing w:line="276" w:lineRule="auto"/>
        <w:ind w:left="1416" w:hanging="696"/>
        <w:rPr>
          <w:rFonts w:eastAsia="MS Mincho" w:cs="Arial"/>
          <w:sz w:val="20"/>
          <w:szCs w:val="20"/>
          <w:u w:val="single"/>
          <w:lang w:val="en-GB" w:eastAsia="ja-JP"/>
        </w:rPr>
      </w:pPr>
    </w:p>
    <w:p w14:paraId="6BB34D15"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2: post-breeding population N2 (productivity rate = 2.71) </w:t>
      </w:r>
    </w:p>
    <w:p w14:paraId="58A11A09" w14:textId="77777777" w:rsidR="00C96521" w:rsidRPr="00C96521" w:rsidRDefault="00C96521" w:rsidP="00C96521">
      <w:pPr>
        <w:widowControl/>
        <w:autoSpaceDE/>
        <w:autoSpaceDN/>
        <w:adjustRightInd/>
        <w:spacing w:line="276" w:lineRule="auto"/>
        <w:rPr>
          <w:rFonts w:eastAsia="MS Mincho" w:cs="Arial"/>
          <w:sz w:val="20"/>
          <w:szCs w:val="20"/>
          <w:u w:val="single"/>
          <w:lang w:val="en-GB" w:eastAsia="ja-JP"/>
        </w:rPr>
      </w:pPr>
    </w:p>
    <w:p w14:paraId="3770AB6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Applying a productivity rate of 2.71 would lead to a juvenile population of 4,037,677-6,350,871.</w:t>
      </w:r>
    </w:p>
    <w:p w14:paraId="786C69F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722A9AA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total population before hunting, calculated as twice the number of breeding pairs plus the number of juveniles produced = N + N2 = 7,017,513-11,037,861 birds.</w:t>
      </w:r>
    </w:p>
    <w:p w14:paraId="677CA64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3402E980" w14:textId="77777777" w:rsidR="00C96521" w:rsidRPr="00C96521" w:rsidRDefault="00C96521" w:rsidP="00C96521">
      <w:pPr>
        <w:widowControl/>
        <w:shd w:val="clear" w:color="auto" w:fill="E6E6E6"/>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Group 2: Italy partially included in population size</w:t>
      </w:r>
    </w:p>
    <w:p w14:paraId="6EC49D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7E7AF0D" w14:textId="749AD57E"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21</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of the Italian population in 2016 = 31,579-63,157 pairs.</w:t>
      </w:r>
    </w:p>
    <w:p w14:paraId="5E3341E3"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6F739C3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The adult population size N in 2016 = 1,521,497-2,406,652 breeding pairs </w:t>
      </w:r>
      <w:r w:rsidRPr="00C96521">
        <w:rPr>
          <w:rFonts w:eastAsia="MS Mincho" w:cs="Arial"/>
          <w:sz w:val="20"/>
          <w:szCs w:val="20"/>
          <w:lang w:val="en-GB" w:eastAsia="ja-JP"/>
        </w:rPr>
        <w:sym w:font="Symbol" w:char="F0B4"/>
      </w:r>
      <w:r w:rsidRPr="00C96521">
        <w:rPr>
          <w:rFonts w:eastAsia="MS Mincho" w:cs="Arial"/>
          <w:sz w:val="20"/>
          <w:szCs w:val="20"/>
          <w:lang w:val="en-GB" w:eastAsia="ja-JP"/>
        </w:rPr>
        <w:t xml:space="preserve"> 2 = 3,042,993-4,813,304 birds.</w:t>
      </w:r>
    </w:p>
    <w:p w14:paraId="413C183C" w14:textId="77777777" w:rsidR="00C96521" w:rsidRPr="00C96521" w:rsidRDefault="00C96521" w:rsidP="00C96521">
      <w:pPr>
        <w:widowControl/>
        <w:autoSpaceDE/>
        <w:autoSpaceDN/>
        <w:adjustRightInd/>
        <w:spacing w:line="276" w:lineRule="auto"/>
        <w:ind w:firstLine="708"/>
        <w:rPr>
          <w:rFonts w:eastAsia="MS Mincho" w:cs="Arial"/>
          <w:sz w:val="20"/>
          <w:szCs w:val="20"/>
          <w:lang w:val="en-GB" w:eastAsia="ja-JP"/>
        </w:rPr>
      </w:pPr>
    </w:p>
    <w:p w14:paraId="397A8931"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1: post-breeding population N1 (productivity rate = 1.3) </w:t>
      </w:r>
    </w:p>
    <w:p w14:paraId="2CEDFD03"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110184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Applying a productivity rate of 1.3 would lead to a juvenile population of 1,977,946-3,128,648. </w:t>
      </w:r>
    </w:p>
    <w:p w14:paraId="217F705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3105CE0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total population before hunting, calculated as twice the number of breeding pairs plus the number of juveniles produced = N + N1 = 5,020,940-7,941,952 birds.</w:t>
      </w:r>
    </w:p>
    <w:p w14:paraId="46BE28F4" w14:textId="77777777" w:rsidR="00C96521" w:rsidRPr="00C96521" w:rsidRDefault="00C96521" w:rsidP="00C96521">
      <w:pPr>
        <w:widowControl/>
        <w:autoSpaceDE/>
        <w:autoSpaceDN/>
        <w:adjustRightInd/>
        <w:spacing w:line="276" w:lineRule="auto"/>
        <w:ind w:left="1416" w:hanging="696"/>
        <w:rPr>
          <w:rFonts w:eastAsia="MS Mincho" w:cs="Arial"/>
          <w:sz w:val="20"/>
          <w:szCs w:val="20"/>
          <w:u w:val="single"/>
          <w:lang w:val="en-GB" w:eastAsia="ja-JP"/>
        </w:rPr>
      </w:pPr>
    </w:p>
    <w:p w14:paraId="0835F1E2"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2: post-breeding population N2 (productivity rate = 2.71) </w:t>
      </w:r>
    </w:p>
    <w:p w14:paraId="188D2B65" w14:textId="77777777" w:rsidR="00C96521" w:rsidRPr="00C96521" w:rsidRDefault="00C96521" w:rsidP="00C96521">
      <w:pPr>
        <w:widowControl/>
        <w:autoSpaceDE/>
        <w:autoSpaceDN/>
        <w:adjustRightInd/>
        <w:spacing w:line="276" w:lineRule="auto"/>
        <w:rPr>
          <w:rFonts w:eastAsia="MS Mincho" w:cs="Arial"/>
          <w:sz w:val="20"/>
          <w:szCs w:val="20"/>
          <w:u w:val="single"/>
          <w:lang w:val="en-GB" w:eastAsia="ja-JP"/>
        </w:rPr>
      </w:pPr>
    </w:p>
    <w:p w14:paraId="7AC66F5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Applying a productivity rate of 2.71 would lead to a juvenile population of 4,123,257-6,522,027.</w:t>
      </w:r>
    </w:p>
    <w:p w14:paraId="29A98E6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68C8072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total population before hunting, calculated as twice the number of breeding pairs plus the number of juveniles produced =</w:t>
      </w:r>
      <w:r w:rsidRPr="00C96521">
        <w:rPr>
          <w:rFonts w:eastAsia="MS Mincho" w:cs="Arial"/>
          <w:sz w:val="20"/>
          <w:szCs w:val="20"/>
          <w:lang w:val="en-GB" w:eastAsia="ja-JP"/>
        </w:rPr>
        <w:tab/>
        <w:t>N + N2 = 7,166,251-11,335,331 birds.</w:t>
      </w:r>
    </w:p>
    <w:p w14:paraId="5CC7AD9F" w14:textId="77777777" w:rsidR="00C96521" w:rsidRPr="00C96521" w:rsidRDefault="00C96521" w:rsidP="00C96521">
      <w:pPr>
        <w:widowControl/>
        <w:autoSpaceDE/>
        <w:autoSpaceDN/>
        <w:adjustRightInd/>
        <w:spacing w:line="276" w:lineRule="auto"/>
        <w:rPr>
          <w:rFonts w:eastAsia="MS Mincho" w:cs="Arial"/>
          <w:i/>
          <w:sz w:val="20"/>
          <w:szCs w:val="20"/>
          <w:lang w:val="en-GB" w:eastAsia="ja-JP"/>
        </w:rPr>
      </w:pPr>
    </w:p>
    <w:p w14:paraId="735CA505" w14:textId="77777777" w:rsidR="00C96521" w:rsidRPr="00C96521" w:rsidRDefault="00C96521" w:rsidP="00C96521">
      <w:pPr>
        <w:widowControl/>
        <w:autoSpaceDE/>
        <w:autoSpaceDN/>
        <w:adjustRightInd/>
        <w:spacing w:line="276" w:lineRule="auto"/>
        <w:rPr>
          <w:rFonts w:eastAsia="MS Mincho" w:cs="Arial"/>
          <w:b/>
          <w:i/>
          <w:sz w:val="20"/>
          <w:szCs w:val="20"/>
          <w:lang w:val="en-GB" w:eastAsia="ja-JP"/>
        </w:rPr>
      </w:pPr>
      <w:r w:rsidRPr="00C96521">
        <w:rPr>
          <w:rFonts w:eastAsia="MS Mincho" w:cs="Arial"/>
          <w:b/>
          <w:i/>
          <w:sz w:val="20"/>
          <w:szCs w:val="20"/>
          <w:lang w:val="en-GB" w:eastAsia="ja-JP"/>
        </w:rPr>
        <w:t>Estimates of λ</w:t>
      </w:r>
      <w:r w:rsidRPr="00C96521">
        <w:rPr>
          <w:rFonts w:eastAsia="MS Mincho" w:cs="Arial"/>
          <w:b/>
          <w:i/>
          <w:sz w:val="20"/>
          <w:szCs w:val="20"/>
          <w:vertAlign w:val="subscript"/>
          <w:lang w:val="en-GB" w:eastAsia="ja-JP"/>
        </w:rPr>
        <w:t>max</w:t>
      </w:r>
    </w:p>
    <w:p w14:paraId="44339F1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B6BDD6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For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0.748, λ</w:t>
      </w:r>
      <w:r w:rsidRPr="00C96521">
        <w:rPr>
          <w:rFonts w:eastAsia="MS Mincho" w:cs="Arial"/>
          <w:sz w:val="20"/>
          <w:szCs w:val="20"/>
          <w:vertAlign w:val="subscript"/>
          <w:lang w:val="en-GB" w:eastAsia="ja-JP"/>
        </w:rPr>
        <w:t>max1</w:t>
      </w:r>
      <w:r w:rsidRPr="00C96521">
        <w:rPr>
          <w:rFonts w:eastAsia="MS Mincho" w:cs="Arial"/>
          <w:sz w:val="20"/>
          <w:szCs w:val="20"/>
          <w:lang w:val="en-GB" w:eastAsia="ja-JP"/>
        </w:rPr>
        <w:t xml:space="preserve"> = 1.79.</w:t>
      </w:r>
    </w:p>
    <w:p w14:paraId="44195EE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For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0.623, λ</w:t>
      </w:r>
      <w:r w:rsidRPr="00C96521">
        <w:rPr>
          <w:rFonts w:eastAsia="MS Mincho" w:cs="Arial"/>
          <w:sz w:val="20"/>
          <w:szCs w:val="20"/>
          <w:vertAlign w:val="subscript"/>
          <w:lang w:val="en-GB" w:eastAsia="ja-JP"/>
        </w:rPr>
        <w:t>max2</w:t>
      </w:r>
      <w:r w:rsidRPr="00C96521">
        <w:rPr>
          <w:rFonts w:eastAsia="MS Mincho" w:cs="Arial"/>
          <w:sz w:val="20"/>
          <w:szCs w:val="20"/>
          <w:lang w:val="en-GB" w:eastAsia="ja-JP"/>
        </w:rPr>
        <w:t xml:space="preserve"> = 1.98.</w:t>
      </w:r>
    </w:p>
    <w:p w14:paraId="1C5BB83D"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For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0.593, λ</w:t>
      </w:r>
      <w:r w:rsidRPr="00C96521">
        <w:rPr>
          <w:rFonts w:eastAsia="MS Mincho" w:cs="Arial"/>
          <w:sz w:val="20"/>
          <w:szCs w:val="20"/>
          <w:vertAlign w:val="subscript"/>
          <w:lang w:val="en-GB" w:eastAsia="ja-JP"/>
        </w:rPr>
        <w:t>max3</w:t>
      </w:r>
      <w:r w:rsidRPr="00C96521">
        <w:rPr>
          <w:rFonts w:eastAsia="MS Mincho" w:cs="Arial"/>
          <w:sz w:val="20"/>
          <w:szCs w:val="20"/>
          <w:lang w:val="en-GB" w:eastAsia="ja-JP"/>
        </w:rPr>
        <w:t xml:space="preserve"> = 2.03.</w:t>
      </w:r>
    </w:p>
    <w:p w14:paraId="05B7C59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76240BFE" w14:textId="77777777" w:rsidR="00C96521" w:rsidRPr="00C96521" w:rsidRDefault="00C96521" w:rsidP="00C96521">
      <w:pPr>
        <w:widowControl/>
        <w:autoSpaceDE/>
        <w:autoSpaceDN/>
        <w:adjustRightInd/>
        <w:spacing w:line="276" w:lineRule="auto"/>
        <w:rPr>
          <w:rFonts w:eastAsia="MS Mincho" w:cs="Arial"/>
          <w:b/>
          <w:i/>
          <w:sz w:val="20"/>
          <w:szCs w:val="20"/>
          <w:lang w:val="en-GB" w:eastAsia="ja-JP"/>
        </w:rPr>
      </w:pPr>
      <w:r w:rsidRPr="00C96521">
        <w:rPr>
          <w:rFonts w:eastAsia="MS Mincho" w:cs="Arial"/>
          <w:b/>
          <w:i/>
          <w:sz w:val="20"/>
          <w:szCs w:val="20"/>
          <w:lang w:val="en-GB" w:eastAsia="ja-JP"/>
        </w:rPr>
        <w:t>Calculation of P</w:t>
      </w:r>
    </w:p>
    <w:p w14:paraId="5FECFCD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1ABCD59" w14:textId="77777777" w:rsidR="00C96521" w:rsidRPr="00C96521" w:rsidRDefault="00C96521" w:rsidP="00C96521">
      <w:pPr>
        <w:widowControl/>
        <w:shd w:val="clear" w:color="auto" w:fill="E6E6E6"/>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Group 1: Italy excluded</w:t>
      </w:r>
    </w:p>
    <w:p w14:paraId="56F186A1"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1: post-breeding population N1 (productivity rate = 1.3) </w:t>
      </w:r>
    </w:p>
    <w:p w14:paraId="0AC6AA4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27F2C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max1</w:t>
      </w:r>
      <w:r w:rsidRPr="00C96521">
        <w:rPr>
          <w:rFonts w:eastAsia="MS Mincho" w:cs="Arial"/>
          <w:sz w:val="20"/>
          <w:szCs w:val="20"/>
          <w:lang w:val="en-GB" w:eastAsia="ja-JP"/>
        </w:rPr>
        <w:t xml:space="preserve"> (1.79), P = 388,422-610,949</w:t>
      </w:r>
    </w:p>
    <w:p w14:paraId="63E77BFB"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max2</w:t>
      </w:r>
      <w:r w:rsidRPr="00C96521">
        <w:rPr>
          <w:rFonts w:eastAsia="MS Mincho" w:cs="Arial"/>
          <w:sz w:val="20"/>
          <w:szCs w:val="20"/>
          <w:lang w:val="en-GB" w:eastAsia="ja-JP"/>
        </w:rPr>
        <w:t xml:space="preserve"> (1.98), P = 481,839-757,886</w:t>
      </w:r>
    </w:p>
    <w:p w14:paraId="428C4A8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max3</w:t>
      </w:r>
      <w:r w:rsidRPr="00C96521">
        <w:rPr>
          <w:rFonts w:eastAsia="MS Mincho" w:cs="Arial"/>
          <w:sz w:val="20"/>
          <w:szCs w:val="20"/>
          <w:lang w:val="en-GB" w:eastAsia="ja-JP"/>
        </w:rPr>
        <w:t xml:space="preserve"> (2.03), P = 506,423-796,554</w:t>
      </w:r>
    </w:p>
    <w:p w14:paraId="1B137DE0"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5D0BEA2"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2: post-breeding population N2 (productivity rate = 2.71) </w:t>
      </w:r>
    </w:p>
    <w:p w14:paraId="442E38E6"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3C49A68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max1</w:t>
      </w:r>
      <w:r w:rsidRPr="00C96521">
        <w:rPr>
          <w:rFonts w:eastAsia="MS Mincho" w:cs="Arial"/>
          <w:sz w:val="20"/>
          <w:szCs w:val="20"/>
          <w:lang w:val="en-GB" w:eastAsia="ja-JP"/>
        </w:rPr>
        <w:t xml:space="preserve"> (1.79), P = 554,383-871,991</w:t>
      </w:r>
    </w:p>
    <w:p w14:paraId="70871E46"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max2</w:t>
      </w:r>
      <w:r w:rsidRPr="00C96521">
        <w:rPr>
          <w:rFonts w:eastAsia="MS Mincho" w:cs="Arial"/>
          <w:sz w:val="20"/>
          <w:szCs w:val="20"/>
          <w:lang w:val="en-GB" w:eastAsia="ja-JP"/>
        </w:rPr>
        <w:t xml:space="preserve"> (1.98), P = 687,716-1,081,710</w:t>
      </w:r>
    </w:p>
    <w:p w14:paraId="0AA1665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max3</w:t>
      </w:r>
      <w:r w:rsidRPr="00C96521">
        <w:rPr>
          <w:rFonts w:eastAsia="MS Mincho" w:cs="Arial"/>
          <w:sz w:val="20"/>
          <w:szCs w:val="20"/>
          <w:lang w:val="en-GB" w:eastAsia="ja-JP"/>
        </w:rPr>
        <w:t xml:space="preserve"> (2.03), P = 722,804-1,136,900</w:t>
      </w:r>
    </w:p>
    <w:p w14:paraId="6CDF8AF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6E22501" w14:textId="77777777" w:rsidR="00C96521" w:rsidRPr="00C96521" w:rsidRDefault="00C96521" w:rsidP="00C96521">
      <w:pPr>
        <w:widowControl/>
        <w:shd w:val="clear" w:color="auto" w:fill="E6E6E6"/>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Group 2: Italy partially included</w:t>
      </w:r>
    </w:p>
    <w:p w14:paraId="3CB26F1B"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1: post-breeding population N1 (productivity rate = 1.3) </w:t>
      </w:r>
    </w:p>
    <w:p w14:paraId="245D2D30"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59B3DC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max1</w:t>
      </w:r>
      <w:r w:rsidRPr="00C96521">
        <w:rPr>
          <w:rFonts w:eastAsia="MS Mincho" w:cs="Arial"/>
          <w:sz w:val="20"/>
          <w:szCs w:val="20"/>
          <w:lang w:val="en-GB" w:eastAsia="ja-JP"/>
        </w:rPr>
        <w:t xml:space="preserve"> (1.79), P = 396,654-627,414</w:t>
      </w:r>
    </w:p>
    <w:p w14:paraId="4F9D4BF0"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max2</w:t>
      </w:r>
      <w:r w:rsidRPr="00C96521">
        <w:rPr>
          <w:rFonts w:eastAsia="MS Mincho" w:cs="Arial"/>
          <w:sz w:val="20"/>
          <w:szCs w:val="20"/>
          <w:lang w:val="en-GB" w:eastAsia="ja-JP"/>
        </w:rPr>
        <w:t xml:space="preserve"> (1.98), P = 492,052-778,311</w:t>
      </w:r>
    </w:p>
    <w:p w14:paraId="607717D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max3</w:t>
      </w:r>
      <w:r w:rsidRPr="00C96521">
        <w:rPr>
          <w:rFonts w:eastAsia="MS Mincho" w:cs="Arial"/>
          <w:sz w:val="20"/>
          <w:szCs w:val="20"/>
          <w:lang w:val="en-GB" w:eastAsia="ja-JP"/>
        </w:rPr>
        <w:t xml:space="preserve"> (2.03), P = 517,157-818,021</w:t>
      </w:r>
    </w:p>
    <w:p w14:paraId="53D9A0C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EF951FF"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2: post-breeding population N2 (productivity rate = 2.71) </w:t>
      </w:r>
    </w:p>
    <w:p w14:paraId="1DCB98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6B2B3C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max1</w:t>
      </w:r>
      <w:r w:rsidRPr="00C96521">
        <w:rPr>
          <w:rFonts w:eastAsia="MS Mincho" w:cs="Arial"/>
          <w:sz w:val="20"/>
          <w:szCs w:val="20"/>
          <w:lang w:val="en-GB" w:eastAsia="ja-JP"/>
        </w:rPr>
        <w:t xml:space="preserve"> (1.79), P = 566,134-895,491</w:t>
      </w:r>
    </w:p>
    <w:p w14:paraId="30A81DC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max2</w:t>
      </w:r>
      <w:r w:rsidRPr="00C96521">
        <w:rPr>
          <w:rFonts w:eastAsia="MS Mincho" w:cs="Arial"/>
          <w:sz w:val="20"/>
          <w:szCs w:val="20"/>
          <w:lang w:val="en-GB" w:eastAsia="ja-JP"/>
        </w:rPr>
        <w:t xml:space="preserve"> (1.98), P = 702,293-1,110,862</w:t>
      </w:r>
    </w:p>
    <w:p w14:paraId="3C8A58F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max3</w:t>
      </w:r>
      <w:r w:rsidRPr="00C96521">
        <w:rPr>
          <w:rFonts w:eastAsia="MS Mincho" w:cs="Arial"/>
          <w:sz w:val="20"/>
          <w:szCs w:val="20"/>
          <w:lang w:val="en-GB" w:eastAsia="ja-JP"/>
        </w:rPr>
        <w:t xml:space="preserve"> (2.03), P = 738,124-1,167,539</w:t>
      </w:r>
    </w:p>
    <w:p w14:paraId="2284E6F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F9E1BCD" w14:textId="77777777" w:rsidR="00C96521" w:rsidRPr="00C96521" w:rsidRDefault="00C96521" w:rsidP="00C96521">
      <w:pPr>
        <w:widowControl/>
        <w:autoSpaceDE/>
        <w:autoSpaceDN/>
        <w:adjustRightInd/>
        <w:spacing w:line="276" w:lineRule="auto"/>
        <w:rPr>
          <w:rFonts w:eastAsia="MS Mincho" w:cs="Arial"/>
          <w:b/>
          <w:sz w:val="20"/>
          <w:szCs w:val="20"/>
          <w:lang w:val="en-GB" w:eastAsia="ja-JP"/>
        </w:rPr>
      </w:pPr>
      <w:r w:rsidRPr="00C96521">
        <w:rPr>
          <w:rFonts w:eastAsia="MS Mincho" w:cs="Arial"/>
          <w:b/>
          <w:sz w:val="20"/>
          <w:szCs w:val="20"/>
          <w:lang w:val="en-GB" w:eastAsia="ja-JP"/>
        </w:rPr>
        <w:t>Estimation of European hunting bag obtained on turtle doves using the western flyway</w:t>
      </w:r>
    </w:p>
    <w:p w14:paraId="4F9D618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63B3AB5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According to Table 4, the number of birds bagged is:</w:t>
      </w:r>
    </w:p>
    <w:p w14:paraId="7EC1425B"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71B92C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France </w:t>
      </w:r>
      <w:r w:rsidRPr="00C96521">
        <w:rPr>
          <w:rFonts w:eastAsia="MS Mincho" w:cs="Arial"/>
          <w:sz w:val="20"/>
          <w:szCs w:val="20"/>
          <w:lang w:val="en-GB" w:eastAsia="ja-JP"/>
        </w:rPr>
        <w:tab/>
      </w:r>
      <w:r w:rsidRPr="00C96521">
        <w:rPr>
          <w:rFonts w:eastAsia="MS Mincho" w:cs="Arial"/>
          <w:sz w:val="20"/>
          <w:szCs w:val="20"/>
          <w:lang w:val="en-GB" w:eastAsia="ja-JP"/>
        </w:rPr>
        <w:tab/>
        <w:t>91,704 (2013-2014 hunting season)</w:t>
      </w:r>
    </w:p>
    <w:p w14:paraId="57DA773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Italy </w:t>
      </w:r>
      <w:r w:rsidRPr="00C96521">
        <w:rPr>
          <w:rFonts w:eastAsia="MS Mincho" w:cs="Arial"/>
          <w:sz w:val="20"/>
          <w:szCs w:val="20"/>
          <w:lang w:val="en-GB" w:eastAsia="ja-JP"/>
        </w:rPr>
        <w:tab/>
      </w:r>
      <w:r w:rsidRPr="00C96521">
        <w:rPr>
          <w:rFonts w:eastAsia="MS Mincho" w:cs="Arial"/>
          <w:sz w:val="20"/>
          <w:szCs w:val="20"/>
          <w:lang w:val="en-GB" w:eastAsia="ja-JP"/>
        </w:rPr>
        <w:tab/>
        <w:t>305,590 (annually)</w:t>
      </w:r>
    </w:p>
    <w:p w14:paraId="731B74A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Portugal </w:t>
      </w:r>
      <w:r w:rsidRPr="00C96521">
        <w:rPr>
          <w:rFonts w:eastAsia="MS Mincho" w:cs="Arial"/>
          <w:sz w:val="20"/>
          <w:szCs w:val="20"/>
          <w:lang w:val="en-GB" w:eastAsia="ja-JP"/>
        </w:rPr>
        <w:tab/>
        <w:t>109,815 (2013-2014 hunting season)</w:t>
      </w:r>
    </w:p>
    <w:p w14:paraId="7F57336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Spain </w:t>
      </w:r>
      <w:r w:rsidRPr="00C96521">
        <w:rPr>
          <w:rFonts w:eastAsia="MS Mincho" w:cs="Arial"/>
          <w:sz w:val="20"/>
          <w:szCs w:val="20"/>
          <w:lang w:val="en-GB" w:eastAsia="ja-JP"/>
        </w:rPr>
        <w:tab/>
      </w:r>
      <w:r w:rsidRPr="00C96521">
        <w:rPr>
          <w:rFonts w:eastAsia="MS Mincho" w:cs="Arial"/>
          <w:sz w:val="20"/>
          <w:szCs w:val="20"/>
          <w:lang w:val="en-GB" w:eastAsia="ja-JP"/>
        </w:rPr>
        <w:tab/>
        <w:t xml:space="preserve">832,840 (averaged over 2006 to 2014 hunting seasons, Beatriz Arroyo </w:t>
      </w:r>
      <w:r w:rsidRPr="00C96521">
        <w:rPr>
          <w:rFonts w:eastAsia="MS Mincho" w:cs="Arial"/>
          <w:i/>
          <w:sz w:val="20"/>
          <w:szCs w:val="20"/>
          <w:lang w:val="en-GB" w:eastAsia="ja-JP"/>
        </w:rPr>
        <w:t>pers comm</w:t>
      </w:r>
      <w:r w:rsidRPr="00C96521">
        <w:rPr>
          <w:rFonts w:eastAsia="MS Mincho" w:cs="Arial"/>
          <w:sz w:val="20"/>
          <w:szCs w:val="20"/>
          <w:lang w:val="en-GB" w:eastAsia="ja-JP"/>
        </w:rPr>
        <w:t>)</w:t>
      </w:r>
    </w:p>
    <w:p w14:paraId="4F5C300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1EAAE07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Total (without Italy)</w:t>
      </w:r>
      <w:r w:rsidRPr="00C96521">
        <w:rPr>
          <w:rFonts w:eastAsia="MS Mincho" w:cs="Arial"/>
          <w:sz w:val="20"/>
          <w:szCs w:val="20"/>
          <w:lang w:val="en-GB" w:eastAsia="ja-JP"/>
        </w:rPr>
        <w:tab/>
        <w:t>1,034,359</w:t>
      </w:r>
    </w:p>
    <w:p w14:paraId="1C714AD6"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Total (with 18.6% Italy)</w:t>
      </w:r>
      <w:r w:rsidRPr="00C96521">
        <w:rPr>
          <w:rFonts w:eastAsia="MS Mincho" w:cs="Arial"/>
          <w:sz w:val="20"/>
          <w:szCs w:val="20"/>
          <w:lang w:val="en-GB" w:eastAsia="ja-JP"/>
        </w:rPr>
        <w:tab/>
        <w:t>1,091,199</w:t>
      </w:r>
    </w:p>
    <w:p w14:paraId="4150A9E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E935C5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A comparison between P and the number of birds effectively bagged shows if the number of birds taken exceeds P or falls below it (Table 8). </w:t>
      </w:r>
    </w:p>
    <w:p w14:paraId="064B13E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94786FF" w14:textId="77777777" w:rsidR="00C96521" w:rsidRPr="00C96521" w:rsidRDefault="00C96521" w:rsidP="00C96521">
      <w:pPr>
        <w:widowControl/>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t>Table 8. Comparison of the different scenarios leading to estimates of P and the hunting bag estimate for the western flyway.</w:t>
      </w:r>
    </w:p>
    <w:p w14:paraId="1812A4B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bl>
      <w:tblPr>
        <w:tblW w:w="9180" w:type="dxa"/>
        <w:tblInd w:w="108" w:type="dxa"/>
        <w:tblLayout w:type="fixed"/>
        <w:tblLook w:val="01E0" w:firstRow="1" w:lastRow="1" w:firstColumn="1" w:lastColumn="1" w:noHBand="0" w:noVBand="0"/>
      </w:tblPr>
      <w:tblGrid>
        <w:gridCol w:w="1440"/>
        <w:gridCol w:w="1440"/>
        <w:gridCol w:w="900"/>
        <w:gridCol w:w="2340"/>
        <w:gridCol w:w="1620"/>
        <w:gridCol w:w="1440"/>
      </w:tblGrid>
      <w:tr w:rsidR="00C96521" w:rsidRPr="00C96521" w14:paraId="2420B4B3" w14:textId="77777777" w:rsidTr="00C96521">
        <w:tc>
          <w:tcPr>
            <w:tcW w:w="1440" w:type="dxa"/>
            <w:tcBorders>
              <w:top w:val="single" w:sz="18" w:space="0" w:color="auto"/>
              <w:bottom w:val="single" w:sz="2" w:space="0" w:color="auto"/>
            </w:tcBorders>
            <w:shd w:val="clear" w:color="auto" w:fill="E6E6E6"/>
            <w:vAlign w:val="center"/>
          </w:tcPr>
          <w:p w14:paraId="1E454C7C"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Group</w:t>
            </w:r>
          </w:p>
        </w:tc>
        <w:tc>
          <w:tcPr>
            <w:tcW w:w="1440" w:type="dxa"/>
            <w:tcBorders>
              <w:top w:val="single" w:sz="18" w:space="0" w:color="auto"/>
              <w:bottom w:val="single" w:sz="2" w:space="0" w:color="auto"/>
            </w:tcBorders>
            <w:shd w:val="clear" w:color="auto" w:fill="E6E6E6"/>
            <w:vAlign w:val="center"/>
          </w:tcPr>
          <w:p w14:paraId="6393E246"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Productivity</w:t>
            </w:r>
          </w:p>
        </w:tc>
        <w:tc>
          <w:tcPr>
            <w:tcW w:w="900" w:type="dxa"/>
            <w:tcBorders>
              <w:top w:val="single" w:sz="18" w:space="0" w:color="auto"/>
              <w:bottom w:val="single" w:sz="2" w:space="0" w:color="auto"/>
            </w:tcBorders>
            <w:shd w:val="clear" w:color="auto" w:fill="E6E6E6"/>
            <w:vAlign w:val="center"/>
          </w:tcPr>
          <w:p w14:paraId="3B5C7E3B"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λ</w:t>
            </w:r>
            <w:r w:rsidRPr="00C96521">
              <w:rPr>
                <w:rFonts w:eastAsia="MS Mincho" w:cs="Arial"/>
                <w:b/>
                <w:sz w:val="20"/>
                <w:szCs w:val="20"/>
                <w:vertAlign w:val="subscript"/>
                <w:lang w:val="en-GB" w:eastAsia="ja-JP"/>
              </w:rPr>
              <w:t>max</w:t>
            </w:r>
          </w:p>
        </w:tc>
        <w:tc>
          <w:tcPr>
            <w:tcW w:w="2340" w:type="dxa"/>
            <w:tcBorders>
              <w:top w:val="single" w:sz="18" w:space="0" w:color="auto"/>
              <w:bottom w:val="single" w:sz="2" w:space="0" w:color="auto"/>
            </w:tcBorders>
            <w:shd w:val="clear" w:color="auto" w:fill="E6E6E6"/>
            <w:vAlign w:val="center"/>
          </w:tcPr>
          <w:p w14:paraId="66637F5D"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P range</w:t>
            </w:r>
          </w:p>
        </w:tc>
        <w:tc>
          <w:tcPr>
            <w:tcW w:w="1620" w:type="dxa"/>
            <w:tcBorders>
              <w:top w:val="single" w:sz="18" w:space="0" w:color="auto"/>
              <w:bottom w:val="single" w:sz="2" w:space="0" w:color="auto"/>
            </w:tcBorders>
            <w:shd w:val="clear" w:color="auto" w:fill="E6E6E6"/>
            <w:vAlign w:val="center"/>
          </w:tcPr>
          <w:p w14:paraId="1219FC23"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 xml:space="preserve">Ratio </w:t>
            </w:r>
          </w:p>
          <w:p w14:paraId="09EA8D08"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P/hunting bag</w:t>
            </w:r>
          </w:p>
        </w:tc>
        <w:tc>
          <w:tcPr>
            <w:tcW w:w="1440" w:type="dxa"/>
            <w:tcBorders>
              <w:top w:val="single" w:sz="18" w:space="0" w:color="auto"/>
              <w:bottom w:val="single" w:sz="2" w:space="0" w:color="auto"/>
            </w:tcBorders>
            <w:shd w:val="clear" w:color="auto" w:fill="E6E6E6"/>
            <w:vAlign w:val="center"/>
          </w:tcPr>
          <w:p w14:paraId="063115DF"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Scenario Number</w:t>
            </w:r>
          </w:p>
        </w:tc>
      </w:tr>
      <w:tr w:rsidR="00C96521" w:rsidRPr="00C96521" w14:paraId="64AF7A7E" w14:textId="77777777" w:rsidTr="00C96521">
        <w:tc>
          <w:tcPr>
            <w:tcW w:w="1440" w:type="dxa"/>
            <w:vMerge w:val="restart"/>
            <w:tcBorders>
              <w:top w:val="single" w:sz="2" w:space="0" w:color="auto"/>
            </w:tcBorders>
            <w:vAlign w:val="center"/>
          </w:tcPr>
          <w:p w14:paraId="15C102B5"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Italy excluded</w:t>
            </w:r>
          </w:p>
        </w:tc>
        <w:tc>
          <w:tcPr>
            <w:tcW w:w="1440" w:type="dxa"/>
            <w:vMerge w:val="restart"/>
            <w:tcBorders>
              <w:top w:val="single" w:sz="2" w:space="0" w:color="auto"/>
            </w:tcBorders>
            <w:vAlign w:val="center"/>
          </w:tcPr>
          <w:p w14:paraId="28919EC4"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 xml:space="preserve">Low </w:t>
            </w:r>
          </w:p>
        </w:tc>
        <w:tc>
          <w:tcPr>
            <w:tcW w:w="900" w:type="dxa"/>
            <w:tcBorders>
              <w:top w:val="single" w:sz="2" w:space="0" w:color="auto"/>
            </w:tcBorders>
          </w:tcPr>
          <w:p w14:paraId="758483D7"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1</w:t>
            </w:r>
          </w:p>
        </w:tc>
        <w:tc>
          <w:tcPr>
            <w:tcW w:w="2340" w:type="dxa"/>
            <w:tcBorders>
              <w:top w:val="single" w:sz="2" w:space="0" w:color="auto"/>
            </w:tcBorders>
          </w:tcPr>
          <w:p w14:paraId="77C2C99C"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[388 422 – 610 949]</w:t>
            </w:r>
          </w:p>
        </w:tc>
        <w:tc>
          <w:tcPr>
            <w:tcW w:w="1620" w:type="dxa"/>
            <w:tcBorders>
              <w:top w:val="single" w:sz="2" w:space="0" w:color="auto"/>
            </w:tcBorders>
            <w:shd w:val="clear" w:color="auto" w:fill="FF6600"/>
          </w:tcPr>
          <w:p w14:paraId="06BD6547"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&gt; P by 69.3%</w:t>
            </w:r>
          </w:p>
        </w:tc>
        <w:tc>
          <w:tcPr>
            <w:tcW w:w="1440" w:type="dxa"/>
            <w:tcBorders>
              <w:top w:val="single" w:sz="2" w:space="0" w:color="auto"/>
            </w:tcBorders>
            <w:shd w:val="clear" w:color="auto" w:fill="FF6600"/>
          </w:tcPr>
          <w:p w14:paraId="2AE31528"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1</w:t>
            </w:r>
          </w:p>
        </w:tc>
      </w:tr>
      <w:tr w:rsidR="00C96521" w:rsidRPr="00C96521" w14:paraId="0F34950C" w14:textId="77777777" w:rsidTr="00C96521">
        <w:tc>
          <w:tcPr>
            <w:tcW w:w="1440" w:type="dxa"/>
            <w:vMerge/>
            <w:vAlign w:val="center"/>
          </w:tcPr>
          <w:p w14:paraId="3AFB213F"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p>
        </w:tc>
        <w:tc>
          <w:tcPr>
            <w:tcW w:w="1440" w:type="dxa"/>
            <w:vMerge/>
            <w:vAlign w:val="center"/>
          </w:tcPr>
          <w:p w14:paraId="4F372FD3"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p>
        </w:tc>
        <w:tc>
          <w:tcPr>
            <w:tcW w:w="900" w:type="dxa"/>
          </w:tcPr>
          <w:p w14:paraId="13328580"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2</w:t>
            </w:r>
          </w:p>
        </w:tc>
        <w:tc>
          <w:tcPr>
            <w:tcW w:w="2340" w:type="dxa"/>
          </w:tcPr>
          <w:p w14:paraId="14383CCB"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[481 839 – 757 886]</w:t>
            </w:r>
          </w:p>
        </w:tc>
        <w:tc>
          <w:tcPr>
            <w:tcW w:w="1620" w:type="dxa"/>
            <w:shd w:val="clear" w:color="auto" w:fill="FF6600"/>
          </w:tcPr>
          <w:p w14:paraId="4C81018D"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36.5%</w:t>
            </w:r>
          </w:p>
        </w:tc>
        <w:tc>
          <w:tcPr>
            <w:tcW w:w="1440" w:type="dxa"/>
            <w:shd w:val="clear" w:color="auto" w:fill="FF6600"/>
          </w:tcPr>
          <w:p w14:paraId="0C2554D8"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2</w:t>
            </w:r>
          </w:p>
        </w:tc>
      </w:tr>
      <w:tr w:rsidR="00C96521" w:rsidRPr="00C96521" w14:paraId="106AE4B4" w14:textId="77777777" w:rsidTr="00C96521">
        <w:tc>
          <w:tcPr>
            <w:tcW w:w="1440" w:type="dxa"/>
            <w:vMerge/>
            <w:vAlign w:val="center"/>
          </w:tcPr>
          <w:p w14:paraId="6F46B823"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p>
        </w:tc>
        <w:tc>
          <w:tcPr>
            <w:tcW w:w="1440" w:type="dxa"/>
            <w:vMerge/>
            <w:vAlign w:val="center"/>
          </w:tcPr>
          <w:p w14:paraId="0712FB33"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p>
        </w:tc>
        <w:tc>
          <w:tcPr>
            <w:tcW w:w="900" w:type="dxa"/>
          </w:tcPr>
          <w:p w14:paraId="7E3B76F7"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3</w:t>
            </w:r>
          </w:p>
        </w:tc>
        <w:tc>
          <w:tcPr>
            <w:tcW w:w="2340" w:type="dxa"/>
          </w:tcPr>
          <w:p w14:paraId="4A4FDEB6"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[506 423 – 796 554]</w:t>
            </w:r>
          </w:p>
        </w:tc>
        <w:tc>
          <w:tcPr>
            <w:tcW w:w="1620" w:type="dxa"/>
            <w:shd w:val="clear" w:color="auto" w:fill="FF6600"/>
          </w:tcPr>
          <w:p w14:paraId="751FC50E"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29.9%</w:t>
            </w:r>
          </w:p>
        </w:tc>
        <w:tc>
          <w:tcPr>
            <w:tcW w:w="1440" w:type="dxa"/>
            <w:shd w:val="clear" w:color="auto" w:fill="FF6600"/>
          </w:tcPr>
          <w:p w14:paraId="5ED79B3A"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3</w:t>
            </w:r>
          </w:p>
        </w:tc>
      </w:tr>
      <w:tr w:rsidR="00C96521" w:rsidRPr="00C96521" w14:paraId="30E510F7" w14:textId="77777777" w:rsidTr="00C96521">
        <w:tc>
          <w:tcPr>
            <w:tcW w:w="1440" w:type="dxa"/>
            <w:vMerge/>
            <w:vAlign w:val="center"/>
          </w:tcPr>
          <w:p w14:paraId="6FD47EB1"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p>
        </w:tc>
        <w:tc>
          <w:tcPr>
            <w:tcW w:w="1440" w:type="dxa"/>
            <w:vMerge w:val="restart"/>
            <w:vAlign w:val="center"/>
          </w:tcPr>
          <w:p w14:paraId="460D3A12"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 xml:space="preserve">High </w:t>
            </w:r>
          </w:p>
        </w:tc>
        <w:tc>
          <w:tcPr>
            <w:tcW w:w="900" w:type="dxa"/>
          </w:tcPr>
          <w:p w14:paraId="0479A26E"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1</w:t>
            </w:r>
          </w:p>
        </w:tc>
        <w:tc>
          <w:tcPr>
            <w:tcW w:w="2340" w:type="dxa"/>
          </w:tcPr>
          <w:p w14:paraId="4958F9ED"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[554 383 – 871 991]</w:t>
            </w:r>
          </w:p>
        </w:tc>
        <w:tc>
          <w:tcPr>
            <w:tcW w:w="1620" w:type="dxa"/>
            <w:shd w:val="clear" w:color="auto" w:fill="FF6600"/>
          </w:tcPr>
          <w:p w14:paraId="7578DA20"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18.6%</w:t>
            </w:r>
          </w:p>
        </w:tc>
        <w:tc>
          <w:tcPr>
            <w:tcW w:w="1440" w:type="dxa"/>
            <w:shd w:val="clear" w:color="auto" w:fill="FF6600"/>
          </w:tcPr>
          <w:p w14:paraId="38550672"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4</w:t>
            </w:r>
          </w:p>
        </w:tc>
      </w:tr>
      <w:tr w:rsidR="00C96521" w:rsidRPr="00C96521" w14:paraId="0437DB5A" w14:textId="77777777" w:rsidTr="00C96521">
        <w:tc>
          <w:tcPr>
            <w:tcW w:w="1440" w:type="dxa"/>
            <w:vMerge/>
          </w:tcPr>
          <w:p w14:paraId="5EC8AD7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vAlign w:val="center"/>
          </w:tcPr>
          <w:p w14:paraId="53B4ABD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900" w:type="dxa"/>
          </w:tcPr>
          <w:p w14:paraId="5531349D"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2</w:t>
            </w:r>
          </w:p>
        </w:tc>
        <w:tc>
          <w:tcPr>
            <w:tcW w:w="2340" w:type="dxa"/>
          </w:tcPr>
          <w:p w14:paraId="5BBC5F3F"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[687 716 – 1 081 710]</w:t>
            </w:r>
          </w:p>
        </w:tc>
        <w:tc>
          <w:tcPr>
            <w:tcW w:w="1620" w:type="dxa"/>
            <w:shd w:val="clear" w:color="auto" w:fill="99CC00"/>
          </w:tcPr>
          <w:p w14:paraId="649EE986"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&lt; P by 4.4%</w:t>
            </w:r>
          </w:p>
        </w:tc>
        <w:tc>
          <w:tcPr>
            <w:tcW w:w="1440" w:type="dxa"/>
            <w:shd w:val="clear" w:color="auto" w:fill="99CC00"/>
          </w:tcPr>
          <w:p w14:paraId="3F719A43"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5</w:t>
            </w:r>
          </w:p>
        </w:tc>
      </w:tr>
      <w:tr w:rsidR="00C96521" w:rsidRPr="00C96521" w14:paraId="2B1B1B7C" w14:textId="77777777" w:rsidTr="00C96521">
        <w:tc>
          <w:tcPr>
            <w:tcW w:w="1440" w:type="dxa"/>
            <w:vMerge/>
            <w:tcBorders>
              <w:bottom w:val="single" w:sz="2" w:space="0" w:color="auto"/>
            </w:tcBorders>
          </w:tcPr>
          <w:p w14:paraId="6DE6CB7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tcBorders>
              <w:bottom w:val="single" w:sz="2" w:space="0" w:color="auto"/>
            </w:tcBorders>
            <w:vAlign w:val="center"/>
          </w:tcPr>
          <w:p w14:paraId="4A18377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900" w:type="dxa"/>
            <w:tcBorders>
              <w:bottom w:val="single" w:sz="2" w:space="0" w:color="auto"/>
            </w:tcBorders>
          </w:tcPr>
          <w:p w14:paraId="1E13F8A4"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3</w:t>
            </w:r>
          </w:p>
        </w:tc>
        <w:tc>
          <w:tcPr>
            <w:tcW w:w="2340" w:type="dxa"/>
            <w:tcBorders>
              <w:bottom w:val="single" w:sz="2" w:space="0" w:color="auto"/>
            </w:tcBorders>
          </w:tcPr>
          <w:p w14:paraId="7F367873"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[722 804 – 1 136 900]</w:t>
            </w:r>
          </w:p>
        </w:tc>
        <w:tc>
          <w:tcPr>
            <w:tcW w:w="1620" w:type="dxa"/>
            <w:tcBorders>
              <w:bottom w:val="single" w:sz="2" w:space="0" w:color="auto"/>
            </w:tcBorders>
            <w:shd w:val="clear" w:color="auto" w:fill="99CC00"/>
          </w:tcPr>
          <w:p w14:paraId="67B7E1EA"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 xml:space="preserve">&lt; P by 9% </w:t>
            </w:r>
          </w:p>
        </w:tc>
        <w:tc>
          <w:tcPr>
            <w:tcW w:w="1440" w:type="dxa"/>
            <w:tcBorders>
              <w:bottom w:val="single" w:sz="2" w:space="0" w:color="auto"/>
            </w:tcBorders>
            <w:shd w:val="clear" w:color="auto" w:fill="99CC00"/>
          </w:tcPr>
          <w:p w14:paraId="1462BDE1"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6</w:t>
            </w:r>
          </w:p>
        </w:tc>
      </w:tr>
      <w:tr w:rsidR="00C96521" w:rsidRPr="00C96521" w14:paraId="19D65476" w14:textId="77777777" w:rsidTr="00C96521">
        <w:tc>
          <w:tcPr>
            <w:tcW w:w="1440" w:type="dxa"/>
            <w:vMerge w:val="restart"/>
            <w:tcBorders>
              <w:top w:val="single" w:sz="2" w:space="0" w:color="auto"/>
              <w:bottom w:val="single" w:sz="18" w:space="0" w:color="auto"/>
            </w:tcBorders>
            <w:vAlign w:val="center"/>
          </w:tcPr>
          <w:p w14:paraId="49FA271B"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Italy partially included</w:t>
            </w:r>
          </w:p>
        </w:tc>
        <w:tc>
          <w:tcPr>
            <w:tcW w:w="1440" w:type="dxa"/>
            <w:vMerge w:val="restart"/>
            <w:tcBorders>
              <w:top w:val="single" w:sz="2" w:space="0" w:color="auto"/>
            </w:tcBorders>
            <w:vAlign w:val="center"/>
          </w:tcPr>
          <w:p w14:paraId="1CBB2674"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 xml:space="preserve">Low </w:t>
            </w:r>
          </w:p>
        </w:tc>
        <w:tc>
          <w:tcPr>
            <w:tcW w:w="900" w:type="dxa"/>
            <w:tcBorders>
              <w:top w:val="single" w:sz="2" w:space="0" w:color="auto"/>
            </w:tcBorders>
          </w:tcPr>
          <w:p w14:paraId="52BEFC58"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1</w:t>
            </w:r>
          </w:p>
        </w:tc>
        <w:tc>
          <w:tcPr>
            <w:tcW w:w="2340" w:type="dxa"/>
            <w:tcBorders>
              <w:top w:val="single" w:sz="2" w:space="0" w:color="auto"/>
            </w:tcBorders>
          </w:tcPr>
          <w:p w14:paraId="03E38B66"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[396 654 – 627 414]</w:t>
            </w:r>
          </w:p>
        </w:tc>
        <w:tc>
          <w:tcPr>
            <w:tcW w:w="1620" w:type="dxa"/>
            <w:tcBorders>
              <w:top w:val="single" w:sz="2" w:space="0" w:color="auto"/>
            </w:tcBorders>
            <w:shd w:val="clear" w:color="auto" w:fill="FF6600"/>
          </w:tcPr>
          <w:p w14:paraId="4B6769D9"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&gt; P by 73.9%</w:t>
            </w:r>
          </w:p>
        </w:tc>
        <w:tc>
          <w:tcPr>
            <w:tcW w:w="1440" w:type="dxa"/>
            <w:tcBorders>
              <w:top w:val="single" w:sz="2" w:space="0" w:color="auto"/>
            </w:tcBorders>
            <w:shd w:val="clear" w:color="auto" w:fill="FF6600"/>
          </w:tcPr>
          <w:p w14:paraId="59548099"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7</w:t>
            </w:r>
          </w:p>
        </w:tc>
      </w:tr>
      <w:tr w:rsidR="00C96521" w:rsidRPr="00C96521" w14:paraId="0D7C4FC7" w14:textId="77777777" w:rsidTr="00C96521">
        <w:tc>
          <w:tcPr>
            <w:tcW w:w="1440" w:type="dxa"/>
            <w:vMerge/>
            <w:tcBorders>
              <w:bottom w:val="single" w:sz="18" w:space="0" w:color="auto"/>
            </w:tcBorders>
          </w:tcPr>
          <w:p w14:paraId="4E72F56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vAlign w:val="center"/>
          </w:tcPr>
          <w:p w14:paraId="2B3D55A6"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900" w:type="dxa"/>
          </w:tcPr>
          <w:p w14:paraId="6B0B83FD"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2</w:t>
            </w:r>
          </w:p>
        </w:tc>
        <w:tc>
          <w:tcPr>
            <w:tcW w:w="2340" w:type="dxa"/>
          </w:tcPr>
          <w:p w14:paraId="33D37413"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[492 052 – 778 311]</w:t>
            </w:r>
          </w:p>
        </w:tc>
        <w:tc>
          <w:tcPr>
            <w:tcW w:w="1620" w:type="dxa"/>
            <w:shd w:val="clear" w:color="auto" w:fill="FF6600"/>
          </w:tcPr>
          <w:p w14:paraId="5218DDC9"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40.2%</w:t>
            </w:r>
          </w:p>
        </w:tc>
        <w:tc>
          <w:tcPr>
            <w:tcW w:w="1440" w:type="dxa"/>
            <w:shd w:val="clear" w:color="auto" w:fill="FF6600"/>
          </w:tcPr>
          <w:p w14:paraId="1F013C8A"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8</w:t>
            </w:r>
          </w:p>
        </w:tc>
      </w:tr>
      <w:tr w:rsidR="00C96521" w:rsidRPr="00C96521" w14:paraId="4BBFEB82" w14:textId="77777777" w:rsidTr="00C96521">
        <w:tc>
          <w:tcPr>
            <w:tcW w:w="1440" w:type="dxa"/>
            <w:vMerge/>
            <w:tcBorders>
              <w:bottom w:val="single" w:sz="18" w:space="0" w:color="auto"/>
            </w:tcBorders>
          </w:tcPr>
          <w:p w14:paraId="750D505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vAlign w:val="center"/>
          </w:tcPr>
          <w:p w14:paraId="1AD1268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900" w:type="dxa"/>
          </w:tcPr>
          <w:p w14:paraId="64BEDC2E"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3</w:t>
            </w:r>
          </w:p>
        </w:tc>
        <w:tc>
          <w:tcPr>
            <w:tcW w:w="2340" w:type="dxa"/>
          </w:tcPr>
          <w:p w14:paraId="0911CF32"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[517 157 – 818 021]</w:t>
            </w:r>
          </w:p>
        </w:tc>
        <w:tc>
          <w:tcPr>
            <w:tcW w:w="1620" w:type="dxa"/>
            <w:shd w:val="clear" w:color="auto" w:fill="FF6600"/>
          </w:tcPr>
          <w:p w14:paraId="0B4655A8"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33.4%</w:t>
            </w:r>
          </w:p>
        </w:tc>
        <w:tc>
          <w:tcPr>
            <w:tcW w:w="1440" w:type="dxa"/>
            <w:shd w:val="clear" w:color="auto" w:fill="FF6600"/>
          </w:tcPr>
          <w:p w14:paraId="2450D31E"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9</w:t>
            </w:r>
          </w:p>
        </w:tc>
      </w:tr>
      <w:tr w:rsidR="00C96521" w:rsidRPr="00C96521" w14:paraId="37D98390" w14:textId="77777777" w:rsidTr="00C96521">
        <w:tc>
          <w:tcPr>
            <w:tcW w:w="1440" w:type="dxa"/>
            <w:vMerge/>
            <w:tcBorders>
              <w:bottom w:val="single" w:sz="18" w:space="0" w:color="auto"/>
            </w:tcBorders>
            <w:vAlign w:val="center"/>
          </w:tcPr>
          <w:p w14:paraId="1CBAAA41"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p>
        </w:tc>
        <w:tc>
          <w:tcPr>
            <w:tcW w:w="1440" w:type="dxa"/>
            <w:vMerge w:val="restart"/>
            <w:vAlign w:val="center"/>
          </w:tcPr>
          <w:p w14:paraId="402232CA"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 xml:space="preserve">High </w:t>
            </w:r>
          </w:p>
        </w:tc>
        <w:tc>
          <w:tcPr>
            <w:tcW w:w="900" w:type="dxa"/>
          </w:tcPr>
          <w:p w14:paraId="7B034B8B"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1</w:t>
            </w:r>
          </w:p>
        </w:tc>
        <w:tc>
          <w:tcPr>
            <w:tcW w:w="2340" w:type="dxa"/>
          </w:tcPr>
          <w:p w14:paraId="4875FD5F"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[566 134 – 895 491]</w:t>
            </w:r>
          </w:p>
        </w:tc>
        <w:tc>
          <w:tcPr>
            <w:tcW w:w="1620" w:type="dxa"/>
            <w:shd w:val="clear" w:color="auto" w:fill="FF6600"/>
          </w:tcPr>
          <w:p w14:paraId="7185F24F"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21.9%</w:t>
            </w:r>
          </w:p>
        </w:tc>
        <w:tc>
          <w:tcPr>
            <w:tcW w:w="1440" w:type="dxa"/>
            <w:shd w:val="clear" w:color="auto" w:fill="FF6600"/>
          </w:tcPr>
          <w:p w14:paraId="3AADC7DF"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10</w:t>
            </w:r>
          </w:p>
        </w:tc>
      </w:tr>
      <w:tr w:rsidR="00C96521" w:rsidRPr="00C96521" w14:paraId="532278E6" w14:textId="77777777" w:rsidTr="00C96521">
        <w:tc>
          <w:tcPr>
            <w:tcW w:w="1440" w:type="dxa"/>
            <w:vMerge/>
            <w:tcBorders>
              <w:bottom w:val="single" w:sz="18" w:space="0" w:color="auto"/>
            </w:tcBorders>
          </w:tcPr>
          <w:p w14:paraId="2E99051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tcPr>
          <w:p w14:paraId="3F649AF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900" w:type="dxa"/>
          </w:tcPr>
          <w:p w14:paraId="1199F99B"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2</w:t>
            </w:r>
          </w:p>
        </w:tc>
        <w:tc>
          <w:tcPr>
            <w:tcW w:w="2340" w:type="dxa"/>
          </w:tcPr>
          <w:p w14:paraId="5B097D28"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[702 293 – 1 110 862]</w:t>
            </w:r>
          </w:p>
        </w:tc>
        <w:tc>
          <w:tcPr>
            <w:tcW w:w="1620" w:type="dxa"/>
            <w:shd w:val="clear" w:color="auto" w:fill="99CC00"/>
          </w:tcPr>
          <w:p w14:paraId="16135D2C"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&lt; P by 1.8%</w:t>
            </w:r>
          </w:p>
        </w:tc>
        <w:tc>
          <w:tcPr>
            <w:tcW w:w="1440" w:type="dxa"/>
            <w:shd w:val="clear" w:color="auto" w:fill="99CC00"/>
          </w:tcPr>
          <w:p w14:paraId="7FEA1B33"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11</w:t>
            </w:r>
          </w:p>
        </w:tc>
      </w:tr>
      <w:tr w:rsidR="00C96521" w:rsidRPr="00C96521" w14:paraId="430295F6" w14:textId="77777777" w:rsidTr="00C96521">
        <w:tc>
          <w:tcPr>
            <w:tcW w:w="1440" w:type="dxa"/>
            <w:vMerge/>
            <w:tcBorders>
              <w:bottom w:val="single" w:sz="18" w:space="0" w:color="auto"/>
            </w:tcBorders>
          </w:tcPr>
          <w:p w14:paraId="6C84F5A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tcBorders>
              <w:bottom w:val="single" w:sz="18" w:space="0" w:color="auto"/>
            </w:tcBorders>
          </w:tcPr>
          <w:p w14:paraId="43D20427"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p>
        </w:tc>
        <w:tc>
          <w:tcPr>
            <w:tcW w:w="900" w:type="dxa"/>
            <w:tcBorders>
              <w:bottom w:val="single" w:sz="18" w:space="0" w:color="auto"/>
            </w:tcBorders>
          </w:tcPr>
          <w:p w14:paraId="6AF63464"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3</w:t>
            </w:r>
          </w:p>
        </w:tc>
        <w:tc>
          <w:tcPr>
            <w:tcW w:w="2340" w:type="dxa"/>
            <w:tcBorders>
              <w:bottom w:val="single" w:sz="18" w:space="0" w:color="auto"/>
            </w:tcBorders>
          </w:tcPr>
          <w:p w14:paraId="0244D392"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[738 124 – 1 167 539]</w:t>
            </w:r>
          </w:p>
        </w:tc>
        <w:tc>
          <w:tcPr>
            <w:tcW w:w="1620" w:type="dxa"/>
            <w:tcBorders>
              <w:bottom w:val="single" w:sz="18" w:space="0" w:color="auto"/>
            </w:tcBorders>
            <w:shd w:val="clear" w:color="auto" w:fill="99CC00"/>
          </w:tcPr>
          <w:p w14:paraId="2575499A"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&lt; P by 6.5%</w:t>
            </w:r>
          </w:p>
        </w:tc>
        <w:tc>
          <w:tcPr>
            <w:tcW w:w="1440" w:type="dxa"/>
            <w:tcBorders>
              <w:bottom w:val="single" w:sz="18" w:space="0" w:color="auto"/>
            </w:tcBorders>
            <w:shd w:val="clear" w:color="auto" w:fill="99CC00"/>
          </w:tcPr>
          <w:p w14:paraId="1F957051"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12</w:t>
            </w:r>
          </w:p>
        </w:tc>
      </w:tr>
    </w:tbl>
    <w:p w14:paraId="553FE39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F0B2746" w14:textId="53262C29"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For 8 out of 12 scenarios, the hunting bag exceeds the value of P by more than 15</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(scenarios 1 to 4 and 7 to 10). The only cases in which hunting take falls below P are scenarios where productivity reaches its maximum value, and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is intermediate or very high. In those cases where the hunting take is below P, the difference is always below 9</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Both of these last scenarios (6 and 12) had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set to its maximum value (2.03), which is likely not to be realistic for a species such as the turtle-dove. Consequently, hunting take would be lower than P only for scenarios 5 and 11, such difference being always below 5%. Hunting take is lower than P only when considering the upper interval values for P. It is never the case when considering the lower interval values. </w:t>
      </w:r>
    </w:p>
    <w:p w14:paraId="39EE4ED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 </w:t>
      </w:r>
    </w:p>
    <w:p w14:paraId="06547B76" w14:textId="2A0AA3EE"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It appears, therefore, that the number of birds hunted within the western flyway is higher than the </w:t>
      </w:r>
      <w:r w:rsidR="007910C0">
        <w:rPr>
          <w:rFonts w:eastAsia="MS Mincho"/>
          <w:sz w:val="20"/>
          <w:szCs w:val="22"/>
          <w:lang w:val="en-GB" w:eastAsia="ja-JP"/>
        </w:rPr>
        <w:t>T</w:t>
      </w:r>
      <w:r w:rsidR="007910C0" w:rsidRPr="00C96521">
        <w:rPr>
          <w:rFonts w:eastAsia="MS Mincho"/>
          <w:sz w:val="20"/>
          <w:szCs w:val="22"/>
          <w:lang w:val="en-GB" w:eastAsia="ja-JP"/>
        </w:rPr>
        <w:t>urtle</w:t>
      </w:r>
      <w:r w:rsidR="007910C0">
        <w:rPr>
          <w:rFonts w:eastAsia="MS Mincho"/>
          <w:sz w:val="20"/>
          <w:szCs w:val="22"/>
          <w:lang w:val="en-GB" w:eastAsia="ja-JP"/>
        </w:rPr>
        <w:t xml:space="preserve"> D</w:t>
      </w:r>
      <w:r w:rsidR="007910C0" w:rsidRPr="00C96521">
        <w:rPr>
          <w:rFonts w:eastAsia="MS Mincho"/>
          <w:sz w:val="20"/>
          <w:szCs w:val="22"/>
          <w:lang w:val="en-GB" w:eastAsia="ja-JP"/>
        </w:rPr>
        <w:t xml:space="preserve">ove </w:t>
      </w:r>
      <w:r w:rsidRPr="00C96521">
        <w:rPr>
          <w:rFonts w:eastAsia="MS Mincho" w:cs="Arial"/>
          <w:sz w:val="20"/>
          <w:szCs w:val="20"/>
          <w:lang w:val="en-GB" w:eastAsia="ja-JP"/>
        </w:rPr>
        <w:t xml:space="preserve">population is able to sustain (whether Italy is included or not). </w:t>
      </w:r>
    </w:p>
    <w:p w14:paraId="7211050D"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11FBC3D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This conclusion is further supported by additional information:</w:t>
      </w:r>
    </w:p>
    <w:p w14:paraId="02954D0E" w14:textId="1BF04A38"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the maximal growth rate calculated through national monitoring schemes are notably weaker than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calculated through the use of demographic invariants (Spain 1.3139, 21 years</w:t>
      </w:r>
      <w:r w:rsidR="007910C0">
        <w:rPr>
          <w:rFonts w:eastAsia="MS Mincho" w:cs="Arial"/>
          <w:sz w:val="20"/>
          <w:szCs w:val="20"/>
          <w:lang w:val="en-GB" w:eastAsia="ja-JP"/>
        </w:rPr>
        <w:t>’</w:t>
      </w:r>
      <w:r w:rsidRPr="00C96521">
        <w:rPr>
          <w:rFonts w:eastAsia="MS Mincho" w:cs="Arial"/>
          <w:sz w:val="20"/>
          <w:szCs w:val="20"/>
          <w:lang w:val="en-GB" w:eastAsia="ja-JP"/>
        </w:rPr>
        <w:t xml:space="preserve"> data; France 1.2134, 26 years</w:t>
      </w:r>
      <w:r w:rsidR="007910C0">
        <w:rPr>
          <w:rFonts w:eastAsia="MS Mincho" w:cs="Arial"/>
          <w:sz w:val="20"/>
          <w:szCs w:val="20"/>
          <w:lang w:val="en-GB" w:eastAsia="ja-JP"/>
        </w:rPr>
        <w:t>’</w:t>
      </w:r>
      <w:r w:rsidRPr="00C96521">
        <w:rPr>
          <w:rFonts w:eastAsia="MS Mincho" w:cs="Arial"/>
          <w:sz w:val="20"/>
          <w:szCs w:val="20"/>
          <w:lang w:val="en-GB" w:eastAsia="ja-JP"/>
        </w:rPr>
        <w:t xml:space="preserve"> data; UK 1.2525,49 years</w:t>
      </w:r>
      <w:r w:rsidR="007910C0">
        <w:rPr>
          <w:rFonts w:eastAsia="MS Mincho" w:cs="Arial"/>
          <w:sz w:val="20"/>
          <w:szCs w:val="20"/>
          <w:lang w:val="en-GB" w:eastAsia="ja-JP"/>
        </w:rPr>
        <w:t>’</w:t>
      </w:r>
      <w:r w:rsidRPr="00C96521">
        <w:rPr>
          <w:rFonts w:eastAsia="MS Mincho" w:cs="Arial"/>
          <w:sz w:val="20"/>
          <w:szCs w:val="20"/>
          <w:lang w:val="en-GB" w:eastAsia="ja-JP"/>
        </w:rPr>
        <w:t xml:space="preserve"> data (Will Peach </w:t>
      </w:r>
      <w:r w:rsidRPr="00C96521">
        <w:rPr>
          <w:rFonts w:eastAsia="MS Mincho" w:cs="Arial"/>
          <w:i/>
          <w:sz w:val="20"/>
          <w:szCs w:val="20"/>
          <w:lang w:val="en-GB" w:eastAsia="ja-JP"/>
        </w:rPr>
        <w:t>pers comm</w:t>
      </w:r>
      <w:r w:rsidRPr="00C96521">
        <w:rPr>
          <w:rFonts w:eastAsia="MS Mincho" w:cs="Arial"/>
          <w:sz w:val="20"/>
          <w:szCs w:val="20"/>
          <w:lang w:val="en-GB" w:eastAsia="ja-JP"/>
        </w:rPr>
        <w:t>); it should be noted that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obtained through national schemes already includes additive mortality related to hunting;</w:t>
      </w:r>
    </w:p>
    <w:p w14:paraId="34B9B0CF"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 this analysis has not taken into account the number of turtle doves killed by hunters in Africa while overwintering, and so the overall hunting bag size could be substantially higher. </w:t>
      </w:r>
    </w:p>
    <w:p w14:paraId="52C0BACF"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6CB7E3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7B6478C" w14:textId="77777777" w:rsidR="00C96521" w:rsidRPr="00C96521" w:rsidRDefault="00C96521" w:rsidP="00C96521">
      <w:pPr>
        <w:widowControl/>
        <w:autoSpaceDE/>
        <w:autoSpaceDN/>
        <w:adjustRightInd/>
        <w:spacing w:line="276" w:lineRule="auto"/>
        <w:rPr>
          <w:rFonts w:eastAsia="MS Mincho"/>
          <w:color w:val="FF0000"/>
          <w:sz w:val="20"/>
          <w:szCs w:val="22"/>
          <w:lang w:val="en-GB" w:eastAsia="ja-JP"/>
        </w:rPr>
      </w:pPr>
    </w:p>
    <w:p w14:paraId="76E37C7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02B647C" w14:textId="77777777" w:rsidR="00C96521" w:rsidRPr="00C96521" w:rsidRDefault="00C96521" w:rsidP="00C96521">
      <w:pPr>
        <w:widowControl/>
        <w:autoSpaceDE/>
        <w:autoSpaceDN/>
        <w:adjustRightInd/>
        <w:spacing w:line="276" w:lineRule="auto"/>
        <w:rPr>
          <w:rFonts w:eastAsia="MS Gothic"/>
          <w:b/>
          <w:bCs/>
          <w:color w:val="365F91"/>
          <w:sz w:val="32"/>
          <w:szCs w:val="28"/>
          <w:lang w:val="en-GB" w:eastAsia="ja-JP"/>
        </w:rPr>
      </w:pPr>
      <w:r w:rsidRPr="00C96521">
        <w:rPr>
          <w:rFonts w:eastAsia="MS Mincho"/>
          <w:sz w:val="20"/>
          <w:szCs w:val="22"/>
          <w:lang w:val="en-GB" w:eastAsia="ja-JP"/>
        </w:rPr>
        <w:br w:type="page"/>
      </w:r>
    </w:p>
    <w:p w14:paraId="6BBAAECE"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39" w:name="_Toc478646924"/>
      <w:r w:rsidRPr="00C96521">
        <w:rPr>
          <w:rFonts w:eastAsia="MS Gothic"/>
          <w:b/>
          <w:bCs/>
          <w:color w:val="365F91"/>
          <w:sz w:val="32"/>
          <w:szCs w:val="28"/>
          <w:lang w:val="en-GB" w:eastAsia="ja-JP"/>
        </w:rPr>
        <w:lastRenderedPageBreak/>
        <w:t>Annex 5: REFERENCES</w:t>
      </w:r>
      <w:bookmarkEnd w:id="39"/>
    </w:p>
    <w:p w14:paraId="73D0F2C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1FF4D8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ADAMIAN MS and KLEM D (1997)</w:t>
      </w:r>
      <w:r w:rsidRPr="00C96521">
        <w:rPr>
          <w:rFonts w:eastAsia="MS Mincho" w:cs="Arial"/>
          <w:szCs w:val="18"/>
          <w:lang w:val="en-GB" w:eastAsia="ja-JP"/>
        </w:rPr>
        <w:t xml:space="preserve"> </w:t>
      </w:r>
      <w:r w:rsidRPr="00C96521">
        <w:rPr>
          <w:rFonts w:eastAsia="MS Mincho" w:cs="Arial"/>
          <w:i/>
          <w:szCs w:val="18"/>
          <w:lang w:val="en-GB" w:eastAsia="ja-JP"/>
        </w:rPr>
        <w:t>A Field Guide to Birds of Armenia</w:t>
      </w:r>
      <w:r w:rsidRPr="00C96521">
        <w:rPr>
          <w:rFonts w:eastAsia="MS Mincho" w:cs="Arial"/>
          <w:szCs w:val="18"/>
          <w:lang w:val="en-GB" w:eastAsia="ja-JP"/>
        </w:rPr>
        <w:t>. American University of Armenia, Yerevan.</w:t>
      </w:r>
    </w:p>
    <w:p w14:paraId="2A4F2B83"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A44FBC9" w14:textId="7AFD6836"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AEBISCHER NJ (2002) </w:t>
      </w:r>
      <w:r w:rsidRPr="00C96521">
        <w:rPr>
          <w:rFonts w:eastAsia="MS Mincho" w:cs="Arial"/>
          <w:szCs w:val="18"/>
          <w:lang w:val="en-GB" w:eastAsia="ja-JP"/>
        </w:rPr>
        <w:t>Turtle</w:t>
      </w:r>
      <w:r w:rsidR="007910C0">
        <w:rPr>
          <w:rFonts w:eastAsia="MS Mincho" w:cs="Arial"/>
          <w:szCs w:val="18"/>
          <w:lang w:val="en-GB" w:eastAsia="ja-JP"/>
        </w:rPr>
        <w:t xml:space="preserve"> D</w:t>
      </w:r>
      <w:r w:rsidRPr="00C96521">
        <w:rPr>
          <w:rFonts w:eastAsia="MS Mincho" w:cs="Arial"/>
          <w:szCs w:val="18"/>
          <w:lang w:val="en-GB" w:eastAsia="ja-JP"/>
        </w:rPr>
        <w:t xml:space="preserve">dove </w:t>
      </w:r>
      <w:r w:rsidRPr="00C96521">
        <w:rPr>
          <w:rFonts w:eastAsia="MS Mincho" w:cs="Arial"/>
          <w:i/>
          <w:szCs w:val="18"/>
          <w:lang w:val="en-GB" w:eastAsia="ja-JP"/>
        </w:rPr>
        <w:t>Streptopelia turtur</w:t>
      </w:r>
      <w:r w:rsidRPr="00C96521">
        <w:rPr>
          <w:rFonts w:eastAsia="MS Mincho" w:cs="Arial"/>
          <w:szCs w:val="18"/>
          <w:lang w:val="en-GB" w:eastAsia="ja-JP"/>
        </w:rPr>
        <w:t xml:space="preserve">. In: WERNHAM CV, TOMS MP, MARCHANT JH, CLARK JA, SIRIWADERNA GM and BAILLIE SR (eds) </w:t>
      </w:r>
      <w:r w:rsidRPr="00C96521">
        <w:rPr>
          <w:rFonts w:eastAsia="MS Mincho" w:cs="Arial"/>
          <w:i/>
          <w:szCs w:val="18"/>
          <w:lang w:val="en-GB" w:eastAsia="ja-JP"/>
        </w:rPr>
        <w:t>The Migration Atlas: movements of the Birds of Britain and Ireland</w:t>
      </w:r>
      <w:r w:rsidRPr="00C96521">
        <w:rPr>
          <w:rFonts w:eastAsia="MS Mincho" w:cs="Arial"/>
          <w:szCs w:val="18"/>
          <w:lang w:val="en-GB" w:eastAsia="ja-JP"/>
        </w:rPr>
        <w:t>. T &amp; AD Poyser, London. pp 420-422.</w:t>
      </w:r>
    </w:p>
    <w:p w14:paraId="037C148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A2C55F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AGENDA.GE (2015)</w:t>
      </w:r>
      <w:r w:rsidRPr="00C96521">
        <w:rPr>
          <w:rFonts w:eastAsia="MS Mincho" w:cs="Arial"/>
          <w:szCs w:val="18"/>
          <w:lang w:val="en-GB" w:eastAsia="ja-JP"/>
        </w:rPr>
        <w:t xml:space="preserve"> </w:t>
      </w:r>
      <w:r w:rsidRPr="00C96521">
        <w:rPr>
          <w:rFonts w:eastAsia="MS Mincho" w:cs="Arial"/>
          <w:i/>
          <w:szCs w:val="18"/>
          <w:lang w:val="en-GB" w:eastAsia="ja-JP"/>
        </w:rPr>
        <w:t>Georgia’s bird hunting season begins tomorrow.</w:t>
      </w:r>
      <w:r w:rsidRPr="00C96521">
        <w:rPr>
          <w:rFonts w:eastAsia="MS Mincho" w:cs="Arial"/>
          <w:szCs w:val="18"/>
          <w:lang w:val="en-GB" w:eastAsia="ja-JP"/>
        </w:rPr>
        <w:t xml:space="preserve"> http://agenda.ge/news/40710/eng (last accessed 25</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21EA8CD2"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E290E95"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bCs/>
          <w:szCs w:val="18"/>
          <w:lang w:val="en-GB" w:eastAsia="ja-JP"/>
        </w:rPr>
        <w:t>ALLEN B, KRETSCHMER B, BALDOCK D, MENADUE H, NANNI S and TUCKER G (2014)</w:t>
      </w:r>
      <w:r w:rsidRPr="00C96521">
        <w:rPr>
          <w:rFonts w:eastAsia="MS Mincho" w:cs="Arial"/>
          <w:szCs w:val="18"/>
          <w:lang w:val="en-GB" w:eastAsia="ja-JP"/>
        </w:rPr>
        <w:t xml:space="preserve"> </w:t>
      </w:r>
      <w:r w:rsidRPr="00C96521">
        <w:rPr>
          <w:rFonts w:eastAsia="MS Mincho" w:cs="Arial"/>
          <w:i/>
          <w:szCs w:val="18"/>
          <w:lang w:val="en-GB" w:eastAsia="ja-JP"/>
        </w:rPr>
        <w:t>Space for energy crops – assessing the potential contribution to Europe’s energy future</w:t>
      </w:r>
      <w:r w:rsidRPr="00C96521">
        <w:rPr>
          <w:rFonts w:eastAsia="MS Mincho" w:cs="Arial"/>
          <w:szCs w:val="18"/>
          <w:lang w:val="en-GB" w:eastAsia="ja-JP"/>
        </w:rPr>
        <w:t xml:space="preserve">. Report produced for BirdLife Europe, European Environmental Bureau and Transport and Environment. </w:t>
      </w:r>
      <w:r w:rsidRPr="00890F11">
        <w:rPr>
          <w:rFonts w:eastAsia="MS Mincho" w:cs="Arial"/>
          <w:szCs w:val="18"/>
          <w:lang w:val="fr-FR" w:eastAsia="ja-JP"/>
        </w:rPr>
        <w:t>IEEP, London.</w:t>
      </w:r>
    </w:p>
    <w:p w14:paraId="4821501B"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410AFDD1"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fr-FR" w:eastAsia="ja-JP"/>
        </w:rPr>
        <w:t>ARNAUDUC J-P, ANSTETT L and BOOS M (2011)</w:t>
      </w:r>
      <w:r w:rsidRPr="00890F11">
        <w:rPr>
          <w:rFonts w:eastAsia="MS Mincho" w:cs="Arial"/>
          <w:szCs w:val="18"/>
          <w:lang w:val="fr-FR" w:eastAsia="ja-JP"/>
        </w:rPr>
        <w:t xml:space="preserve"> Les prélèvements de colombidés par la chasse en France. </w:t>
      </w:r>
      <w:r w:rsidRPr="00890F11">
        <w:rPr>
          <w:rFonts w:eastAsia="MS Mincho" w:cs="Arial"/>
          <w:i/>
          <w:szCs w:val="18"/>
          <w:lang w:val="fr-FR" w:eastAsia="ja-JP"/>
        </w:rPr>
        <w:t>Faune Sauvage</w:t>
      </w:r>
      <w:r w:rsidRPr="00890F11">
        <w:rPr>
          <w:rFonts w:eastAsia="MS Mincho" w:cs="Arial"/>
          <w:szCs w:val="18"/>
          <w:lang w:val="fr-FR" w:eastAsia="ja-JP"/>
        </w:rPr>
        <w:t xml:space="preserve"> 293: 45-49.</w:t>
      </w:r>
    </w:p>
    <w:p w14:paraId="5DB804E1"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p>
    <w:p w14:paraId="77A0104A"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fr-FR" w:eastAsia="ja-JP"/>
        </w:rPr>
        <w:t>AUBINEAU J and BOUTIN JM</w:t>
      </w:r>
      <w:r w:rsidRPr="00890F11">
        <w:rPr>
          <w:rFonts w:eastAsia="MS Mincho" w:cs="Arial"/>
          <w:szCs w:val="18"/>
          <w:lang w:val="fr-FR" w:eastAsia="ja-JP"/>
        </w:rPr>
        <w:t xml:space="preserve"> </w:t>
      </w:r>
      <w:r w:rsidRPr="00890F11">
        <w:rPr>
          <w:rFonts w:eastAsia="MS Mincho" w:cs="Arial"/>
          <w:b/>
          <w:bCs/>
          <w:szCs w:val="18"/>
          <w:lang w:val="fr-FR" w:eastAsia="ja-JP"/>
        </w:rPr>
        <w:t xml:space="preserve">(1998) </w:t>
      </w:r>
      <w:r w:rsidRPr="00890F11">
        <w:rPr>
          <w:rFonts w:eastAsia="MS Mincho" w:cs="Arial"/>
          <w:szCs w:val="18"/>
          <w:lang w:val="fr-FR" w:eastAsia="ja-JP"/>
        </w:rPr>
        <w:t xml:space="preserve">L’impact des modalités de gestion du maillage bocager sur les colombidés nicheurs dans l’ouest de la France. </w:t>
      </w:r>
      <w:r w:rsidRPr="00890F11">
        <w:rPr>
          <w:rFonts w:eastAsia="MS Mincho" w:cs="Arial"/>
          <w:i/>
          <w:iCs/>
          <w:szCs w:val="18"/>
          <w:lang w:val="fr-FR" w:eastAsia="ja-JP"/>
        </w:rPr>
        <w:t xml:space="preserve">Gibier Faune Sauvage </w:t>
      </w:r>
      <w:r w:rsidRPr="00890F11">
        <w:rPr>
          <w:rFonts w:eastAsia="MS Mincho" w:cs="Arial"/>
          <w:szCs w:val="18"/>
          <w:lang w:val="fr-FR" w:eastAsia="ja-JP"/>
        </w:rPr>
        <w:t>15(1): 55-63.</w:t>
      </w:r>
    </w:p>
    <w:p w14:paraId="529DDDF1"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0D585885"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fr-FR" w:eastAsia="ja-JP"/>
        </w:rPr>
        <w:t>AUBRY P, ANSTETT L, FERRAND Y, REITZ F, KLEIN F, RUETTE S, SARASA M, ARNAUDUC J-P and MIGOT P (2016)</w:t>
      </w:r>
      <w:r w:rsidRPr="00890F11">
        <w:rPr>
          <w:rFonts w:eastAsia="MS Mincho" w:cs="Arial"/>
          <w:szCs w:val="18"/>
          <w:lang w:val="fr-FR" w:eastAsia="ja-JP"/>
        </w:rPr>
        <w:t xml:space="preserve"> Enquête nationale sur les tableaux de chasse à tir. Saison 2013-2014 Résultats nationaux. </w:t>
      </w:r>
      <w:r w:rsidRPr="00890F11">
        <w:rPr>
          <w:rFonts w:eastAsia="MS Mincho" w:cs="Arial"/>
          <w:i/>
          <w:szCs w:val="18"/>
          <w:lang w:val="fr-FR" w:eastAsia="ja-JP"/>
        </w:rPr>
        <w:t>Faune Sauvage</w:t>
      </w:r>
      <w:r w:rsidRPr="00890F11">
        <w:rPr>
          <w:rFonts w:eastAsia="MS Mincho" w:cs="Arial"/>
          <w:szCs w:val="18"/>
          <w:lang w:val="fr-FR" w:eastAsia="ja-JP"/>
        </w:rPr>
        <w:t xml:space="preserve"> 310 (supplement Jan-Mar 2016): 1-8.</w:t>
      </w:r>
    </w:p>
    <w:p w14:paraId="1148A45C"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2AD6202F" w14:textId="77777777" w:rsidR="00C96521" w:rsidRPr="00890F11" w:rsidRDefault="00C96521" w:rsidP="00C96521">
      <w:pPr>
        <w:widowControl/>
        <w:autoSpaceDE/>
        <w:autoSpaceDN/>
        <w:adjustRightInd/>
        <w:spacing w:line="276" w:lineRule="auto"/>
        <w:rPr>
          <w:rFonts w:eastAsia="MS Mincho" w:cs="Arial"/>
          <w:b/>
          <w:szCs w:val="18"/>
          <w:lang w:val="fr-FR" w:eastAsia="ja-JP"/>
        </w:rPr>
      </w:pPr>
      <w:r w:rsidRPr="00890F11">
        <w:rPr>
          <w:rFonts w:eastAsia="MS Mincho" w:cs="Arial"/>
          <w:b/>
          <w:szCs w:val="18"/>
          <w:lang w:val="fr-FR" w:eastAsia="ja-JP"/>
        </w:rPr>
        <w:t>AUNINŠ A (2015)</w:t>
      </w:r>
      <w:r w:rsidRPr="00890F11">
        <w:rPr>
          <w:rFonts w:eastAsia="MS Mincho" w:cs="Arial"/>
          <w:szCs w:val="18"/>
          <w:lang w:val="fr-FR" w:eastAsia="ja-JP"/>
        </w:rPr>
        <w:t xml:space="preserve"> </w:t>
      </w:r>
      <w:r w:rsidRPr="00890F11">
        <w:rPr>
          <w:rFonts w:eastAsia="MS Mincho" w:cs="Arial"/>
          <w:i/>
          <w:szCs w:val="18"/>
          <w:lang w:val="fr-FR" w:eastAsia="ja-JP"/>
        </w:rPr>
        <w:t>Latvijas ligzdojošo putnu uzskaites: parasto putnu skaita pārmaiņas 2005–2014</w:t>
      </w:r>
      <w:r w:rsidRPr="00890F11">
        <w:rPr>
          <w:rFonts w:eastAsia="MS Mincho" w:cs="Arial"/>
          <w:szCs w:val="18"/>
          <w:lang w:val="fr-FR" w:eastAsia="ja-JP"/>
        </w:rPr>
        <w:t>. Putni dabā 2015/1.</w:t>
      </w:r>
    </w:p>
    <w:p w14:paraId="739D7ED7"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7C18012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fr-FR" w:eastAsia="ja-JP"/>
        </w:rPr>
        <w:t>BACON L (2012)</w:t>
      </w:r>
      <w:r w:rsidRPr="00890F11">
        <w:rPr>
          <w:rFonts w:eastAsia="MS Mincho" w:cs="Arial"/>
          <w:szCs w:val="18"/>
          <w:lang w:val="fr-FR" w:eastAsia="ja-JP"/>
        </w:rPr>
        <w:t xml:space="preserve"> </w:t>
      </w:r>
      <w:r w:rsidRPr="00890F11">
        <w:rPr>
          <w:rFonts w:eastAsia="MS Mincho" w:cs="Arial"/>
          <w:i/>
          <w:szCs w:val="18"/>
          <w:lang w:val="fr-FR" w:eastAsia="ja-JP"/>
        </w:rPr>
        <w:t>Estimation de la taille de la population de tourterelle des bois nicheuse en France</w:t>
      </w:r>
      <w:r w:rsidRPr="00890F11">
        <w:rPr>
          <w:rFonts w:eastAsia="MS Mincho" w:cs="Arial"/>
          <w:szCs w:val="18"/>
          <w:lang w:val="fr-FR" w:eastAsia="ja-JP"/>
        </w:rPr>
        <w:t xml:space="preserve">. </w:t>
      </w:r>
      <w:r w:rsidRPr="00C96521">
        <w:rPr>
          <w:rFonts w:eastAsia="MS Mincho" w:cs="Arial"/>
          <w:szCs w:val="18"/>
          <w:lang w:val="en-GB" w:eastAsia="ja-JP"/>
        </w:rPr>
        <w:t>Master1 IEGB, Université Montpellier, Montpellier.</w:t>
      </w:r>
    </w:p>
    <w:p w14:paraId="3FF1298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1D323B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BAKALOUDIS DE, VLACHOS CG, CHATZINIKOS E, BONTZORLOS V and PAPAKOSTA M (2009) </w:t>
      </w:r>
      <w:r w:rsidRPr="00C96521">
        <w:rPr>
          <w:rFonts w:eastAsia="MS Mincho" w:cs="Arial"/>
          <w:szCs w:val="18"/>
          <w:lang w:val="en-GB" w:eastAsia="ja-JP"/>
        </w:rPr>
        <w:t>Breeding habitat preferences of the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in the Dadia-Soufli National Park and its implications for management. </w:t>
      </w:r>
      <w:r w:rsidRPr="00C96521">
        <w:rPr>
          <w:rFonts w:eastAsia="MS Mincho" w:cs="Arial"/>
          <w:i/>
          <w:szCs w:val="18"/>
          <w:lang w:val="en-GB" w:eastAsia="ja-JP"/>
        </w:rPr>
        <w:t>European Journal of Wildlife Research</w:t>
      </w:r>
      <w:r w:rsidRPr="00C96521">
        <w:rPr>
          <w:rFonts w:eastAsia="MS Mincho" w:cs="Arial"/>
          <w:szCs w:val="18"/>
          <w:lang w:val="en-GB" w:eastAsia="ja-JP"/>
        </w:rPr>
        <w:t xml:space="preserve"> 55: 597-602.</w:t>
      </w:r>
    </w:p>
    <w:p w14:paraId="3C0D1C9C"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E0F684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BAKER DJ, FREEMAN SN, GRICE PV and SIRIWARDENA GM (2012)</w:t>
      </w:r>
      <w:r w:rsidRPr="00C96521">
        <w:rPr>
          <w:rFonts w:eastAsia="MS Mincho" w:cs="Arial"/>
          <w:szCs w:val="18"/>
          <w:lang w:val="en-GB" w:eastAsia="ja-JP"/>
        </w:rPr>
        <w:t xml:space="preserve"> Landscape-scale responses of birds to agri-environment management: a test of the English Environmental Stewardship scheme. </w:t>
      </w:r>
      <w:r w:rsidRPr="00C96521">
        <w:rPr>
          <w:rFonts w:eastAsia="MS Mincho" w:cs="Arial"/>
          <w:i/>
          <w:szCs w:val="18"/>
          <w:lang w:val="en-GB" w:eastAsia="ja-JP"/>
        </w:rPr>
        <w:t>Journal of Applied Ecology</w:t>
      </w:r>
      <w:r w:rsidRPr="00C96521">
        <w:rPr>
          <w:rFonts w:eastAsia="MS Mincho" w:cs="Arial"/>
          <w:szCs w:val="18"/>
          <w:lang w:val="en-GB" w:eastAsia="ja-JP"/>
        </w:rPr>
        <w:t xml:space="preserve"> 49(4): 871-882.</w:t>
      </w:r>
    </w:p>
    <w:p w14:paraId="10217E29"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FF1AE1A"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C96521">
        <w:rPr>
          <w:rFonts w:eastAsia="MS Mincho" w:cs="Arial"/>
          <w:b/>
          <w:szCs w:val="18"/>
          <w:lang w:val="en-GB" w:eastAsia="ja-JP"/>
        </w:rPr>
        <w:t>BALMORI A (2004)</w:t>
      </w:r>
      <w:r w:rsidRPr="00C96521">
        <w:rPr>
          <w:rFonts w:eastAsia="MS Mincho" w:cs="Arial"/>
          <w:szCs w:val="18"/>
          <w:lang w:val="en-GB" w:eastAsia="ja-JP"/>
        </w:rPr>
        <w:t xml:space="preserve"> Tórtola Común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890F11">
        <w:rPr>
          <w:rFonts w:eastAsia="MS Mincho" w:cs="Arial"/>
          <w:szCs w:val="18"/>
          <w:lang w:val="es-ES" w:eastAsia="ja-JP"/>
        </w:rPr>
        <w:t xml:space="preserve">In: MADROÑO A, GONZÁLEZ A and ATIENZA JC (eds) </w:t>
      </w:r>
      <w:r w:rsidRPr="00890F11">
        <w:rPr>
          <w:rFonts w:eastAsia="MS Mincho" w:cs="Arial"/>
          <w:i/>
          <w:szCs w:val="18"/>
          <w:lang w:val="es-ES" w:eastAsia="ja-JP"/>
        </w:rPr>
        <w:t>Libro Rojo de las aves de España</w:t>
      </w:r>
      <w:r w:rsidRPr="00890F11">
        <w:rPr>
          <w:rFonts w:eastAsia="MS Mincho" w:cs="Arial"/>
          <w:szCs w:val="18"/>
          <w:lang w:val="es-ES" w:eastAsia="ja-JP"/>
        </w:rPr>
        <w:t>. Dirección General para la Biodiversidad. SEO/BirdLife, Madrid. pp 281–285.</w:t>
      </w:r>
    </w:p>
    <w:p w14:paraId="25B11907"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1619E581"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890F11">
        <w:rPr>
          <w:rFonts w:eastAsia="MS Mincho" w:cs="Arial"/>
          <w:b/>
          <w:szCs w:val="18"/>
          <w:lang w:val="es-ES" w:eastAsia="ja-JP"/>
        </w:rPr>
        <w:t>BAPTISTA LF, TRAIL PW, HORBLIT HM, BOESMAN P, SHARPE CJ and KIRWAN GM (2016)</w:t>
      </w:r>
      <w:r w:rsidRPr="00890F11">
        <w:rPr>
          <w:rFonts w:eastAsia="MS Mincho" w:cs="Arial"/>
          <w:color w:val="3D3C3C"/>
          <w:szCs w:val="18"/>
          <w:shd w:val="clear" w:color="auto" w:fill="FFFFFF"/>
          <w:lang w:val="es-ES" w:eastAsia="ja-JP"/>
        </w:rPr>
        <w:t xml:space="preserve"> </w:t>
      </w:r>
      <w:r w:rsidRPr="00890F11">
        <w:rPr>
          <w:rFonts w:eastAsia="MS Mincho" w:cs="Arial"/>
          <w:szCs w:val="18"/>
          <w:lang w:val="es-ES" w:eastAsia="ja-JP"/>
        </w:rPr>
        <w:t xml:space="preserve">European Turtle-dove (Streptopelia turtur). </w:t>
      </w:r>
      <w:r w:rsidRPr="00C96521">
        <w:rPr>
          <w:rFonts w:eastAsia="MS Mincho" w:cs="Arial"/>
          <w:szCs w:val="18"/>
          <w:lang w:val="en-GB" w:eastAsia="ja-JP"/>
        </w:rPr>
        <w:t>In: del HOYO J, ELLIOTT A, SARGATAL J, CHRISTIE DA and de JUANA E (eds) </w:t>
      </w:r>
      <w:r w:rsidRPr="00C96521">
        <w:rPr>
          <w:rFonts w:eastAsia="MS Mincho" w:cs="Arial"/>
          <w:i/>
          <w:szCs w:val="18"/>
          <w:lang w:val="en-GB" w:eastAsia="ja-JP"/>
        </w:rPr>
        <w:t>Handbook of the Birds of the World</w:t>
      </w:r>
      <w:r w:rsidRPr="00C96521">
        <w:rPr>
          <w:rFonts w:eastAsia="MS Mincho" w:cs="Arial"/>
          <w:szCs w:val="18"/>
          <w:lang w:val="en-GB" w:eastAsia="ja-JP"/>
        </w:rPr>
        <w:t>. Lynx Edicions, Barcelona.</w:t>
      </w:r>
    </w:p>
    <w:p w14:paraId="7A865609"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E9F7EC0"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BARLOW C, WACHER T and DISLEY T (1997)</w:t>
      </w:r>
      <w:r w:rsidRPr="00C96521">
        <w:rPr>
          <w:rFonts w:eastAsia="MS Mincho" w:cs="Arial"/>
          <w:szCs w:val="18"/>
          <w:lang w:val="en-GB" w:eastAsia="ja-JP"/>
        </w:rPr>
        <w:t xml:space="preserve"> </w:t>
      </w:r>
      <w:r w:rsidRPr="00C96521">
        <w:rPr>
          <w:rFonts w:eastAsia="MS Mincho" w:cs="Arial"/>
          <w:i/>
          <w:szCs w:val="18"/>
          <w:lang w:val="en-GB" w:eastAsia="ja-JP"/>
        </w:rPr>
        <w:t>A Field Guide to Birds of The Gambia and Senegal</w:t>
      </w:r>
      <w:r w:rsidRPr="00C96521">
        <w:rPr>
          <w:rFonts w:eastAsia="MS Mincho" w:cs="Arial"/>
          <w:szCs w:val="18"/>
          <w:lang w:val="en-GB" w:eastAsia="ja-JP"/>
        </w:rPr>
        <w:t xml:space="preserve">. Pica Press, Robertsbridge. </w:t>
      </w:r>
    </w:p>
    <w:p w14:paraId="17CE3962"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D7C2FD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BARR CJ and GILLESPIE MK (2000)</w:t>
      </w:r>
      <w:r w:rsidRPr="00C96521">
        <w:rPr>
          <w:rFonts w:eastAsia="MS Mincho" w:cs="Arial"/>
          <w:szCs w:val="18"/>
          <w:lang w:val="en-GB" w:eastAsia="ja-JP"/>
        </w:rPr>
        <w:t xml:space="preserve"> Estimating hedgerow length and pattern characteristics in Great Britain using Countryside Survey data. </w:t>
      </w:r>
      <w:r w:rsidRPr="00C96521">
        <w:rPr>
          <w:rFonts w:eastAsia="MS Mincho" w:cs="Arial"/>
          <w:i/>
          <w:iCs/>
          <w:szCs w:val="18"/>
          <w:lang w:val="en-GB" w:eastAsia="ja-JP"/>
        </w:rPr>
        <w:t>Journal of Environmental Management</w:t>
      </w:r>
      <w:r w:rsidRPr="00C96521">
        <w:rPr>
          <w:rFonts w:eastAsia="MS Mincho" w:cs="Arial"/>
          <w:szCs w:val="18"/>
          <w:lang w:val="en-GB" w:eastAsia="ja-JP"/>
        </w:rPr>
        <w:t xml:space="preserve"> 60: 23-32</w:t>
      </w:r>
    </w:p>
    <w:p w14:paraId="0043BFF2"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422757E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BARLOW C, WACHER T and DISLEY T (1997) </w:t>
      </w:r>
      <w:r w:rsidRPr="00C96521">
        <w:rPr>
          <w:rFonts w:eastAsia="MS Mincho" w:cs="Arial"/>
          <w:i/>
          <w:szCs w:val="18"/>
          <w:lang w:val="en-GB" w:eastAsia="ja-JP"/>
        </w:rPr>
        <w:t>A Field Guide to Birds of The Gambia and Senegal</w:t>
      </w:r>
      <w:r w:rsidRPr="00C96521">
        <w:rPr>
          <w:rFonts w:eastAsia="MS Mincho" w:cs="Arial"/>
          <w:szCs w:val="18"/>
          <w:lang w:val="en-GB" w:eastAsia="ja-JP"/>
        </w:rPr>
        <w:t>. Pica Press, Robertsbridge.</w:t>
      </w:r>
    </w:p>
    <w:p w14:paraId="7A64A444"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1FEC16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BATUMI RAPTOR COUNT (2015 onwards</w:t>
      </w:r>
      <w:r w:rsidRPr="00C96521">
        <w:rPr>
          <w:rFonts w:eastAsia="MS Mincho" w:cs="Arial"/>
          <w:szCs w:val="18"/>
          <w:lang w:val="en-GB" w:eastAsia="ja-JP"/>
        </w:rPr>
        <w:t xml:space="preserve">) </w:t>
      </w:r>
      <w:hyperlink r:id="rId55" w:history="1">
        <w:r w:rsidRPr="00C96521">
          <w:rPr>
            <w:rFonts w:eastAsia="MS Mincho" w:cs="Arial"/>
            <w:szCs w:val="18"/>
            <w:lang w:val="en-GB" w:eastAsia="ja-JP"/>
          </w:rPr>
          <w:t>http://www.batumiraptorcount.org/raptor-migration/migration-count-data</w:t>
        </w:r>
      </w:hyperlink>
      <w:r w:rsidRPr="00C96521">
        <w:rPr>
          <w:rFonts w:eastAsia="MS Mincho" w:cs="Arial"/>
          <w:szCs w:val="18"/>
          <w:lang w:val="en-GB" w:eastAsia="ja-JP"/>
        </w:rPr>
        <w:t xml:space="preserve"> (last accessed 24th October 2016).</w:t>
      </w:r>
    </w:p>
    <w:p w14:paraId="254DB009"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066FE2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BELIK VP (2005)</w:t>
      </w:r>
      <w:r w:rsidRPr="00C96521">
        <w:rPr>
          <w:rFonts w:eastAsia="MS Mincho" w:cs="Arial"/>
          <w:szCs w:val="18"/>
          <w:lang w:val="en-GB" w:eastAsia="ja-JP"/>
        </w:rPr>
        <w:t xml:space="preserve"> Cadastre of breeding avifauna of South Russia. </w:t>
      </w:r>
      <w:r w:rsidRPr="00C96521">
        <w:rPr>
          <w:rFonts w:eastAsia="MS Mincho" w:cs="Arial"/>
          <w:i/>
          <w:szCs w:val="18"/>
          <w:lang w:val="en-GB" w:eastAsia="ja-JP"/>
        </w:rPr>
        <w:t>Strepet</w:t>
      </w:r>
      <w:r w:rsidRPr="00C96521">
        <w:rPr>
          <w:rFonts w:eastAsia="MS Mincho" w:cs="Arial"/>
          <w:szCs w:val="18"/>
          <w:lang w:val="en-GB" w:eastAsia="ja-JP"/>
        </w:rPr>
        <w:t xml:space="preserve"> 3 (1-2): 5-37. [in Russian]</w:t>
      </w:r>
    </w:p>
    <w:p w14:paraId="7A31B19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 xml:space="preserve">BELIK VP (2014) </w:t>
      </w:r>
      <w:r w:rsidRPr="00C96521">
        <w:rPr>
          <w:rFonts w:eastAsia="MS Mincho" w:cs="Arial"/>
          <w:szCs w:val="18"/>
          <w:lang w:val="en-GB" w:eastAsia="ja-JP"/>
        </w:rPr>
        <w:t xml:space="preserve">Woodpigeon and turtle-dove in the steppes of Don basin. </w:t>
      </w:r>
      <w:r w:rsidRPr="00C96521">
        <w:rPr>
          <w:rFonts w:eastAsia="MS Mincho" w:cs="Arial"/>
          <w:i/>
          <w:szCs w:val="18"/>
          <w:lang w:val="en-GB" w:eastAsia="ja-JP"/>
        </w:rPr>
        <w:t>Caucasian Ornithological Bulletin 5</w:t>
      </w:r>
      <w:r w:rsidRPr="00C96521">
        <w:rPr>
          <w:rFonts w:eastAsia="MS Mincho" w:cs="Arial"/>
          <w:szCs w:val="18"/>
          <w:lang w:val="en-GB" w:eastAsia="ja-JP"/>
        </w:rPr>
        <w:t>: 14-42. [in Russian]</w:t>
      </w:r>
    </w:p>
    <w:p w14:paraId="5F77560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02D53B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 xml:space="preserve">BELIK VP, POLIVANOV VM, TILBA PA, DZHAMIRZOEV GS, MUZAEV VM, BUKREEVA OM, RUSANOV GM, REUTSKIY ND, MOSEJKIN VN, CHERNOBAY VF, KHOKHLOV AN, IL’YKH MP, MNATSEKANOV RA and KOMAROVA YU E (2003) </w:t>
      </w:r>
      <w:r w:rsidRPr="00C96521">
        <w:rPr>
          <w:rFonts w:eastAsia="MS Mincho" w:cs="Arial"/>
          <w:szCs w:val="18"/>
          <w:lang w:val="en-GB" w:eastAsia="ja-JP"/>
        </w:rPr>
        <w:t xml:space="preserve">Recent population trends of breeding birds in the Southern Russia. – </w:t>
      </w:r>
      <w:r w:rsidRPr="00C96521">
        <w:rPr>
          <w:rFonts w:eastAsia="MS Mincho" w:cs="Arial"/>
          <w:i/>
          <w:szCs w:val="18"/>
          <w:lang w:val="en-GB" w:eastAsia="ja-JP"/>
        </w:rPr>
        <w:t>Strepet</w:t>
      </w:r>
      <w:r w:rsidRPr="00C96521">
        <w:rPr>
          <w:rFonts w:eastAsia="MS Mincho" w:cs="Arial"/>
          <w:szCs w:val="18"/>
          <w:lang w:val="en-GB" w:eastAsia="ja-JP"/>
        </w:rPr>
        <w:t xml:space="preserve"> 1: 10-30. [in Russian]</w:t>
      </w:r>
    </w:p>
    <w:p w14:paraId="65F089C3"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7E1DD3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BIODIVERSITE WALLONIE (2016)</w:t>
      </w:r>
      <w:r w:rsidRPr="00C96521">
        <w:rPr>
          <w:rFonts w:eastAsia="MS Mincho" w:cs="Arial"/>
          <w:szCs w:val="18"/>
          <w:lang w:val="en-GB" w:eastAsia="ja-JP"/>
        </w:rPr>
        <w:t xml:space="preserve"> </w:t>
      </w:r>
      <w:r w:rsidRPr="00C96521">
        <w:rPr>
          <w:rFonts w:eastAsia="MS Mincho" w:cs="Arial"/>
          <w:i/>
          <w:szCs w:val="18"/>
          <w:lang w:val="en-GB" w:eastAsia="ja-JP"/>
        </w:rPr>
        <w:t>Tourterelle des bois (</w:t>
      </w:r>
      <w:r w:rsidRPr="00C96521">
        <w:rPr>
          <w:rFonts w:eastAsia="MS Mincho" w:cs="Arial"/>
          <w:szCs w:val="18"/>
          <w:lang w:val="en-GB" w:eastAsia="ja-JP"/>
        </w:rPr>
        <w:t>Streptopelia turtur</w:t>
      </w:r>
      <w:r w:rsidRPr="00C96521">
        <w:rPr>
          <w:rFonts w:eastAsia="MS Mincho" w:cs="Arial"/>
          <w:i/>
          <w:szCs w:val="18"/>
          <w:lang w:val="en-GB" w:eastAsia="ja-JP"/>
        </w:rPr>
        <w:t>)</w:t>
      </w:r>
      <w:r w:rsidRPr="00C96521">
        <w:rPr>
          <w:rFonts w:eastAsia="MS Mincho" w:cs="Arial"/>
          <w:szCs w:val="18"/>
          <w:lang w:val="en-GB" w:eastAsia="ja-JP"/>
        </w:rPr>
        <w:t xml:space="preserve"> http://biodiversite.wallonie.be/fr/streptopelia-turtur.html?IDD=50334168&amp;IDC=310 (last accessed 28</w:t>
      </w:r>
      <w:r w:rsidRPr="00C96521">
        <w:rPr>
          <w:rFonts w:eastAsia="MS Mincho" w:cs="Arial"/>
          <w:szCs w:val="18"/>
          <w:vertAlign w:val="superscript"/>
          <w:lang w:val="en-GB" w:eastAsia="ja-JP"/>
        </w:rPr>
        <w:t>th</w:t>
      </w:r>
      <w:r w:rsidRPr="00C96521">
        <w:rPr>
          <w:rFonts w:eastAsia="MS Mincho" w:cs="Arial"/>
          <w:szCs w:val="18"/>
          <w:lang w:val="en-GB" w:eastAsia="ja-JP"/>
        </w:rPr>
        <w:t xml:space="preserve"> October 2016)</w:t>
      </w:r>
    </w:p>
    <w:p w14:paraId="0EF0C4B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5B6DD9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CYPRUS (2016)</w:t>
      </w:r>
      <w:r w:rsidRPr="00C96521">
        <w:rPr>
          <w:rFonts w:eastAsia="MS Mincho" w:cs="Arial"/>
          <w:szCs w:val="18"/>
          <w:lang w:val="en-GB" w:eastAsia="ja-JP"/>
        </w:rPr>
        <w:t xml:space="preserve"> BirdLife Cyprus note regarding the consultation on the proposed amendments to the Protection and Management of Wild Birds and Game Law Ν.152(Ι)/2003 [Letter written September 2, 2016 to Head of the Game and Fauna Service, Mr Pantelis Hadjiyerou]. http://www.birdlifecyprus.org/upload/2016_09_02_BirdLifeCyprusletter_Consultation_Huntinglawproposal_Final.pdf (last accessed 2</w:t>
      </w:r>
      <w:r w:rsidRPr="00C96521">
        <w:rPr>
          <w:rFonts w:eastAsia="MS Mincho" w:cs="Arial"/>
          <w:szCs w:val="18"/>
          <w:vertAlign w:val="superscript"/>
          <w:lang w:val="en-GB" w:eastAsia="ja-JP"/>
        </w:rPr>
        <w:t>nd</w:t>
      </w:r>
      <w:r w:rsidRPr="00C96521">
        <w:rPr>
          <w:rFonts w:eastAsia="MS Mincho" w:cs="Arial"/>
          <w:szCs w:val="18"/>
          <w:lang w:val="en-GB" w:eastAsia="ja-JP"/>
        </w:rPr>
        <w:t xml:space="preserve"> December 2016).</w:t>
      </w:r>
    </w:p>
    <w:p w14:paraId="135EFC03"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DF6CDF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(2004)</w:t>
      </w:r>
      <w:r w:rsidRPr="00C96521">
        <w:rPr>
          <w:rFonts w:eastAsia="MS Mincho" w:cs="Arial"/>
          <w:bCs/>
          <w:szCs w:val="18"/>
          <w:lang w:val="en-GB" w:eastAsia="ja-JP"/>
        </w:rPr>
        <w:t xml:space="preserve"> </w:t>
      </w:r>
      <w:r w:rsidRPr="00C96521">
        <w:rPr>
          <w:rFonts w:eastAsia="MS Mincho" w:cs="Arial"/>
          <w:i/>
          <w:szCs w:val="18"/>
          <w:lang w:val="en-GB" w:eastAsia="ja-JP"/>
        </w:rPr>
        <w:t>Birds in Europe: population estimates, trends and conservation status</w:t>
      </w:r>
      <w:r w:rsidRPr="00C96521">
        <w:rPr>
          <w:rFonts w:eastAsia="MS Mincho" w:cs="Arial"/>
          <w:szCs w:val="18"/>
          <w:lang w:val="en-GB" w:eastAsia="ja-JP"/>
        </w:rPr>
        <w:t xml:space="preserve">. </w:t>
      </w:r>
      <w:r w:rsidRPr="00C96521">
        <w:rPr>
          <w:rFonts w:eastAsia="MS Mincho" w:cs="Arial"/>
          <w:i/>
          <w:iCs/>
          <w:szCs w:val="18"/>
          <w:lang w:val="en-GB" w:eastAsia="ja-JP"/>
        </w:rPr>
        <w:t>BirdLife Conservation series</w:t>
      </w:r>
      <w:r w:rsidRPr="00C96521">
        <w:rPr>
          <w:rFonts w:eastAsia="MS Mincho" w:cs="Arial"/>
          <w:i/>
          <w:szCs w:val="18"/>
          <w:lang w:val="en-GB" w:eastAsia="ja-JP"/>
        </w:rPr>
        <w:t xml:space="preserve"> 12</w:t>
      </w:r>
      <w:r w:rsidRPr="00C96521">
        <w:rPr>
          <w:rFonts w:eastAsia="MS Mincho" w:cs="Arial"/>
          <w:szCs w:val="18"/>
          <w:lang w:val="en-GB" w:eastAsia="ja-JP"/>
        </w:rPr>
        <w:t>. BirdLife International, Cambridge.</w:t>
      </w:r>
    </w:p>
    <w:p w14:paraId="4049470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63631B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(2014a)</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Albania.</w:t>
      </w:r>
      <w:r w:rsidRPr="00C96521">
        <w:rPr>
          <w:rFonts w:eastAsia="MS Mincho" w:cs="Arial"/>
          <w:szCs w:val="18"/>
          <w:lang w:val="en-GB" w:eastAsia="ja-JP"/>
        </w:rPr>
        <w:t xml:space="preserve"> http://datazone.birdlife.org/userfiles/file/hunting/HuntingRegulations_Albania.pdf (last accessed 25th November 2016).</w:t>
      </w:r>
    </w:p>
    <w:p w14:paraId="781DAAA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528572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(2014b)</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Bosnia-Herzegovina.</w:t>
      </w:r>
      <w:r w:rsidRPr="00C96521">
        <w:rPr>
          <w:rFonts w:eastAsia="MS Mincho" w:cs="Arial"/>
          <w:szCs w:val="18"/>
          <w:lang w:val="en-GB" w:eastAsia="ja-JP"/>
        </w:rPr>
        <w:t xml:space="preserve"> http://datazone.birdlife.org/userfiles/file/hunting/HuntingRegulations_Bosnia.pdf (last accessed 25th November 2016).</w:t>
      </w:r>
    </w:p>
    <w:p w14:paraId="17A36914"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302E0C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(2014c)</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Egypt.</w:t>
      </w:r>
      <w:r w:rsidRPr="00C96521">
        <w:rPr>
          <w:rFonts w:eastAsia="MS Mincho" w:cs="Arial"/>
          <w:szCs w:val="18"/>
          <w:lang w:val="en-GB" w:eastAsia="ja-JP"/>
        </w:rPr>
        <w:t xml:space="preserve"> http://datazone.birdlife.org/userfiles/file/hunting/HuntingRegulations_Egypt.pdf (last accessed 25th November 2016).</w:t>
      </w:r>
    </w:p>
    <w:p w14:paraId="5077360C"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86143E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(2014d)</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Israel.</w:t>
      </w:r>
      <w:r w:rsidRPr="00C96521">
        <w:rPr>
          <w:rFonts w:eastAsia="MS Mincho" w:cs="Arial"/>
          <w:szCs w:val="18"/>
          <w:lang w:val="en-GB" w:eastAsia="ja-JP"/>
        </w:rPr>
        <w:t xml:space="preserve"> http://datazone.birdlife.org/userfiles/file/hunting/HuntingRegulations_Israel.pdf (last accessed 25th November 2016).</w:t>
      </w:r>
    </w:p>
    <w:p w14:paraId="1676AAB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180185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(2014e)</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Lebanon.</w:t>
      </w:r>
      <w:r w:rsidRPr="00C96521">
        <w:rPr>
          <w:rFonts w:eastAsia="MS Mincho" w:cs="Arial"/>
          <w:szCs w:val="18"/>
          <w:lang w:val="en-GB" w:eastAsia="ja-JP"/>
        </w:rPr>
        <w:t xml:space="preserve"> http://datazone.birdlife.org/userfiles/file/hunting/HuntingRegulations_Lebanon.pdf (last accessed 25th November 2016).</w:t>
      </w:r>
    </w:p>
    <w:p w14:paraId="0A3327CA"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78A23D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(2014f)</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Libya.</w:t>
      </w:r>
      <w:r w:rsidRPr="00C96521">
        <w:rPr>
          <w:rFonts w:eastAsia="MS Mincho" w:cs="Arial"/>
          <w:szCs w:val="18"/>
          <w:lang w:val="en-GB" w:eastAsia="ja-JP"/>
        </w:rPr>
        <w:t xml:space="preserve"> http://datazone.birdlife.org/userfiles/file/hunting/HuntingRegulations_Libya.pdf (last accessed 25th November 2016).</w:t>
      </w:r>
    </w:p>
    <w:p w14:paraId="398E8098"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AE8209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(2014g)</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Macedonia.</w:t>
      </w:r>
      <w:r w:rsidRPr="00C96521">
        <w:rPr>
          <w:rFonts w:eastAsia="MS Mincho" w:cs="Arial"/>
          <w:szCs w:val="18"/>
          <w:lang w:val="en-GB" w:eastAsia="ja-JP"/>
        </w:rPr>
        <w:t xml:space="preserve"> http://datazone.birdlife.org/userfiles/file/hunting/HuntingRegulations_Macedonia.pdf (last accessed 25th November 2016).</w:t>
      </w:r>
    </w:p>
    <w:p w14:paraId="2637CEE6"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609194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(2014h)</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Montenegro.</w:t>
      </w:r>
      <w:r w:rsidRPr="00C96521">
        <w:rPr>
          <w:rFonts w:eastAsia="MS Mincho" w:cs="Arial"/>
          <w:szCs w:val="18"/>
          <w:lang w:val="en-GB" w:eastAsia="ja-JP"/>
        </w:rPr>
        <w:t xml:space="preserve"> http://datazone.birdlife.org/userfiles/file/hunting/HuntingRegulations_Montenegro.pdf (last accessed 25th November 2016).</w:t>
      </w:r>
    </w:p>
    <w:p w14:paraId="661CB7AD"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6BF48B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(2014i)</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Morocco.</w:t>
      </w:r>
      <w:r w:rsidRPr="00C96521">
        <w:rPr>
          <w:rFonts w:eastAsia="MS Mincho" w:cs="Arial"/>
          <w:szCs w:val="18"/>
          <w:lang w:val="en-GB" w:eastAsia="ja-JP"/>
        </w:rPr>
        <w:t xml:space="preserve"> http://datazone.birdlife.org/userfiles/file/hunting/HuntingRegulations_Morocco.pdf (last accessed 25th November 2016).</w:t>
      </w:r>
    </w:p>
    <w:p w14:paraId="2356027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5A8F1C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(2014j)</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Palestine.</w:t>
      </w:r>
      <w:r w:rsidRPr="00C96521">
        <w:rPr>
          <w:rFonts w:eastAsia="MS Mincho" w:cs="Arial"/>
          <w:szCs w:val="18"/>
          <w:lang w:val="en-GB" w:eastAsia="ja-JP"/>
        </w:rPr>
        <w:t xml:space="preserve"> http://datazone.birdlife.org/userfiles/file/hunting/HuntingRegulations_Palestine.pdf (last accessed 8th December 2016).</w:t>
      </w:r>
    </w:p>
    <w:p w14:paraId="2D507719"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2F5D41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lastRenderedPageBreak/>
        <w:t>BIRDLIFE INTERNATIONAL (2014k)</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Serbia.</w:t>
      </w:r>
      <w:r w:rsidRPr="00C96521">
        <w:rPr>
          <w:rFonts w:eastAsia="MS Mincho" w:cs="Arial"/>
          <w:szCs w:val="18"/>
          <w:lang w:val="en-GB" w:eastAsia="ja-JP"/>
        </w:rPr>
        <w:t xml:space="preserve"> http://datazone.birdlife.org/userfiles/file/hunting/HuntingRegulations_Serbia.pdf (last accessed 25th November 2016).</w:t>
      </w:r>
    </w:p>
    <w:p w14:paraId="2BD59626"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BEE00F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(2014l)</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Syria.</w:t>
      </w:r>
      <w:r w:rsidRPr="00C96521">
        <w:rPr>
          <w:rFonts w:eastAsia="MS Mincho" w:cs="Arial"/>
          <w:szCs w:val="18"/>
          <w:lang w:val="en-GB" w:eastAsia="ja-JP"/>
        </w:rPr>
        <w:t xml:space="preserve"> http://datazone.birdlife.org/userfiles/file/hunting/HuntingRegulations_Syria.pdf (last accessed 25th November 2016).</w:t>
      </w:r>
    </w:p>
    <w:p w14:paraId="34A7769E"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77E6D6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(2014m)</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Tunisia.</w:t>
      </w:r>
      <w:r w:rsidRPr="00C96521">
        <w:rPr>
          <w:rFonts w:eastAsia="MS Mincho" w:cs="Arial"/>
          <w:szCs w:val="18"/>
          <w:lang w:val="en-GB" w:eastAsia="ja-JP"/>
        </w:rPr>
        <w:t xml:space="preserve"> http://datazone.birdlife.org/userfiles/file/hunting/HuntingRegulations_Tunisia.pdf (last accessed 25th November 2016).</w:t>
      </w:r>
    </w:p>
    <w:p w14:paraId="6837F8BC"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464E28D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(2014n)</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Turkey.</w:t>
      </w:r>
      <w:r w:rsidRPr="00C96521">
        <w:rPr>
          <w:rFonts w:eastAsia="MS Mincho" w:cs="Arial"/>
          <w:szCs w:val="18"/>
          <w:lang w:val="en-GB" w:eastAsia="ja-JP"/>
        </w:rPr>
        <w:t xml:space="preserve"> http://datazone.birdlife.org/userfiles/file/hunting/HuntingRegulations_Turkey.pdf (last accessed 25th November 2016).</w:t>
      </w:r>
    </w:p>
    <w:p w14:paraId="3F8203E5"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9DC33B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BIRDLIFE INTERNATIONAL (2015)</w:t>
      </w:r>
      <w:r w:rsidRPr="00C96521">
        <w:rPr>
          <w:rFonts w:eastAsia="MS Mincho" w:cs="Arial"/>
          <w:szCs w:val="18"/>
          <w:lang w:val="en-GB" w:eastAsia="ja-JP"/>
        </w:rPr>
        <w:t xml:space="preserve">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European Red List of Birds</w:t>
      </w:r>
      <w:r w:rsidRPr="00C96521">
        <w:rPr>
          <w:rFonts w:eastAsia="MS Mincho" w:cs="Arial"/>
          <w:szCs w:val="18"/>
          <w:lang w:val="en-GB" w:eastAsia="ja-JP"/>
        </w:rPr>
        <w:t>. Office for Official Publications of the European Communities, Luxembourg. http://www.iucnredlist.org/details/22690419/1 (last accessed 29th November 2016).</w:t>
      </w:r>
    </w:p>
    <w:p w14:paraId="0FB8F74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5F34C1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BIRDLIFE INTERNATIONAL (2016)</w:t>
      </w:r>
      <w:r w:rsidRPr="00C96521">
        <w:rPr>
          <w:rFonts w:eastAsia="MS Mincho" w:cs="Arial"/>
          <w:szCs w:val="18"/>
          <w:lang w:val="en-GB" w:eastAsia="ja-JP"/>
        </w:rPr>
        <w:t xml:space="preserve"> </w:t>
      </w:r>
      <w:r w:rsidRPr="00C96521">
        <w:rPr>
          <w:rFonts w:eastAsia="MS Mincho" w:cs="Arial"/>
          <w:i/>
          <w:szCs w:val="18"/>
          <w:lang w:val="en-GB" w:eastAsia="ja-JP"/>
        </w:rPr>
        <w:t xml:space="preserve">Data Zone factsheet for Turtle-dove </w:t>
      </w:r>
      <w:r w:rsidRPr="00C96521">
        <w:rPr>
          <w:rFonts w:eastAsia="MS Mincho" w:cs="Arial"/>
          <w:szCs w:val="18"/>
          <w:lang w:val="en-GB" w:eastAsia="ja-JP"/>
        </w:rPr>
        <w:t>Streptopelia turtur</w:t>
      </w:r>
      <w:r w:rsidRPr="00C96521">
        <w:rPr>
          <w:rFonts w:eastAsia="MS Mincho" w:cs="Arial"/>
          <w:i/>
          <w:szCs w:val="18"/>
          <w:lang w:val="en-GB" w:eastAsia="ja-JP"/>
        </w:rPr>
        <w:t>.</w:t>
      </w:r>
      <w:r w:rsidRPr="00C96521">
        <w:rPr>
          <w:rFonts w:eastAsia="MS Mincho" w:cs="Arial"/>
          <w:szCs w:val="18"/>
          <w:lang w:val="en-GB" w:eastAsia="ja-JP"/>
        </w:rPr>
        <w:t xml:space="preserve"> http://www.birdlife.org/datazone/species/factsheet/22690419 (last accessed 5th September 2016).</w:t>
      </w:r>
    </w:p>
    <w:p w14:paraId="21BBCEE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CFD29A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BOUTIN JM (2001)</w:t>
      </w:r>
      <w:r w:rsidRPr="00C96521">
        <w:rPr>
          <w:rFonts w:eastAsia="MS Mincho" w:cs="Arial"/>
          <w:bCs/>
          <w:szCs w:val="18"/>
          <w:lang w:val="en-GB" w:eastAsia="ja-JP"/>
        </w:rPr>
        <w:t xml:space="preserve"> </w:t>
      </w:r>
      <w:r w:rsidRPr="00C96521">
        <w:rPr>
          <w:rFonts w:eastAsia="MS Mincho" w:cs="Arial"/>
          <w:szCs w:val="18"/>
          <w:lang w:val="en-GB" w:eastAsia="ja-JP"/>
        </w:rPr>
        <w:t>Elements for a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management plan. </w:t>
      </w:r>
      <w:r w:rsidRPr="00C96521">
        <w:rPr>
          <w:rFonts w:eastAsia="MS Mincho" w:cs="Arial"/>
          <w:i/>
          <w:iCs/>
          <w:szCs w:val="18"/>
          <w:lang w:val="en-GB" w:eastAsia="ja-JP"/>
        </w:rPr>
        <w:t xml:space="preserve">Game and Wildlife Science </w:t>
      </w:r>
      <w:r w:rsidRPr="00C96521">
        <w:rPr>
          <w:rFonts w:eastAsia="MS Mincho" w:cs="Arial"/>
          <w:szCs w:val="18"/>
          <w:lang w:val="en-GB" w:eastAsia="ja-JP"/>
        </w:rPr>
        <w:t>18: 87-112.</w:t>
      </w:r>
    </w:p>
    <w:p w14:paraId="57335B7B"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684974E4"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fr-FR" w:eastAsia="ja-JP"/>
        </w:rPr>
        <w:t>BOUTIN JM, BARBIER L and ROUX D (2001)</w:t>
      </w:r>
      <w:r w:rsidRPr="00890F11">
        <w:rPr>
          <w:rFonts w:eastAsia="MS Mincho" w:cs="Arial"/>
          <w:szCs w:val="18"/>
          <w:lang w:val="fr-FR" w:eastAsia="ja-JP"/>
        </w:rPr>
        <w:t xml:space="preserve"> Suivi des effectifs nicheurs d’Alaudidés, Colombidés et Turdidés en France: le programme ACT. </w:t>
      </w:r>
      <w:r w:rsidRPr="00890F11">
        <w:rPr>
          <w:rFonts w:eastAsia="MS Mincho" w:cs="Arial"/>
          <w:i/>
          <w:iCs/>
          <w:szCs w:val="18"/>
          <w:lang w:val="fr-FR" w:eastAsia="ja-JP"/>
        </w:rPr>
        <w:t xml:space="preserve">Alauda </w:t>
      </w:r>
      <w:r w:rsidRPr="00890F11">
        <w:rPr>
          <w:rFonts w:eastAsia="MS Mincho" w:cs="Arial"/>
          <w:szCs w:val="18"/>
          <w:lang w:val="fr-FR" w:eastAsia="ja-JP"/>
        </w:rPr>
        <w:t>69(1): 53-61.</w:t>
      </w:r>
    </w:p>
    <w:p w14:paraId="65164EA7"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23D4583A" w14:textId="77777777" w:rsidR="00C96521" w:rsidRPr="008C00B8"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BOUTIN JM and TESSON JL (2000)</w:t>
      </w:r>
      <w:r w:rsidRPr="00890F11">
        <w:rPr>
          <w:rFonts w:eastAsia="MS Mincho" w:cs="Arial"/>
          <w:szCs w:val="18"/>
          <w:lang w:val="fr-FR" w:eastAsia="ja-JP"/>
        </w:rPr>
        <w:t xml:space="preserve"> La tourterelle des bois et la tourterelle turque. In: </w:t>
      </w:r>
      <w:r w:rsidRPr="00890F11">
        <w:rPr>
          <w:rFonts w:eastAsia="MS Mincho" w:cs="Arial"/>
          <w:i/>
          <w:szCs w:val="18"/>
          <w:lang w:val="fr-FR" w:eastAsia="ja-JP"/>
        </w:rPr>
        <w:t>Enquête nationale sur les tableaux de chasse à tir – Saison 1998/1999</w:t>
      </w:r>
      <w:r w:rsidRPr="00890F11">
        <w:rPr>
          <w:rFonts w:eastAsia="MS Mincho" w:cs="Arial"/>
          <w:szCs w:val="18"/>
          <w:lang w:val="fr-FR" w:eastAsia="ja-JP"/>
        </w:rPr>
        <w:t xml:space="preserve">. </w:t>
      </w:r>
      <w:r w:rsidRPr="008C00B8">
        <w:rPr>
          <w:rFonts w:eastAsia="MS Mincho" w:cs="Arial"/>
          <w:i/>
          <w:szCs w:val="18"/>
          <w:lang w:val="fr-FR" w:eastAsia="ja-JP"/>
        </w:rPr>
        <w:t>Faune Sauvage Cahiers Techniques</w:t>
      </w:r>
      <w:r w:rsidRPr="008C00B8">
        <w:rPr>
          <w:rFonts w:eastAsia="MS Mincho" w:cs="Arial"/>
          <w:szCs w:val="18"/>
          <w:lang w:val="fr-FR" w:eastAsia="ja-JP"/>
        </w:rPr>
        <w:t xml:space="preserve"> 251. pp 70-81.</w:t>
      </w:r>
    </w:p>
    <w:p w14:paraId="244970B4" w14:textId="77777777" w:rsidR="00C96521" w:rsidRPr="008C00B8" w:rsidRDefault="00C96521" w:rsidP="00C96521">
      <w:pPr>
        <w:widowControl/>
        <w:autoSpaceDE/>
        <w:autoSpaceDN/>
        <w:adjustRightInd/>
        <w:spacing w:line="276" w:lineRule="auto"/>
        <w:rPr>
          <w:rFonts w:eastAsia="MS Mincho" w:cs="Arial"/>
          <w:szCs w:val="18"/>
          <w:lang w:val="fr-FR" w:eastAsia="ja-JP"/>
        </w:rPr>
      </w:pPr>
    </w:p>
    <w:p w14:paraId="307575BE" w14:textId="77777777" w:rsidR="00C96521" w:rsidRPr="008C00B8" w:rsidRDefault="00C96521" w:rsidP="00C96521">
      <w:pPr>
        <w:widowControl/>
        <w:autoSpaceDE/>
        <w:autoSpaceDN/>
        <w:adjustRightInd/>
        <w:spacing w:line="276" w:lineRule="auto"/>
        <w:rPr>
          <w:rFonts w:eastAsia="MS Mincho" w:cs="Arial"/>
          <w:szCs w:val="18"/>
          <w:lang w:val="fr-FR" w:eastAsia="ja-JP"/>
        </w:rPr>
      </w:pPr>
      <w:r w:rsidRPr="008C00B8">
        <w:rPr>
          <w:rFonts w:eastAsia="MS Mincho" w:cs="Arial"/>
          <w:b/>
          <w:szCs w:val="18"/>
          <w:lang w:val="fr-FR" w:eastAsia="ja-JP"/>
        </w:rPr>
        <w:t>BRICHETTI P and FRACASSO G (2006)</w:t>
      </w:r>
      <w:r w:rsidRPr="008C00B8">
        <w:rPr>
          <w:rFonts w:eastAsia="MS Mincho" w:cs="Arial"/>
          <w:szCs w:val="18"/>
          <w:lang w:val="fr-FR" w:eastAsia="ja-JP"/>
        </w:rPr>
        <w:t xml:space="preserve"> </w:t>
      </w:r>
      <w:r w:rsidRPr="008C00B8">
        <w:rPr>
          <w:rFonts w:eastAsia="MS Mincho" w:cs="Arial"/>
          <w:i/>
          <w:szCs w:val="18"/>
          <w:lang w:val="fr-FR" w:eastAsia="ja-JP"/>
        </w:rPr>
        <w:t>Ornitologia italiana. Vol. 3 – Stercorariidae-Caprimulgidae</w:t>
      </w:r>
      <w:r w:rsidRPr="008C00B8">
        <w:rPr>
          <w:rFonts w:eastAsia="MS Mincho" w:cs="Arial"/>
          <w:szCs w:val="18"/>
          <w:lang w:val="fr-FR" w:eastAsia="ja-JP"/>
        </w:rPr>
        <w:t>. Alberto Perdisa Editore, Bologna.</w:t>
      </w:r>
    </w:p>
    <w:p w14:paraId="2532D763" w14:textId="77777777" w:rsidR="00C96521" w:rsidRPr="008C00B8" w:rsidRDefault="00C96521" w:rsidP="00C96521">
      <w:pPr>
        <w:widowControl/>
        <w:autoSpaceDE/>
        <w:autoSpaceDN/>
        <w:adjustRightInd/>
        <w:spacing w:line="276" w:lineRule="auto"/>
        <w:rPr>
          <w:rFonts w:eastAsia="MS Mincho" w:cs="Arial"/>
          <w:szCs w:val="18"/>
          <w:lang w:val="fr-FR" w:eastAsia="ja-JP"/>
        </w:rPr>
      </w:pPr>
    </w:p>
    <w:p w14:paraId="2A7DB0E1"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 xml:space="preserve">BRIGHT JA, MORRIS AJ, FIELD RH, COOKE AI, GRICE PV, WALKER LK, FERN J and PEACH WJ (2015) </w:t>
      </w:r>
      <w:r w:rsidRPr="00C96521">
        <w:rPr>
          <w:rFonts w:eastAsia="MS Mincho" w:cs="Arial"/>
          <w:szCs w:val="18"/>
          <w:lang w:val="en-GB" w:eastAsia="ja-JP"/>
        </w:rPr>
        <w:t xml:space="preserve">Higher-tier Agri-Environment Scheme enhances breeding densities of some priority farmland birds in England. </w:t>
      </w:r>
      <w:r w:rsidRPr="00C96521">
        <w:rPr>
          <w:rFonts w:eastAsia="MS Mincho" w:cs="Arial"/>
          <w:i/>
          <w:szCs w:val="18"/>
          <w:lang w:val="en-GB" w:eastAsia="ja-JP"/>
        </w:rPr>
        <w:t>Agriculture, Ecosystems and Environment</w:t>
      </w:r>
      <w:r w:rsidRPr="00C96521">
        <w:rPr>
          <w:rFonts w:eastAsia="MS Mincho" w:cs="Arial"/>
          <w:szCs w:val="18"/>
          <w:lang w:val="en-GB" w:eastAsia="ja-JP"/>
        </w:rPr>
        <w:t xml:space="preserve"> 203: 69-79.</w:t>
      </w:r>
    </w:p>
    <w:p w14:paraId="32F77F4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BD9C07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van den BRINK H, van DIJK A, van OS B, and VENEMA P (1996)</w:t>
      </w:r>
      <w:r w:rsidRPr="00C96521">
        <w:rPr>
          <w:rFonts w:eastAsia="MS Mincho" w:cs="Arial"/>
          <w:szCs w:val="18"/>
          <w:lang w:val="en-GB" w:eastAsia="ja-JP"/>
        </w:rPr>
        <w:t xml:space="preserve"> </w:t>
      </w:r>
      <w:r w:rsidRPr="00C96521">
        <w:rPr>
          <w:rFonts w:eastAsia="MS Mincho" w:cs="Arial"/>
          <w:i/>
          <w:szCs w:val="18"/>
          <w:lang w:val="en-GB" w:eastAsia="ja-JP"/>
        </w:rPr>
        <w:t>Broedvogels van Drenthe</w:t>
      </w:r>
      <w:r w:rsidRPr="00C96521">
        <w:rPr>
          <w:rFonts w:eastAsia="MS Mincho" w:cs="Arial"/>
          <w:szCs w:val="18"/>
          <w:lang w:val="en-GB" w:eastAsia="ja-JP"/>
        </w:rPr>
        <w:t>. Van Gorcum, Assen.</w:t>
      </w:r>
    </w:p>
    <w:p w14:paraId="4BB8BB7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8FCAD35" w14:textId="77777777" w:rsidR="00C96521" w:rsidRPr="00C96521" w:rsidRDefault="00C96521" w:rsidP="00C96521">
      <w:pPr>
        <w:widowControl/>
        <w:autoSpaceDE/>
        <w:autoSpaceDN/>
        <w:adjustRightInd/>
        <w:spacing w:line="276" w:lineRule="auto"/>
        <w:rPr>
          <w:rFonts w:eastAsia="MS Mincho" w:cs="Arial"/>
          <w:color w:val="000000"/>
          <w:szCs w:val="18"/>
          <w:lang w:val="en-GB" w:eastAsia="ja-JP"/>
        </w:rPr>
      </w:pPr>
      <w:r w:rsidRPr="00C96521">
        <w:rPr>
          <w:rFonts w:eastAsia="MS Mincho" w:cs="Arial"/>
          <w:b/>
          <w:bCs/>
          <w:szCs w:val="18"/>
          <w:lang w:val="en-GB" w:eastAsia="ja-JP"/>
        </w:rPr>
        <w:t>BROCHET A-L, VAN DEN BOSSCHE W, JBOUR S, NDANG’ANG’A PK, JONES VR, ABDOU WALI, AL-HMOUD AR, ASSWAD NG, ATIENZA JC, ATRASH I, BARBARA N, BENSUSAN K, BINO T, CELADA C, CHERKAOUI SI, COSTA J, DECEUNINCK B, ETAYEB KS, FELTRUP-AZAFZAF C, FIGELJ J, GUSTIN M, KMECL P, KOCEVSKI V, KORBETI M, KOTROŠAN D, MULA LAGUNA J, LATTUADA M, LEITÃO D, LOPES P, LÓPEZ-JIMÉNEZ N, LUCIĆ V, MICOL T, MOALI A, PERLMAN Y, PILUDU N, PORTOLOU D, PUTILIN K, QUAINTENNE G, RAMADAN-JARADI G, RUŽIĆ M, SANDOR A, SARAJLI N, SAVELJIĆ D, SHELDON RD, SHIALIS T, TSIOPELAS N, VARGAS F, THOMPSON C, BRUNNER A, GRIMMETT R and BUTCHART SHM (2016)</w:t>
      </w:r>
      <w:r w:rsidRPr="00C96521">
        <w:rPr>
          <w:rFonts w:eastAsia="MS Mincho" w:cs="Arial"/>
          <w:color w:val="000000"/>
          <w:szCs w:val="18"/>
          <w:lang w:val="en-GB" w:eastAsia="ja-JP"/>
        </w:rPr>
        <w:t xml:space="preserve"> </w:t>
      </w:r>
      <w:r w:rsidRPr="00C96521">
        <w:rPr>
          <w:rFonts w:eastAsia="MS Mincho" w:cs="Arial"/>
          <w:szCs w:val="18"/>
          <w:lang w:val="en-GB" w:eastAsia="ja-JP"/>
        </w:rPr>
        <w:t>Preliminary assessment of the scope and scale of illegal killing and taking of birds in the Mediterranean, </w:t>
      </w:r>
      <w:r w:rsidRPr="00C96521">
        <w:rPr>
          <w:rFonts w:eastAsia="MS Mincho" w:cs="Arial"/>
          <w:i/>
          <w:szCs w:val="18"/>
          <w:lang w:val="en-GB" w:eastAsia="ja-JP"/>
        </w:rPr>
        <w:t>Bird Conservation International</w:t>
      </w:r>
      <w:r w:rsidRPr="00C96521">
        <w:rPr>
          <w:rFonts w:eastAsia="MS Mincho" w:cs="Arial"/>
          <w:szCs w:val="18"/>
          <w:lang w:val="en-GB" w:eastAsia="ja-JP"/>
        </w:rPr>
        <w:t xml:space="preserve"> 26(1): 1–28.</w:t>
      </w:r>
    </w:p>
    <w:p w14:paraId="608D9016"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1DD80E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 xml:space="preserve">BROUWER J (2014) </w:t>
      </w:r>
      <w:r w:rsidRPr="00C96521">
        <w:rPr>
          <w:rFonts w:eastAsia="MS Mincho" w:cs="Arial"/>
          <w:szCs w:val="18"/>
          <w:lang w:val="en-GB" w:eastAsia="ja-JP"/>
        </w:rPr>
        <w:t xml:space="preserve">Are the Most Valuable Resources in Dryland Areas Isolated Wetlands? </w:t>
      </w:r>
      <w:r w:rsidRPr="00C96521">
        <w:rPr>
          <w:rFonts w:eastAsia="MS Mincho" w:cs="Arial"/>
          <w:i/>
          <w:szCs w:val="18"/>
          <w:lang w:val="en-GB" w:eastAsia="ja-JP"/>
        </w:rPr>
        <w:t>Planet@Risk</w:t>
      </w:r>
      <w:r w:rsidRPr="00C96521">
        <w:rPr>
          <w:rFonts w:eastAsia="MS Mincho" w:cs="Arial"/>
          <w:szCs w:val="18"/>
          <w:lang w:val="en-GB" w:eastAsia="ja-JP"/>
        </w:rPr>
        <w:t xml:space="preserve"> 2(1): 47-56.</w:t>
      </w:r>
    </w:p>
    <w:p w14:paraId="19A7AAEA"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05489E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BROWNE SJ and AEBISCHER N (2003a)</w:t>
      </w:r>
      <w:r w:rsidRPr="00C96521">
        <w:rPr>
          <w:rFonts w:eastAsia="MS Mincho" w:cs="Arial"/>
          <w:bCs/>
          <w:szCs w:val="18"/>
          <w:lang w:val="en-GB" w:eastAsia="ja-JP"/>
        </w:rPr>
        <w:t xml:space="preserve"> </w:t>
      </w:r>
      <w:r w:rsidRPr="00C96521">
        <w:rPr>
          <w:rFonts w:eastAsia="MS Mincho" w:cs="Arial"/>
          <w:szCs w:val="18"/>
          <w:lang w:val="en-GB" w:eastAsia="ja-JP"/>
        </w:rPr>
        <w:t xml:space="preserve">Habitat use, foraging ecology and diet of Turtle-doves </w:t>
      </w:r>
      <w:r w:rsidRPr="00C96521">
        <w:rPr>
          <w:rFonts w:eastAsia="MS Mincho" w:cs="Arial"/>
          <w:i/>
          <w:iCs/>
          <w:szCs w:val="18"/>
          <w:lang w:val="en-GB" w:eastAsia="ja-JP"/>
        </w:rPr>
        <w:t xml:space="preserve">Streptopelia turtur </w:t>
      </w:r>
      <w:r w:rsidRPr="00C96521">
        <w:rPr>
          <w:rFonts w:eastAsia="MS Mincho" w:cs="Arial"/>
          <w:szCs w:val="18"/>
          <w:lang w:val="en-GB" w:eastAsia="ja-JP"/>
        </w:rPr>
        <w:t xml:space="preserve">in Britain. </w:t>
      </w:r>
      <w:r w:rsidRPr="00C96521">
        <w:rPr>
          <w:rFonts w:eastAsia="MS Mincho" w:cs="Arial"/>
          <w:i/>
          <w:iCs/>
          <w:szCs w:val="18"/>
          <w:lang w:val="en-GB" w:eastAsia="ja-JP"/>
        </w:rPr>
        <w:t>Ibis</w:t>
      </w:r>
      <w:r w:rsidRPr="00C96521">
        <w:rPr>
          <w:rFonts w:eastAsia="MS Mincho" w:cs="Arial"/>
          <w:szCs w:val="18"/>
          <w:lang w:val="en-GB" w:eastAsia="ja-JP"/>
        </w:rPr>
        <w:t xml:space="preserve"> 145: 572-582.</w:t>
      </w:r>
    </w:p>
    <w:p w14:paraId="563C4EC5"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62A6B73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BROWNE SJ and AEBISCHER N (2003b)</w:t>
      </w:r>
      <w:r w:rsidRPr="00C96521">
        <w:rPr>
          <w:rFonts w:eastAsia="MS Mincho" w:cs="Arial"/>
          <w:szCs w:val="18"/>
          <w:lang w:val="en-GB" w:eastAsia="ja-JP"/>
        </w:rPr>
        <w:t xml:space="preserve"> Temporal changes in the migration phenology of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in Britain, based on sightings from coastal bird observatories. </w:t>
      </w:r>
      <w:r w:rsidRPr="00C96521">
        <w:rPr>
          <w:rFonts w:eastAsia="MS Mincho" w:cs="Arial"/>
          <w:i/>
          <w:szCs w:val="18"/>
          <w:lang w:val="en-GB" w:eastAsia="ja-JP"/>
        </w:rPr>
        <w:t>Journal of Avian Biology</w:t>
      </w:r>
      <w:r w:rsidRPr="00C96521">
        <w:rPr>
          <w:rFonts w:eastAsia="MS Mincho" w:cs="Arial"/>
          <w:szCs w:val="18"/>
          <w:lang w:val="en-GB" w:eastAsia="ja-JP"/>
        </w:rPr>
        <w:t xml:space="preserve"> 34 (1): 65-71.</w:t>
      </w:r>
    </w:p>
    <w:p w14:paraId="30CF255A"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15D8B0E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BROWNE SJ and AEBISCHER N</w:t>
      </w:r>
      <w:r w:rsidRPr="00C96521">
        <w:rPr>
          <w:rFonts w:eastAsia="MS Mincho" w:cs="Arial"/>
          <w:bCs/>
          <w:szCs w:val="18"/>
          <w:lang w:val="en-GB" w:eastAsia="ja-JP"/>
        </w:rPr>
        <w:t xml:space="preserve"> </w:t>
      </w:r>
      <w:r w:rsidRPr="00C96521">
        <w:rPr>
          <w:rFonts w:eastAsia="MS Mincho" w:cs="Arial"/>
          <w:b/>
          <w:bCs/>
          <w:szCs w:val="18"/>
          <w:lang w:val="en-GB" w:eastAsia="ja-JP"/>
        </w:rPr>
        <w:t>(2004)</w:t>
      </w:r>
      <w:r w:rsidRPr="00C96521">
        <w:rPr>
          <w:rFonts w:eastAsia="MS Mincho" w:cs="Arial"/>
          <w:bCs/>
          <w:szCs w:val="18"/>
          <w:lang w:val="en-GB" w:eastAsia="ja-JP"/>
        </w:rPr>
        <w:t xml:space="preserve"> </w:t>
      </w:r>
      <w:r w:rsidRPr="00C96521">
        <w:rPr>
          <w:rFonts w:eastAsia="MS Mincho" w:cs="Arial"/>
          <w:szCs w:val="18"/>
          <w:lang w:val="en-GB" w:eastAsia="ja-JP"/>
        </w:rPr>
        <w:t xml:space="preserve">Temporal changes in the breeding ecology of European Turtle-doves </w:t>
      </w:r>
      <w:r w:rsidRPr="00C96521">
        <w:rPr>
          <w:rFonts w:eastAsia="MS Mincho" w:cs="Arial"/>
          <w:i/>
          <w:iCs/>
          <w:szCs w:val="18"/>
          <w:lang w:val="en-GB" w:eastAsia="ja-JP"/>
        </w:rPr>
        <w:t xml:space="preserve">Streptopelia turtur </w:t>
      </w:r>
      <w:r w:rsidRPr="00C96521">
        <w:rPr>
          <w:rFonts w:eastAsia="MS Mincho" w:cs="Arial"/>
          <w:szCs w:val="18"/>
          <w:lang w:val="en-GB" w:eastAsia="ja-JP"/>
        </w:rPr>
        <w:t xml:space="preserve">in Britain, and implications for conservation. </w:t>
      </w:r>
      <w:r w:rsidRPr="00C96521">
        <w:rPr>
          <w:rFonts w:eastAsia="MS Mincho" w:cs="Arial"/>
          <w:i/>
          <w:iCs/>
          <w:szCs w:val="18"/>
          <w:lang w:val="en-GB" w:eastAsia="ja-JP"/>
        </w:rPr>
        <w:t>Ibis</w:t>
      </w:r>
      <w:r w:rsidRPr="00C96521">
        <w:rPr>
          <w:rFonts w:eastAsia="MS Mincho" w:cs="Arial"/>
          <w:szCs w:val="18"/>
          <w:lang w:val="en-GB" w:eastAsia="ja-JP"/>
        </w:rPr>
        <w:t xml:space="preserve"> 146: 125-137. </w:t>
      </w:r>
    </w:p>
    <w:p w14:paraId="35078B8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D7F717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BROWNE SJ and AEBISCHER N (2005)</w:t>
      </w:r>
      <w:r w:rsidRPr="00C96521">
        <w:rPr>
          <w:rFonts w:eastAsia="MS Mincho" w:cs="Arial"/>
          <w:bCs/>
          <w:szCs w:val="18"/>
          <w:lang w:val="en-GB" w:eastAsia="ja-JP"/>
        </w:rPr>
        <w:t xml:space="preserve"> </w:t>
      </w:r>
      <w:r w:rsidRPr="00C96521">
        <w:rPr>
          <w:rFonts w:eastAsia="MS Mincho" w:cs="Arial"/>
          <w:szCs w:val="18"/>
          <w:lang w:val="en-GB" w:eastAsia="ja-JP"/>
        </w:rPr>
        <w:t xml:space="preserve">Studies of West Palearctic birds: Turtle-dove. </w:t>
      </w:r>
      <w:r w:rsidRPr="00C96521">
        <w:rPr>
          <w:rFonts w:eastAsia="MS Mincho" w:cs="Arial"/>
          <w:i/>
          <w:iCs/>
          <w:szCs w:val="18"/>
          <w:lang w:val="en-GB" w:eastAsia="ja-JP"/>
        </w:rPr>
        <w:t>British Birds</w:t>
      </w:r>
      <w:r w:rsidRPr="00C96521">
        <w:rPr>
          <w:rFonts w:eastAsia="MS Mincho" w:cs="Arial"/>
          <w:szCs w:val="18"/>
          <w:lang w:val="en-GB" w:eastAsia="ja-JP"/>
        </w:rPr>
        <w:t xml:space="preserve"> 98: 58-72.</w:t>
      </w:r>
    </w:p>
    <w:p w14:paraId="1D308C0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A79434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BROWNE SJ, AEBISCHER N and CRICK H (2005)</w:t>
      </w:r>
      <w:r w:rsidRPr="00C96521">
        <w:rPr>
          <w:rFonts w:eastAsia="MS Mincho" w:cs="Arial"/>
          <w:bCs/>
          <w:szCs w:val="18"/>
          <w:lang w:val="en-GB" w:eastAsia="ja-JP"/>
        </w:rPr>
        <w:t xml:space="preserve"> </w:t>
      </w:r>
      <w:r w:rsidRPr="00C96521">
        <w:rPr>
          <w:rFonts w:eastAsia="MS Mincho" w:cs="Arial"/>
          <w:szCs w:val="18"/>
          <w:lang w:val="en-GB" w:eastAsia="ja-JP"/>
        </w:rPr>
        <w:t xml:space="preserve">Breeding ecology of Turtle-doves </w:t>
      </w:r>
      <w:r w:rsidRPr="00C96521">
        <w:rPr>
          <w:rFonts w:eastAsia="MS Mincho" w:cs="Arial"/>
          <w:i/>
          <w:iCs/>
          <w:szCs w:val="18"/>
          <w:lang w:val="en-GB" w:eastAsia="ja-JP"/>
        </w:rPr>
        <w:t xml:space="preserve">Streptopelia turtur </w:t>
      </w:r>
      <w:r w:rsidRPr="00C96521">
        <w:rPr>
          <w:rFonts w:eastAsia="MS Mincho" w:cs="Arial"/>
          <w:szCs w:val="18"/>
          <w:lang w:val="en-GB" w:eastAsia="ja-JP"/>
        </w:rPr>
        <w:t xml:space="preserve">in Britain during the period 1941-2000: an analysis of BTO nest records cards. </w:t>
      </w:r>
      <w:r w:rsidRPr="00C96521">
        <w:rPr>
          <w:rFonts w:eastAsia="MS Mincho" w:cs="Arial"/>
          <w:i/>
          <w:iCs/>
          <w:szCs w:val="18"/>
          <w:lang w:val="en-GB" w:eastAsia="ja-JP"/>
        </w:rPr>
        <w:t xml:space="preserve">Bird Study </w:t>
      </w:r>
      <w:r w:rsidRPr="00C96521">
        <w:rPr>
          <w:rFonts w:eastAsia="MS Mincho" w:cs="Arial"/>
          <w:szCs w:val="18"/>
          <w:lang w:val="en-GB" w:eastAsia="ja-JP"/>
        </w:rPr>
        <w:t>52: 1-9.</w:t>
      </w:r>
    </w:p>
    <w:p w14:paraId="49161CD5"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05CF9C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BROWNE SJ, AEBISCHER NJ, YFANTIS G and MARCHANT JH (2004)</w:t>
      </w:r>
      <w:r w:rsidRPr="00C96521">
        <w:rPr>
          <w:rFonts w:eastAsia="MS Mincho" w:cs="Arial"/>
          <w:szCs w:val="18"/>
          <w:lang w:val="en-GB" w:eastAsia="ja-JP"/>
        </w:rPr>
        <w:t xml:space="preserve"> Habitat availability and use by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between 1965 and 1995: an analysis of Common Birds Census data. </w:t>
      </w:r>
      <w:r w:rsidRPr="00C96521">
        <w:rPr>
          <w:rFonts w:eastAsia="MS Mincho" w:cs="Arial"/>
          <w:i/>
          <w:szCs w:val="18"/>
          <w:lang w:val="en-GB" w:eastAsia="ja-JP"/>
        </w:rPr>
        <w:t>Bird Study</w:t>
      </w:r>
      <w:r w:rsidRPr="00C96521">
        <w:rPr>
          <w:rFonts w:eastAsia="MS Mincho" w:cs="Arial"/>
          <w:szCs w:val="18"/>
          <w:lang w:val="en-GB" w:eastAsia="ja-JP"/>
        </w:rPr>
        <w:t xml:space="preserve"> 51, 1-11.</w:t>
      </w:r>
    </w:p>
    <w:p w14:paraId="39E67446"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9077161"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BTO (2016)</w:t>
      </w:r>
      <w:r w:rsidRPr="00C96521">
        <w:rPr>
          <w:rFonts w:eastAsia="MS Mincho" w:cs="Arial"/>
          <w:szCs w:val="18"/>
          <w:lang w:val="en-GB" w:eastAsia="ja-JP"/>
        </w:rPr>
        <w:t xml:space="preserve"> </w:t>
      </w:r>
      <w:r w:rsidRPr="00C96521">
        <w:rPr>
          <w:rFonts w:eastAsia="MS Mincho" w:cs="Arial"/>
          <w:i/>
          <w:szCs w:val="18"/>
          <w:lang w:val="en-GB" w:eastAsia="ja-JP"/>
        </w:rPr>
        <w:t>Bird Atlas Mapstore</w:t>
      </w:r>
      <w:r w:rsidRPr="00C96521">
        <w:rPr>
          <w:rFonts w:eastAsia="MS Mincho" w:cs="Arial"/>
          <w:szCs w:val="18"/>
          <w:lang w:val="en-GB" w:eastAsia="ja-JP"/>
        </w:rPr>
        <w:t>. http://app.bto.org/mapstore/StoreServlet?id=272 (last accessed 28</w:t>
      </w:r>
      <w:r w:rsidRPr="00C96521">
        <w:rPr>
          <w:rFonts w:eastAsia="MS Mincho" w:cs="Arial"/>
          <w:szCs w:val="18"/>
          <w:vertAlign w:val="superscript"/>
          <w:lang w:val="en-GB" w:eastAsia="ja-JP"/>
        </w:rPr>
        <w:t>th</w:t>
      </w:r>
      <w:r w:rsidRPr="00C96521">
        <w:rPr>
          <w:rFonts w:eastAsia="MS Mincho" w:cs="Arial"/>
          <w:szCs w:val="18"/>
          <w:lang w:val="en-GB" w:eastAsia="ja-JP"/>
        </w:rPr>
        <w:t xml:space="preserve"> October 2016)</w:t>
      </w:r>
    </w:p>
    <w:p w14:paraId="0D9568D0" w14:textId="77777777" w:rsidR="00C96521" w:rsidRPr="00C96521" w:rsidRDefault="00C96521" w:rsidP="00C96521">
      <w:pPr>
        <w:widowControl/>
        <w:spacing w:line="276" w:lineRule="auto"/>
        <w:rPr>
          <w:rFonts w:eastAsia="MS Mincho" w:cs="Arial"/>
          <w:b/>
          <w:szCs w:val="18"/>
          <w:lang w:val="en-GB" w:eastAsia="ja-JP"/>
        </w:rPr>
      </w:pPr>
    </w:p>
    <w:p w14:paraId="37E2AD7C"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de BURUAGA MS, ONRUBIA A, FERNÁNDEZ-GARCÍA JM, CAMPO MA, CANALES F and UNAMUNO JM (2012)</w:t>
      </w:r>
      <w:r w:rsidRPr="00C96521">
        <w:rPr>
          <w:rFonts w:eastAsia="MS Mincho" w:cs="Arial"/>
          <w:szCs w:val="18"/>
          <w:lang w:val="en-GB" w:eastAsia="ja-JP"/>
        </w:rPr>
        <w:t xml:space="preserve"> Breeding habitat use and conservation status of the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in northern Spain. </w:t>
      </w:r>
      <w:r w:rsidRPr="00C96521">
        <w:rPr>
          <w:rFonts w:eastAsia="MS Mincho" w:cs="Arial"/>
          <w:i/>
          <w:szCs w:val="18"/>
          <w:lang w:val="en-GB" w:eastAsia="ja-JP"/>
        </w:rPr>
        <w:t>Ardeola</w:t>
      </w:r>
      <w:r w:rsidRPr="00C96521">
        <w:rPr>
          <w:rFonts w:eastAsia="MS Mincho" w:cs="Arial"/>
          <w:szCs w:val="18"/>
          <w:lang w:val="en-GB" w:eastAsia="ja-JP"/>
        </w:rPr>
        <w:t xml:space="preserve"> 59(2): 291-300.</w:t>
      </w:r>
    </w:p>
    <w:p w14:paraId="0E26313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A39A852"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bCs/>
          <w:szCs w:val="18"/>
          <w:lang w:val="en-GB" w:eastAsia="ja-JP"/>
        </w:rPr>
        <w:t>CALDERON L, CAMPAGNA L, WILKE T, LORMEE H, ERAUD C, DUNN JC, ROCHA G, ZEHTINDJIEV P, BAKALOUDIS DE, METZGER B, CECERE JG, MARX M and QUILLFELDT P (2016)</w:t>
      </w:r>
      <w:r w:rsidRPr="00C96521">
        <w:rPr>
          <w:rFonts w:eastAsia="MS Mincho" w:cs="Arial"/>
          <w:szCs w:val="18"/>
          <w:lang w:val="en-GB" w:eastAsia="ja-JP"/>
        </w:rPr>
        <w:t xml:space="preserve"> Genomic evidence of demographic fluctuations and lack of genetic structure across flyways in a long distance migrant, the European turtle-dove. </w:t>
      </w:r>
      <w:r w:rsidRPr="00C96521">
        <w:rPr>
          <w:rFonts w:eastAsia="MS Mincho" w:cs="Arial"/>
          <w:i/>
          <w:szCs w:val="18"/>
          <w:lang w:val="en-GB" w:eastAsia="ja-JP"/>
        </w:rPr>
        <w:t>BMC Evolutionary Biology</w:t>
      </w:r>
      <w:r w:rsidRPr="00C96521">
        <w:rPr>
          <w:rFonts w:eastAsia="MS Mincho" w:cs="Arial"/>
          <w:szCs w:val="18"/>
          <w:lang w:val="en-GB" w:eastAsia="ja-JP"/>
        </w:rPr>
        <w:t>, 16(237): 1-11.</w:t>
      </w:r>
    </w:p>
    <w:p w14:paraId="40FB403C"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01DC0D9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CALLADINE JR, BUNER F and AEBISCHER NJ (1997)</w:t>
      </w:r>
      <w:r w:rsidRPr="00C96521">
        <w:rPr>
          <w:rFonts w:eastAsia="MS Mincho" w:cs="Arial"/>
          <w:bCs/>
          <w:szCs w:val="18"/>
          <w:lang w:val="en-GB" w:eastAsia="ja-JP"/>
        </w:rPr>
        <w:t xml:space="preserve"> </w:t>
      </w:r>
      <w:r w:rsidRPr="00C96521">
        <w:rPr>
          <w:rFonts w:eastAsia="MS Mincho" w:cs="Arial"/>
          <w:i/>
          <w:szCs w:val="18"/>
          <w:lang w:val="en-GB" w:eastAsia="ja-JP"/>
        </w:rPr>
        <w:t>The summer ecology and habitat use of the Turtle-dove. A pilot study</w:t>
      </w:r>
      <w:r w:rsidRPr="00C96521">
        <w:rPr>
          <w:rFonts w:eastAsia="MS Mincho" w:cs="Arial"/>
          <w:szCs w:val="18"/>
          <w:lang w:val="en-GB" w:eastAsia="ja-JP"/>
        </w:rPr>
        <w:t xml:space="preserve">. </w:t>
      </w:r>
      <w:r w:rsidRPr="00C96521">
        <w:rPr>
          <w:rFonts w:eastAsia="MS Mincho" w:cs="Arial"/>
          <w:iCs/>
          <w:szCs w:val="18"/>
          <w:lang w:val="en-GB" w:eastAsia="ja-JP"/>
        </w:rPr>
        <w:t>English Nature Research Reports</w:t>
      </w:r>
      <w:r w:rsidRPr="00C96521">
        <w:rPr>
          <w:rFonts w:eastAsia="MS Mincho" w:cs="Arial"/>
          <w:szCs w:val="18"/>
          <w:lang w:val="en-GB" w:eastAsia="ja-JP"/>
        </w:rPr>
        <w:t xml:space="preserve"> 219. English Nature, Peterborough.</w:t>
      </w:r>
    </w:p>
    <w:p w14:paraId="72026B3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1D80582" w14:textId="77777777" w:rsidR="00C96521" w:rsidRPr="00965D7D"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CARVALHO M. and DIAS S (2001)</w:t>
      </w:r>
      <w:r w:rsidRPr="00890F11">
        <w:rPr>
          <w:rFonts w:eastAsia="MS Mincho" w:cs="Arial"/>
          <w:szCs w:val="18"/>
          <w:lang w:val="es-ES" w:eastAsia="ja-JP"/>
        </w:rPr>
        <w:t xml:space="preserve"> </w:t>
      </w:r>
      <w:r w:rsidRPr="00890F11">
        <w:rPr>
          <w:rFonts w:eastAsia="MS Mincho" w:cs="Arial"/>
          <w:i/>
          <w:szCs w:val="18"/>
          <w:lang w:val="es-ES" w:eastAsia="ja-JP"/>
        </w:rPr>
        <w:t>Análise dos quadros de caça de columbídeos na região de Cape (Guiné-Bissau) – contributo para a sua gestão cinegética</w:t>
      </w:r>
      <w:r w:rsidRPr="00890F11">
        <w:rPr>
          <w:rFonts w:eastAsia="MS Mincho" w:cs="Arial"/>
          <w:szCs w:val="18"/>
          <w:lang w:val="es-ES" w:eastAsia="ja-JP"/>
        </w:rPr>
        <w:t xml:space="preserve">. In </w:t>
      </w:r>
      <w:r w:rsidRPr="00890F11">
        <w:rPr>
          <w:rFonts w:eastAsia="MS Mincho" w:cs="Arial"/>
          <w:i/>
          <w:szCs w:val="18"/>
          <w:lang w:val="es-ES" w:eastAsia="ja-JP"/>
        </w:rPr>
        <w:t>Livro de resumos do III Congresso Ornitologia da Sociedade Portuguesa para o Estudo das Aves</w:t>
      </w:r>
      <w:r w:rsidRPr="00890F11">
        <w:rPr>
          <w:rFonts w:eastAsia="MS Mincho" w:cs="Arial"/>
          <w:szCs w:val="18"/>
          <w:lang w:val="es-ES" w:eastAsia="ja-JP"/>
        </w:rPr>
        <w:t xml:space="preserve">. pp 23. </w:t>
      </w:r>
      <w:r w:rsidRPr="00965D7D">
        <w:rPr>
          <w:rFonts w:eastAsia="MS Mincho" w:cs="Arial"/>
          <w:szCs w:val="18"/>
          <w:lang w:val="es-ES" w:eastAsia="ja-JP"/>
        </w:rPr>
        <w:t>SPEA, Castelo Branco.</w:t>
      </w:r>
    </w:p>
    <w:p w14:paraId="3758259E" w14:textId="77777777" w:rsidR="00C96521" w:rsidRPr="00965D7D" w:rsidRDefault="00C96521" w:rsidP="00C96521">
      <w:pPr>
        <w:widowControl/>
        <w:autoSpaceDE/>
        <w:autoSpaceDN/>
        <w:adjustRightInd/>
        <w:spacing w:line="276" w:lineRule="auto"/>
        <w:rPr>
          <w:rFonts w:eastAsia="MS Mincho" w:cs="Arial"/>
          <w:b/>
          <w:szCs w:val="18"/>
          <w:lang w:val="es-ES" w:eastAsia="ja-JP"/>
        </w:rPr>
      </w:pPr>
    </w:p>
    <w:p w14:paraId="4BA7ECA0"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CARVALHO M and DIAS S (2003)</w:t>
      </w:r>
      <w:r w:rsidRPr="00C96521">
        <w:rPr>
          <w:rFonts w:eastAsia="MS Mincho" w:cs="Arial"/>
          <w:szCs w:val="18"/>
          <w:lang w:val="en-GB" w:eastAsia="ja-JP"/>
        </w:rPr>
        <w:t xml:space="preserve"> </w:t>
      </w:r>
      <w:r w:rsidRPr="00C96521">
        <w:rPr>
          <w:rFonts w:eastAsia="MS Mincho" w:cs="Arial"/>
          <w:i/>
          <w:szCs w:val="18"/>
          <w:lang w:val="en-GB" w:eastAsia="ja-JP"/>
        </w:rPr>
        <w:t xml:space="preserve">Game </w:t>
      </w:r>
      <w:r w:rsidRPr="00C96521">
        <w:rPr>
          <w:rFonts w:eastAsia="MS Mincho" w:cs="Arial"/>
          <w:szCs w:val="18"/>
          <w:lang w:val="en-GB" w:eastAsia="ja-JP"/>
        </w:rPr>
        <w:t>Columbidae</w:t>
      </w:r>
      <w:r w:rsidRPr="00C96521">
        <w:rPr>
          <w:rFonts w:eastAsia="MS Mincho" w:cs="Arial"/>
          <w:i/>
          <w:szCs w:val="18"/>
          <w:lang w:val="en-GB" w:eastAsia="ja-JP"/>
        </w:rPr>
        <w:t xml:space="preserve"> in Guinea- Bissau</w:t>
      </w:r>
      <w:r w:rsidRPr="00C96521">
        <w:rPr>
          <w:rFonts w:eastAsia="MS Mincho" w:cs="Arial"/>
          <w:szCs w:val="18"/>
          <w:lang w:val="en-GB" w:eastAsia="ja-JP"/>
        </w:rPr>
        <w:t xml:space="preserve">. XXVIth Congress of the International Union of Game Biologists "Integrating Wildlife with People". </w:t>
      </w:r>
      <w:r w:rsidRPr="00890F11">
        <w:rPr>
          <w:rFonts w:eastAsia="MS Mincho" w:cs="Arial"/>
          <w:szCs w:val="18"/>
          <w:lang w:val="fr-FR" w:eastAsia="ja-JP"/>
        </w:rPr>
        <w:t>Braga, Portugal. Abstract book, 67.</w:t>
      </w:r>
    </w:p>
    <w:p w14:paraId="042D81E2"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60DC60B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bCs/>
          <w:szCs w:val="18"/>
          <w:lang w:val="fr-FR" w:eastAsia="ja-JP"/>
        </w:rPr>
        <w:t>CHAMBOLLE P (1986)</w:t>
      </w:r>
      <w:r w:rsidRPr="00890F11">
        <w:rPr>
          <w:rFonts w:eastAsia="MS Mincho" w:cs="Arial"/>
          <w:szCs w:val="18"/>
          <w:lang w:val="fr-FR" w:eastAsia="ja-JP"/>
        </w:rPr>
        <w:t xml:space="preserve"> Prélèvement cynégétique de tourterelles en France, saison 1983-84. </w:t>
      </w:r>
      <w:r w:rsidRPr="00C96521">
        <w:rPr>
          <w:rFonts w:eastAsia="MS Mincho" w:cs="Arial"/>
          <w:i/>
          <w:szCs w:val="18"/>
          <w:lang w:val="en-GB" w:eastAsia="ja-JP"/>
        </w:rPr>
        <w:t xml:space="preserve">Bulletin Mensuel de l’ONC </w:t>
      </w:r>
      <w:r w:rsidRPr="00C96521">
        <w:rPr>
          <w:rFonts w:eastAsia="MS Mincho" w:cs="Arial"/>
          <w:szCs w:val="18"/>
          <w:lang w:val="en-GB" w:eastAsia="ja-JP"/>
        </w:rPr>
        <w:t>108: 50-53.</w:t>
      </w:r>
    </w:p>
    <w:p w14:paraId="01772D5E"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4141D4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COMPENDIUM VOOR DE LEEFOMGEVING (2016)</w:t>
      </w:r>
      <w:r w:rsidRPr="00C96521">
        <w:rPr>
          <w:rFonts w:eastAsia="MS Mincho" w:cs="Arial"/>
          <w:szCs w:val="18"/>
          <w:lang w:val="en-GB" w:eastAsia="ja-JP"/>
        </w:rPr>
        <w:t xml:space="preserve"> </w:t>
      </w:r>
      <w:r w:rsidRPr="00C96521">
        <w:rPr>
          <w:rFonts w:eastAsia="MS Mincho" w:cs="Arial"/>
          <w:i/>
          <w:szCs w:val="18"/>
          <w:lang w:val="en-GB" w:eastAsia="ja-JP"/>
        </w:rPr>
        <w:t>Vogels van het boerenland, 1990-2014</w:t>
      </w:r>
      <w:r w:rsidRPr="00C96521">
        <w:rPr>
          <w:rFonts w:eastAsia="MS Mincho" w:cs="Arial"/>
          <w:szCs w:val="18"/>
          <w:lang w:val="en-GB" w:eastAsia="ja-JP"/>
        </w:rPr>
        <w:t>. http://www.clo.nl/indicatoren/nl1479-vogels-van-het-boerenland?i=4-27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22B50EFB"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170C89BB"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 xml:space="preserve">LE CONSEIL FEDERAL (2014) </w:t>
      </w:r>
      <w:r w:rsidRPr="00890F11">
        <w:rPr>
          <w:rFonts w:eastAsia="MS Mincho" w:cs="Arial"/>
          <w:i/>
          <w:szCs w:val="18"/>
          <w:lang w:val="fr-FR" w:eastAsia="ja-JP"/>
        </w:rPr>
        <w:t>Loi fédérale sur la chasse et la protection des mammifères et oiseaux sauvages.</w:t>
      </w:r>
      <w:r w:rsidRPr="00890F11">
        <w:rPr>
          <w:rFonts w:eastAsia="MS Mincho" w:cs="Arial"/>
          <w:szCs w:val="18"/>
          <w:lang w:val="fr-FR" w:eastAsia="ja-JP"/>
        </w:rPr>
        <w:t xml:space="preserve"> https://www.admin.ch/opc/fr/classified-compilation/19860156/index.html#a5 (last accessed 25</w:t>
      </w:r>
      <w:r w:rsidRPr="00890F11">
        <w:rPr>
          <w:rFonts w:eastAsia="MS Mincho" w:cs="Arial"/>
          <w:szCs w:val="18"/>
          <w:vertAlign w:val="superscript"/>
          <w:lang w:val="fr-FR" w:eastAsia="ja-JP"/>
        </w:rPr>
        <w:t>th</w:t>
      </w:r>
      <w:r w:rsidRPr="00890F11">
        <w:rPr>
          <w:rFonts w:eastAsia="MS Mincho" w:cs="Arial"/>
          <w:szCs w:val="18"/>
          <w:lang w:val="fr-FR" w:eastAsia="ja-JP"/>
        </w:rPr>
        <w:t xml:space="preserve"> November 2016)</w:t>
      </w:r>
    </w:p>
    <w:p w14:paraId="570C768A"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p>
    <w:p w14:paraId="142C816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CRAMP S (1985)</w:t>
      </w:r>
      <w:r w:rsidRPr="00C96521">
        <w:rPr>
          <w:rFonts w:eastAsia="MS Mincho" w:cs="Arial"/>
          <w:bCs/>
          <w:szCs w:val="18"/>
          <w:lang w:val="en-GB" w:eastAsia="ja-JP"/>
        </w:rPr>
        <w:t xml:space="preserve"> </w:t>
      </w:r>
      <w:r w:rsidRPr="00C96521">
        <w:rPr>
          <w:rFonts w:eastAsia="MS Mincho" w:cs="Arial"/>
          <w:i/>
          <w:szCs w:val="18"/>
          <w:lang w:val="en-GB" w:eastAsia="ja-JP"/>
        </w:rPr>
        <w:t>Handbook of the birds of Europe, the Middle East and North Africa</w:t>
      </w:r>
      <w:r w:rsidRPr="00C96521">
        <w:rPr>
          <w:rFonts w:eastAsia="MS Mincho" w:cs="Arial"/>
          <w:szCs w:val="18"/>
          <w:lang w:val="en-GB" w:eastAsia="ja-JP"/>
        </w:rPr>
        <w:t xml:space="preserve">. </w:t>
      </w:r>
      <w:r w:rsidRPr="00C96521">
        <w:rPr>
          <w:rFonts w:eastAsia="MS Mincho" w:cs="Arial"/>
          <w:i/>
          <w:szCs w:val="18"/>
          <w:lang w:val="en-GB" w:eastAsia="ja-JP"/>
        </w:rPr>
        <w:t>Volume IV, Terns to Woodpeckers</w:t>
      </w:r>
      <w:r w:rsidRPr="00C96521">
        <w:rPr>
          <w:rFonts w:eastAsia="MS Mincho" w:cs="Arial"/>
          <w:szCs w:val="18"/>
          <w:lang w:val="en-GB" w:eastAsia="ja-JP"/>
        </w:rPr>
        <w:t>: 353-363</w:t>
      </w:r>
      <w:r w:rsidRPr="00C96521">
        <w:rPr>
          <w:rFonts w:eastAsia="MS Mincho" w:cs="Arial"/>
          <w:i/>
          <w:szCs w:val="18"/>
          <w:lang w:val="en-GB" w:eastAsia="ja-JP"/>
        </w:rPr>
        <w:t>.</w:t>
      </w:r>
      <w:r w:rsidRPr="00C96521">
        <w:rPr>
          <w:rFonts w:eastAsia="MS Mincho" w:cs="Arial"/>
          <w:szCs w:val="18"/>
          <w:lang w:val="en-GB" w:eastAsia="ja-JP"/>
        </w:rPr>
        <w:t xml:space="preserve"> Oxford University Press, Oxford.</w:t>
      </w:r>
    </w:p>
    <w:p w14:paraId="0A6CE3CD"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0E6BD65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CSO/JPSP (2015) </w:t>
      </w:r>
      <w:r w:rsidRPr="00C96521">
        <w:rPr>
          <w:rFonts w:eastAsia="MS Mincho" w:cs="Arial"/>
          <w:i/>
          <w:szCs w:val="18"/>
          <w:lang w:val="en-GB" w:eastAsia="ja-JP"/>
        </w:rPr>
        <w:t>Indexy a trendy 2015 - Hrdlička divoká (</w:t>
      </w:r>
      <w:r w:rsidRPr="00C96521">
        <w:rPr>
          <w:rFonts w:eastAsia="MS Mincho" w:cs="Arial"/>
          <w:szCs w:val="18"/>
          <w:lang w:val="en-GB" w:eastAsia="ja-JP"/>
        </w:rPr>
        <w:t>Streptopelia turtur</w:t>
      </w:r>
      <w:r w:rsidRPr="00C96521">
        <w:rPr>
          <w:rFonts w:eastAsia="MS Mincho" w:cs="Arial"/>
          <w:i/>
          <w:szCs w:val="18"/>
          <w:lang w:val="en-GB" w:eastAsia="ja-JP"/>
        </w:rPr>
        <w:t>)</w:t>
      </w:r>
      <w:r w:rsidRPr="00C96521">
        <w:rPr>
          <w:rFonts w:eastAsia="MS Mincho" w:cs="Arial"/>
          <w:szCs w:val="18"/>
          <w:lang w:val="en-GB" w:eastAsia="ja-JP"/>
        </w:rPr>
        <w:t>. http://jpsp.birds.cz/vysledky.php?taxon=605 (last accessed 28</w:t>
      </w:r>
      <w:r w:rsidRPr="00C96521">
        <w:rPr>
          <w:rFonts w:eastAsia="MS Mincho" w:cs="Arial"/>
          <w:szCs w:val="18"/>
          <w:vertAlign w:val="superscript"/>
          <w:lang w:val="en-GB" w:eastAsia="ja-JP"/>
        </w:rPr>
        <w:t>th</w:t>
      </w:r>
      <w:r w:rsidRPr="00C96521">
        <w:rPr>
          <w:rFonts w:eastAsia="MS Mincho" w:cs="Arial"/>
          <w:szCs w:val="18"/>
          <w:lang w:val="en-GB" w:eastAsia="ja-JP"/>
        </w:rPr>
        <w:t xml:space="preserve"> October 2016)</w:t>
      </w:r>
    </w:p>
    <w:p w14:paraId="5A0B6BAD"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032EA70A" w14:textId="77777777" w:rsidR="00C96521" w:rsidRPr="00965D7D" w:rsidRDefault="00C96521" w:rsidP="00C96521">
      <w:pPr>
        <w:widowControl/>
        <w:autoSpaceDE/>
        <w:autoSpaceDN/>
        <w:adjustRightInd/>
        <w:spacing w:line="276" w:lineRule="auto"/>
        <w:rPr>
          <w:rFonts w:eastAsia="MS Mincho" w:cs="Arial"/>
          <w:szCs w:val="18"/>
          <w:lang w:val="de-DE" w:eastAsia="ja-JP"/>
        </w:rPr>
      </w:pPr>
      <w:r w:rsidRPr="00965D7D">
        <w:rPr>
          <w:rFonts w:eastAsia="MS Mincho" w:cs="Arial"/>
          <w:b/>
          <w:szCs w:val="18"/>
          <w:lang w:val="de-DE" w:eastAsia="ja-JP"/>
        </w:rPr>
        <w:t>DACHVERBAND DEUTSCHER AVIFAUNISTEN (2016)</w:t>
      </w:r>
      <w:r w:rsidRPr="00965D7D">
        <w:rPr>
          <w:rFonts w:eastAsia="MS Mincho" w:cs="Arial"/>
          <w:szCs w:val="18"/>
          <w:lang w:val="de-DE" w:eastAsia="ja-JP"/>
        </w:rPr>
        <w:t xml:space="preserve"> </w:t>
      </w:r>
      <w:r w:rsidRPr="00965D7D">
        <w:rPr>
          <w:rFonts w:eastAsia="MS Mincho" w:cs="Arial"/>
          <w:i/>
          <w:szCs w:val="18"/>
          <w:lang w:val="de-DE" w:eastAsia="ja-JP"/>
        </w:rPr>
        <w:t>Bestandsentwicklung, Verbreitung und jahreszeitliches Auftreten von Brut- und Rastvögeln in Deutschland</w:t>
      </w:r>
      <w:r w:rsidRPr="00965D7D">
        <w:rPr>
          <w:rFonts w:eastAsia="MS Mincho" w:cs="Arial"/>
          <w:szCs w:val="18"/>
          <w:lang w:val="de-DE" w:eastAsia="ja-JP"/>
        </w:rPr>
        <w:t>. Dachverband Deutscher Avifaunisten, Münster.</w:t>
      </w:r>
    </w:p>
    <w:p w14:paraId="2FCAE048" w14:textId="77777777" w:rsidR="00C96521" w:rsidRPr="00965D7D" w:rsidRDefault="00C96521" w:rsidP="00C96521">
      <w:pPr>
        <w:widowControl/>
        <w:autoSpaceDE/>
        <w:autoSpaceDN/>
        <w:adjustRightInd/>
        <w:spacing w:line="276" w:lineRule="auto"/>
        <w:rPr>
          <w:rFonts w:eastAsia="MS Mincho" w:cs="Arial"/>
          <w:b/>
          <w:bCs/>
          <w:szCs w:val="18"/>
          <w:lang w:val="de-DE" w:eastAsia="ja-JP"/>
        </w:rPr>
      </w:pPr>
    </w:p>
    <w:p w14:paraId="150B0619" w14:textId="77777777" w:rsidR="00C96521" w:rsidRPr="00965D7D" w:rsidRDefault="00C96521" w:rsidP="00C96521">
      <w:pPr>
        <w:widowControl/>
        <w:spacing w:line="276" w:lineRule="auto"/>
        <w:rPr>
          <w:rFonts w:eastAsia="MS Mincho" w:cs="Arial"/>
          <w:szCs w:val="18"/>
          <w:lang w:val="de-DE" w:eastAsia="ja-JP"/>
        </w:rPr>
      </w:pPr>
      <w:r w:rsidRPr="00965D7D">
        <w:rPr>
          <w:rFonts w:eastAsia="MS Mincho" w:cs="Arial"/>
          <w:b/>
          <w:szCs w:val="18"/>
          <w:lang w:val="de-DE" w:eastAsia="ja-JP"/>
        </w:rPr>
        <w:t xml:space="preserve">DANKO Z, DAROLOVÁ A and KRIŠTÍN A (2002) </w:t>
      </w:r>
      <w:r w:rsidRPr="00965D7D">
        <w:rPr>
          <w:rFonts w:eastAsia="MS Mincho" w:cs="Arial"/>
          <w:i/>
          <w:szCs w:val="18"/>
          <w:lang w:val="de-DE" w:eastAsia="ja-JP"/>
        </w:rPr>
        <w:t>Rozšírenie vtákov na Slovensku – Birds Distribution in Slovakia</w:t>
      </w:r>
      <w:r w:rsidRPr="00965D7D">
        <w:rPr>
          <w:rFonts w:eastAsia="MS Mincho" w:cs="Arial"/>
          <w:szCs w:val="18"/>
          <w:lang w:val="de-DE" w:eastAsia="ja-JP"/>
        </w:rPr>
        <w:t>. Vydavatel’stvo Slovenskej akadémie vied, Bratislava.</w:t>
      </w:r>
    </w:p>
    <w:p w14:paraId="62F5B2B0" w14:textId="77777777" w:rsidR="00C96521" w:rsidRPr="00965D7D" w:rsidRDefault="00C96521" w:rsidP="00C96521">
      <w:pPr>
        <w:widowControl/>
        <w:autoSpaceDE/>
        <w:autoSpaceDN/>
        <w:adjustRightInd/>
        <w:spacing w:line="276" w:lineRule="auto"/>
        <w:rPr>
          <w:rFonts w:eastAsia="MS Mincho" w:cs="Arial"/>
          <w:b/>
          <w:bCs/>
          <w:szCs w:val="18"/>
          <w:lang w:val="de-DE" w:eastAsia="ja-JP"/>
        </w:rPr>
      </w:pPr>
    </w:p>
    <w:p w14:paraId="06D50054" w14:textId="77777777" w:rsidR="00C96521" w:rsidRPr="00965D7D" w:rsidRDefault="00C96521" w:rsidP="00C96521">
      <w:pPr>
        <w:widowControl/>
        <w:autoSpaceDE/>
        <w:autoSpaceDN/>
        <w:adjustRightInd/>
        <w:spacing w:line="276" w:lineRule="auto"/>
        <w:rPr>
          <w:rFonts w:eastAsia="MS Mincho" w:cs="Arial"/>
          <w:b/>
          <w:bCs/>
          <w:szCs w:val="18"/>
          <w:lang w:val="de-DE" w:eastAsia="ja-JP"/>
        </w:rPr>
      </w:pPr>
      <w:r w:rsidRPr="00965D7D">
        <w:rPr>
          <w:rFonts w:eastAsia="MS Mincho" w:cs="Arial"/>
          <w:b/>
          <w:bCs/>
          <w:szCs w:val="18"/>
          <w:lang w:val="de-DE" w:eastAsia="ja-JP"/>
        </w:rPr>
        <w:t xml:space="preserve">DENAC K and KMECL P (2014) </w:t>
      </w:r>
      <w:r w:rsidRPr="00965D7D">
        <w:rPr>
          <w:rFonts w:eastAsia="MS Mincho" w:cs="Arial"/>
          <w:i/>
          <w:szCs w:val="18"/>
          <w:lang w:val="de-DE" w:eastAsia="ja-JP"/>
        </w:rPr>
        <w:t>Ptice Goričkega (The birds of Goričko)</w:t>
      </w:r>
      <w:r w:rsidRPr="00965D7D">
        <w:rPr>
          <w:rFonts w:eastAsia="MS Mincho" w:cs="Arial"/>
          <w:szCs w:val="18"/>
          <w:lang w:val="de-DE" w:eastAsia="ja-JP"/>
        </w:rPr>
        <w:t>. DOPPS, Ljubljana.</w:t>
      </w:r>
    </w:p>
    <w:p w14:paraId="347A49B1" w14:textId="77777777" w:rsidR="00C96521" w:rsidRPr="00965D7D" w:rsidRDefault="00C96521" w:rsidP="00C96521">
      <w:pPr>
        <w:widowControl/>
        <w:autoSpaceDE/>
        <w:autoSpaceDN/>
        <w:adjustRightInd/>
        <w:spacing w:line="276" w:lineRule="auto"/>
        <w:rPr>
          <w:rFonts w:eastAsia="MS Mincho" w:cs="Arial"/>
          <w:b/>
          <w:bCs/>
          <w:szCs w:val="18"/>
          <w:lang w:val="de-DE" w:eastAsia="ja-JP"/>
        </w:rPr>
      </w:pPr>
    </w:p>
    <w:p w14:paraId="5269E776"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965D7D">
        <w:rPr>
          <w:rFonts w:eastAsia="MS Mincho" w:cs="Arial"/>
          <w:b/>
          <w:szCs w:val="18"/>
          <w:lang w:val="de-DE" w:eastAsia="ja-JP"/>
        </w:rPr>
        <w:t xml:space="preserve">DEVILLERS P, ROGGEMAN W, TRICOT J, DEL MARMOL P, KERWIJN C, JACOB J-P and ANSELIN A (1988) </w:t>
      </w:r>
      <w:r w:rsidRPr="00965D7D">
        <w:rPr>
          <w:rFonts w:eastAsia="MS Mincho" w:cs="Arial"/>
          <w:i/>
          <w:szCs w:val="18"/>
          <w:lang w:val="de-DE" w:eastAsia="ja-JP"/>
        </w:rPr>
        <w:t>Atlas des oiseaux nicheurs de Belgique</w:t>
      </w:r>
      <w:r w:rsidRPr="00965D7D">
        <w:rPr>
          <w:rFonts w:eastAsia="MS Mincho" w:cs="Arial"/>
          <w:szCs w:val="18"/>
          <w:lang w:val="de-DE" w:eastAsia="ja-JP"/>
        </w:rPr>
        <w:t xml:space="preserve">. </w:t>
      </w:r>
      <w:r w:rsidRPr="00890F11">
        <w:rPr>
          <w:rFonts w:eastAsia="MS Mincho" w:cs="Arial"/>
          <w:szCs w:val="18"/>
          <w:lang w:val="fr-FR" w:eastAsia="ja-JP"/>
        </w:rPr>
        <w:t xml:space="preserve">Institut Royal des Sciences Naturelles de Belgique, Bruxelles. </w:t>
      </w:r>
    </w:p>
    <w:p w14:paraId="43E183BE"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p>
    <w:p w14:paraId="3D87DCC0"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bCs/>
          <w:szCs w:val="18"/>
          <w:lang w:val="fr-FR" w:eastAsia="ja-JP"/>
        </w:rPr>
        <w:lastRenderedPageBreak/>
        <w:t xml:space="preserve">DEVORT M, TROLLIET B and VEIGA J (1988) </w:t>
      </w:r>
      <w:r w:rsidRPr="00890F11">
        <w:rPr>
          <w:rFonts w:eastAsia="MS Mincho" w:cs="Arial"/>
          <w:szCs w:val="18"/>
          <w:lang w:val="fr-FR" w:eastAsia="ja-JP"/>
        </w:rPr>
        <w:t xml:space="preserve">Sur la migration postnuptiale de la tourterelle des bois en Gironde. </w:t>
      </w:r>
      <w:r w:rsidRPr="00890F11">
        <w:rPr>
          <w:rFonts w:eastAsia="MS Mincho" w:cs="Arial"/>
          <w:i/>
          <w:iCs/>
          <w:szCs w:val="18"/>
          <w:lang w:val="es-ES" w:eastAsia="ja-JP"/>
        </w:rPr>
        <w:t xml:space="preserve">Gibier Faune Sauvage </w:t>
      </w:r>
      <w:r w:rsidRPr="00890F11">
        <w:rPr>
          <w:rFonts w:eastAsia="MS Mincho" w:cs="Arial"/>
          <w:szCs w:val="18"/>
          <w:lang w:val="es-ES" w:eastAsia="ja-JP"/>
        </w:rPr>
        <w:t>5: 61-70.</w:t>
      </w:r>
    </w:p>
    <w:p w14:paraId="202C8B97"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67F3F186" w14:textId="77777777" w:rsidR="00C96521" w:rsidRPr="00C96521" w:rsidRDefault="00C96521" w:rsidP="00C96521">
      <w:pPr>
        <w:widowControl/>
        <w:spacing w:line="276" w:lineRule="auto"/>
        <w:rPr>
          <w:rFonts w:eastAsia="MS Mincho" w:cs="Arial"/>
          <w:color w:val="000000"/>
          <w:szCs w:val="18"/>
          <w:lang w:val="pt-PT" w:eastAsia="ja-JP"/>
        </w:rPr>
      </w:pPr>
      <w:r w:rsidRPr="00C96521">
        <w:rPr>
          <w:rFonts w:eastAsia="MS Mincho" w:cs="Arial"/>
          <w:b/>
          <w:color w:val="000000"/>
          <w:szCs w:val="18"/>
          <w:lang w:val="pt-PT" w:eastAsia="ja-JP"/>
        </w:rPr>
        <w:t>DIAS (2016</w:t>
      </w:r>
      <w:r w:rsidRPr="00C96521">
        <w:rPr>
          <w:rFonts w:eastAsia="MS Mincho" w:cs="Arial"/>
          <w:b/>
          <w:bCs/>
          <w:color w:val="000000"/>
          <w:szCs w:val="18"/>
          <w:lang w:val="pt-PT" w:eastAsia="ja-JP"/>
        </w:rPr>
        <w:t>)</w:t>
      </w:r>
      <w:r w:rsidRPr="00C96521">
        <w:rPr>
          <w:rFonts w:eastAsia="MS Mincho" w:cs="Arial"/>
          <w:bCs/>
          <w:color w:val="000000"/>
          <w:szCs w:val="18"/>
          <w:lang w:val="pt-PT" w:eastAsia="ja-JP"/>
        </w:rPr>
        <w:t xml:space="preserve"> </w:t>
      </w:r>
      <w:r w:rsidRPr="00C96521">
        <w:rPr>
          <w:rFonts w:eastAsia="MS Mincho" w:cs="Arial"/>
          <w:i/>
          <w:color w:val="000000"/>
          <w:szCs w:val="18"/>
          <w:lang w:val="pt-PT" w:eastAsia="ja-JP"/>
        </w:rPr>
        <w:t>Critérios para a gestão sustentável das populações de rola-brava [</w:t>
      </w:r>
      <w:r w:rsidRPr="00C96521">
        <w:rPr>
          <w:rFonts w:eastAsia="MS Mincho" w:cs="Arial"/>
          <w:i/>
          <w:iCs/>
          <w:color w:val="000000"/>
          <w:szCs w:val="18"/>
          <w:lang w:val="pt-PT" w:eastAsia="ja-JP"/>
        </w:rPr>
        <w:t xml:space="preserve">Streptopelia turtur </w:t>
      </w:r>
      <w:r w:rsidRPr="00C96521">
        <w:rPr>
          <w:rFonts w:eastAsia="MS Mincho" w:cs="Arial"/>
          <w:i/>
          <w:color w:val="000000"/>
          <w:szCs w:val="18"/>
          <w:lang w:val="pt-PT" w:eastAsia="ja-JP"/>
        </w:rPr>
        <w:t>(L.)] em Portugal. Padrões de abundância, reprodução e pressão cinegética</w:t>
      </w:r>
      <w:r w:rsidRPr="00C96521">
        <w:rPr>
          <w:rFonts w:eastAsia="MS Mincho" w:cs="Arial"/>
          <w:color w:val="000000"/>
          <w:szCs w:val="18"/>
          <w:lang w:val="pt-PT" w:eastAsia="ja-JP"/>
        </w:rPr>
        <w:t xml:space="preserve">. </w:t>
      </w:r>
      <w:r w:rsidRPr="00C96521">
        <w:rPr>
          <w:rFonts w:eastAsia="MS Mincho" w:cs="Arial"/>
          <w:bCs/>
          <w:color w:val="000000"/>
          <w:szCs w:val="18"/>
          <w:lang w:val="pt-PT" w:eastAsia="ja-JP"/>
        </w:rPr>
        <w:t>PhD Thesis</w:t>
      </w:r>
      <w:r w:rsidRPr="00C96521">
        <w:rPr>
          <w:rFonts w:eastAsia="MS Mincho" w:cs="Arial"/>
          <w:color w:val="000000"/>
          <w:szCs w:val="18"/>
          <w:lang w:val="pt-PT" w:eastAsia="ja-JP"/>
        </w:rPr>
        <w:t xml:space="preserve">. Instituto Superior de Agronomia, Universidade de Lisboa. </w:t>
      </w:r>
    </w:p>
    <w:p w14:paraId="1485A16F" w14:textId="77777777" w:rsidR="00C96521" w:rsidRPr="00C96521" w:rsidRDefault="00C96521" w:rsidP="00C96521">
      <w:pPr>
        <w:widowControl/>
        <w:spacing w:line="276" w:lineRule="auto"/>
        <w:rPr>
          <w:rFonts w:eastAsia="MS Mincho" w:cs="Arial"/>
          <w:b/>
          <w:color w:val="000000"/>
          <w:szCs w:val="18"/>
          <w:lang w:val="pt-PT" w:eastAsia="ja-JP"/>
        </w:rPr>
      </w:pPr>
    </w:p>
    <w:p w14:paraId="658EED8C" w14:textId="77777777" w:rsidR="00C96521" w:rsidRPr="00C96521" w:rsidRDefault="00C96521" w:rsidP="00C96521">
      <w:pPr>
        <w:widowControl/>
        <w:spacing w:line="276" w:lineRule="auto"/>
        <w:rPr>
          <w:rFonts w:eastAsia="MS Mincho" w:cs="Arial"/>
          <w:b/>
          <w:color w:val="000000"/>
          <w:szCs w:val="18"/>
          <w:lang w:val="pt-PT" w:eastAsia="ja-JP"/>
        </w:rPr>
      </w:pPr>
      <w:r w:rsidRPr="00C96521">
        <w:rPr>
          <w:rFonts w:eastAsia="MS Mincho" w:cs="Arial"/>
          <w:b/>
          <w:color w:val="000000"/>
          <w:szCs w:val="18"/>
          <w:lang w:val="pt-PT" w:eastAsia="ja-JP"/>
        </w:rPr>
        <w:t xml:space="preserve">DIAS S </w:t>
      </w:r>
      <w:r w:rsidRPr="00C96521">
        <w:rPr>
          <w:rFonts w:eastAsia="MS Mincho" w:cs="Arial"/>
          <w:color w:val="000000"/>
          <w:szCs w:val="18"/>
          <w:lang w:val="pt-PT" w:eastAsia="ja-JP"/>
        </w:rPr>
        <w:t xml:space="preserve">and </w:t>
      </w:r>
      <w:r w:rsidRPr="00C96521">
        <w:rPr>
          <w:rFonts w:eastAsia="MS Mincho" w:cs="Arial"/>
          <w:b/>
          <w:color w:val="000000"/>
          <w:szCs w:val="18"/>
          <w:lang w:val="pt-PT" w:eastAsia="ja-JP"/>
        </w:rPr>
        <w:t>FONTOURA P</w:t>
      </w:r>
      <w:r w:rsidRPr="00C96521">
        <w:rPr>
          <w:rFonts w:eastAsia="MS Mincho" w:cs="Arial"/>
          <w:color w:val="000000"/>
          <w:szCs w:val="18"/>
          <w:lang w:val="pt-PT" w:eastAsia="ja-JP"/>
        </w:rPr>
        <w:t xml:space="preserve"> (</w:t>
      </w:r>
      <w:r w:rsidRPr="00C96521">
        <w:rPr>
          <w:rFonts w:eastAsia="MS Mincho" w:cs="Arial"/>
          <w:b/>
          <w:color w:val="000000"/>
          <w:szCs w:val="18"/>
          <w:lang w:val="pt-PT" w:eastAsia="ja-JP"/>
        </w:rPr>
        <w:t xml:space="preserve">1996) </w:t>
      </w:r>
      <w:r w:rsidRPr="00C96521">
        <w:rPr>
          <w:rFonts w:eastAsia="MS Mincho" w:cs="Arial"/>
          <w:color w:val="000000"/>
          <w:szCs w:val="18"/>
          <w:lang w:val="pt-PT" w:eastAsia="ja-JP"/>
        </w:rPr>
        <w:t xml:space="preserve">A alimentação estival da rola-brava no sul de Portugal. Actas do II Congresso Ibérico de Ciências Cinegéticas. </w:t>
      </w:r>
      <w:r w:rsidRPr="00C96521">
        <w:rPr>
          <w:rFonts w:eastAsia="MS Mincho" w:cs="Arial"/>
          <w:i/>
          <w:color w:val="000000"/>
          <w:szCs w:val="18"/>
          <w:lang w:val="pt-PT" w:eastAsia="ja-JP"/>
        </w:rPr>
        <w:t>Revista Florestal</w:t>
      </w:r>
      <w:r w:rsidRPr="00C96521">
        <w:rPr>
          <w:rFonts w:eastAsia="MS Mincho" w:cs="Arial"/>
          <w:color w:val="000000"/>
          <w:szCs w:val="18"/>
          <w:lang w:val="pt-PT" w:eastAsia="ja-JP"/>
        </w:rPr>
        <w:t xml:space="preserve"> 9(1): 227-241.</w:t>
      </w:r>
    </w:p>
    <w:p w14:paraId="373C05FA" w14:textId="77777777" w:rsidR="00C96521" w:rsidRPr="00890F11" w:rsidRDefault="00C96521" w:rsidP="00C96521">
      <w:pPr>
        <w:widowControl/>
        <w:spacing w:line="276" w:lineRule="auto"/>
        <w:rPr>
          <w:rFonts w:eastAsia="MS Mincho" w:cs="Arial"/>
          <w:b/>
          <w:szCs w:val="18"/>
          <w:lang w:val="es-ES" w:eastAsia="ja-JP"/>
        </w:rPr>
      </w:pPr>
    </w:p>
    <w:p w14:paraId="14BE13CD"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 xml:space="preserve">DIAS S, MOREIRA F, BEJA P, CARVALHO M, GORDINHO L, REINO L, OLIVEIRA V and REGO F (2013) </w:t>
      </w:r>
      <w:r w:rsidRPr="00C96521">
        <w:rPr>
          <w:rFonts w:eastAsia="MS Mincho" w:cs="Arial"/>
          <w:szCs w:val="18"/>
          <w:lang w:val="en-GB" w:eastAsia="ja-JP"/>
        </w:rPr>
        <w:t xml:space="preserve">Landscape effects on large-scale abundance patterns of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in Portugal. </w:t>
      </w:r>
      <w:r w:rsidRPr="00C96521">
        <w:rPr>
          <w:rFonts w:eastAsia="MS Mincho" w:cs="Arial"/>
          <w:i/>
          <w:szCs w:val="18"/>
          <w:lang w:val="en-GB" w:eastAsia="ja-JP"/>
        </w:rPr>
        <w:t>European Journal of Wildlife Resources</w:t>
      </w:r>
      <w:r w:rsidRPr="00C96521">
        <w:rPr>
          <w:rFonts w:eastAsia="MS Mincho" w:cs="Arial"/>
          <w:szCs w:val="18"/>
          <w:lang w:val="en-GB" w:eastAsia="ja-JP"/>
        </w:rPr>
        <w:t xml:space="preserve"> 59: 531–541.</w:t>
      </w:r>
    </w:p>
    <w:p w14:paraId="5B0A59FE" w14:textId="77777777" w:rsidR="00C96521" w:rsidRPr="00C96521" w:rsidRDefault="00C96521" w:rsidP="00C96521">
      <w:pPr>
        <w:widowControl/>
        <w:spacing w:line="276" w:lineRule="auto"/>
        <w:rPr>
          <w:rFonts w:eastAsia="MS Mincho" w:cs="Arial"/>
          <w:szCs w:val="18"/>
          <w:lang w:val="en-GB" w:eastAsia="ja-JP"/>
        </w:rPr>
      </w:pPr>
    </w:p>
    <w:p w14:paraId="372B39CB" w14:textId="77777777" w:rsidR="00C96521" w:rsidRPr="00C96521" w:rsidRDefault="00C96521" w:rsidP="00C96521">
      <w:pPr>
        <w:widowControl/>
        <w:spacing w:line="276" w:lineRule="auto"/>
        <w:rPr>
          <w:rFonts w:eastAsia="MS Mincho" w:cs="Arial"/>
          <w:color w:val="000000"/>
          <w:szCs w:val="18"/>
          <w:lang w:val="pt-PT" w:eastAsia="ja-JP"/>
        </w:rPr>
      </w:pPr>
      <w:r w:rsidRPr="00C96521">
        <w:rPr>
          <w:rFonts w:eastAsia="MS Mincho" w:cs="Arial"/>
          <w:b/>
          <w:color w:val="000000"/>
          <w:szCs w:val="18"/>
          <w:lang w:val="pt-PT" w:eastAsia="ja-JP"/>
        </w:rPr>
        <w:t>DILLINGHAM PW and FLETCHER D (2008)</w:t>
      </w:r>
      <w:r w:rsidRPr="00C96521">
        <w:rPr>
          <w:rFonts w:eastAsia="MS Mincho" w:cs="Arial"/>
          <w:color w:val="000000"/>
          <w:szCs w:val="18"/>
          <w:lang w:val="pt-PT" w:eastAsia="ja-JP"/>
        </w:rPr>
        <w:t xml:space="preserve"> Estimating the ability of birds to sustain additional human-caused mortalities using a simple decision rule and allometric relationships. </w:t>
      </w:r>
      <w:r w:rsidRPr="00C96521">
        <w:rPr>
          <w:rFonts w:eastAsia="MS Mincho" w:cs="Arial"/>
          <w:i/>
          <w:color w:val="000000"/>
          <w:szCs w:val="18"/>
          <w:lang w:val="pt-PT" w:eastAsia="ja-JP"/>
        </w:rPr>
        <w:t>Biological Conservation</w:t>
      </w:r>
      <w:r w:rsidRPr="00C96521">
        <w:rPr>
          <w:rFonts w:eastAsia="MS Mincho" w:cs="Arial"/>
          <w:color w:val="000000"/>
          <w:szCs w:val="18"/>
          <w:lang w:val="pt-PT" w:eastAsia="ja-JP"/>
        </w:rPr>
        <w:t xml:space="preserve"> 141(7): 1783 – 1792.</w:t>
      </w:r>
    </w:p>
    <w:p w14:paraId="1054F664" w14:textId="77777777" w:rsidR="00C96521" w:rsidRPr="00890F11" w:rsidRDefault="00C96521" w:rsidP="00C96521">
      <w:pPr>
        <w:widowControl/>
        <w:spacing w:line="276" w:lineRule="auto"/>
        <w:rPr>
          <w:rFonts w:eastAsia="MS Mincho" w:cs="Arial"/>
          <w:szCs w:val="18"/>
          <w:lang w:val="fr-FR" w:eastAsia="ja-JP"/>
        </w:rPr>
      </w:pPr>
    </w:p>
    <w:p w14:paraId="267D2568" w14:textId="77777777" w:rsidR="00C96521" w:rsidRPr="00890F11" w:rsidRDefault="00C96521" w:rsidP="00C96521">
      <w:pPr>
        <w:widowControl/>
        <w:spacing w:line="276" w:lineRule="auto"/>
        <w:rPr>
          <w:rFonts w:eastAsia="MS Mincho" w:cs="Arial"/>
          <w:szCs w:val="18"/>
          <w:lang w:val="fr-FR" w:eastAsia="ja-JP"/>
        </w:rPr>
      </w:pPr>
      <w:r w:rsidRPr="00890F11">
        <w:rPr>
          <w:rFonts w:eastAsia="MS Mincho" w:cs="Arial"/>
          <w:b/>
          <w:szCs w:val="18"/>
          <w:lang w:val="fr-FR" w:eastAsia="ja-JP"/>
        </w:rPr>
        <w:t>DUBOIS C (2002)</w:t>
      </w:r>
      <w:r w:rsidRPr="00890F11">
        <w:rPr>
          <w:rFonts w:eastAsia="MS Mincho" w:cs="Arial"/>
          <w:szCs w:val="18"/>
          <w:lang w:val="fr-FR" w:eastAsia="ja-JP"/>
        </w:rPr>
        <w:t xml:space="preserve"> </w:t>
      </w:r>
      <w:r w:rsidRPr="00890F11">
        <w:rPr>
          <w:rFonts w:eastAsia="MS Mincho" w:cs="Arial"/>
          <w:i/>
          <w:szCs w:val="18"/>
          <w:lang w:val="fr-FR" w:eastAsia="ja-JP"/>
        </w:rPr>
        <w:t>Contribution à l’étude de la tourterelle des bois (</w:t>
      </w:r>
      <w:r w:rsidRPr="00890F11">
        <w:rPr>
          <w:rFonts w:eastAsia="MS Mincho" w:cs="Arial"/>
          <w:szCs w:val="18"/>
          <w:lang w:val="fr-FR" w:eastAsia="ja-JP"/>
        </w:rPr>
        <w:t>Streptopelia turtur</w:t>
      </w:r>
      <w:r w:rsidRPr="00890F11">
        <w:rPr>
          <w:rFonts w:eastAsia="MS Mincho" w:cs="Arial"/>
          <w:i/>
          <w:szCs w:val="18"/>
          <w:lang w:val="fr-FR" w:eastAsia="ja-JP"/>
        </w:rPr>
        <w:t>): Biologie, Zoologie, Chasse</w:t>
      </w:r>
      <w:r w:rsidRPr="00890F11">
        <w:rPr>
          <w:rFonts w:eastAsia="MS Mincho" w:cs="Arial"/>
          <w:szCs w:val="18"/>
          <w:lang w:val="fr-FR" w:eastAsia="ja-JP"/>
        </w:rPr>
        <w:t>. Thèse pour obtenir le grade de Docteur Vétérinaire. Ecole Nationale Vétérinaire, Toulouse.</w:t>
      </w:r>
    </w:p>
    <w:p w14:paraId="2A10E0C6" w14:textId="77777777" w:rsidR="00C96521" w:rsidRPr="00890F11" w:rsidRDefault="00C96521" w:rsidP="00C96521">
      <w:pPr>
        <w:widowControl/>
        <w:spacing w:line="276" w:lineRule="auto"/>
        <w:rPr>
          <w:rFonts w:eastAsia="MS Mincho" w:cs="Arial"/>
          <w:b/>
          <w:szCs w:val="18"/>
          <w:lang w:val="fr-FR" w:eastAsia="ja-JP"/>
        </w:rPr>
      </w:pPr>
    </w:p>
    <w:p w14:paraId="648BC52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fr-FR" w:eastAsia="ja-JP"/>
        </w:rPr>
        <w:t>DUBOIS PJ, LE MARECHAL P, OLIOSO G and YESOU P (2008)</w:t>
      </w:r>
      <w:r w:rsidRPr="00890F11">
        <w:rPr>
          <w:rFonts w:eastAsia="MS Mincho" w:cs="Arial"/>
          <w:szCs w:val="18"/>
          <w:lang w:val="fr-FR" w:eastAsia="ja-JP"/>
        </w:rPr>
        <w:t xml:space="preserve"> </w:t>
      </w:r>
      <w:r w:rsidRPr="00890F11">
        <w:rPr>
          <w:rFonts w:eastAsia="MS Mincho" w:cs="Arial"/>
          <w:i/>
          <w:szCs w:val="18"/>
          <w:lang w:val="fr-FR" w:eastAsia="ja-JP"/>
        </w:rPr>
        <w:t>Nouvel inventaire des oiseaux de France</w:t>
      </w:r>
      <w:r w:rsidRPr="00890F11">
        <w:rPr>
          <w:rFonts w:eastAsia="MS Mincho" w:cs="Arial"/>
          <w:szCs w:val="18"/>
          <w:lang w:val="fr-FR" w:eastAsia="ja-JP"/>
        </w:rPr>
        <w:t xml:space="preserve">. </w:t>
      </w:r>
      <w:r w:rsidRPr="00C96521">
        <w:rPr>
          <w:rFonts w:eastAsia="MS Mincho" w:cs="Arial"/>
          <w:szCs w:val="18"/>
          <w:lang w:val="en-GB" w:eastAsia="ja-JP"/>
        </w:rPr>
        <w:t>Delachaux et Niestlé, Paris.</w:t>
      </w:r>
    </w:p>
    <w:p w14:paraId="6118207E" w14:textId="77777777" w:rsidR="00C96521" w:rsidRPr="00C96521" w:rsidRDefault="00C96521" w:rsidP="00C96521">
      <w:pPr>
        <w:widowControl/>
        <w:spacing w:line="276" w:lineRule="auto"/>
        <w:rPr>
          <w:rFonts w:eastAsia="MS Mincho" w:cs="Arial"/>
          <w:b/>
          <w:szCs w:val="18"/>
          <w:lang w:val="en-GB" w:eastAsia="ja-JP"/>
        </w:rPr>
      </w:pPr>
    </w:p>
    <w:p w14:paraId="75A3771C"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DUNN JC and MORRIS AJ (2012)</w:t>
      </w:r>
      <w:r w:rsidRPr="00C96521">
        <w:rPr>
          <w:rFonts w:eastAsia="MS Mincho" w:cs="Arial"/>
          <w:szCs w:val="18"/>
          <w:lang w:val="en-GB" w:eastAsia="ja-JP"/>
        </w:rPr>
        <w:t xml:space="preserve"> Which features of UK farmland are important in retaining territories of the rapidly declining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Bird Study</w:t>
      </w:r>
      <w:r w:rsidRPr="00C96521">
        <w:rPr>
          <w:rFonts w:eastAsia="MS Mincho" w:cs="Arial"/>
          <w:szCs w:val="18"/>
          <w:lang w:val="en-GB" w:eastAsia="ja-JP"/>
        </w:rPr>
        <w:t xml:space="preserve"> 59(4): 394-402.</w:t>
      </w:r>
    </w:p>
    <w:p w14:paraId="1B1D583F" w14:textId="77777777" w:rsidR="00C96521" w:rsidRPr="00C96521" w:rsidRDefault="00C96521" w:rsidP="00C96521">
      <w:pPr>
        <w:widowControl/>
        <w:spacing w:line="276" w:lineRule="auto"/>
        <w:rPr>
          <w:rFonts w:eastAsia="MS Mincho" w:cs="Arial"/>
          <w:b/>
          <w:szCs w:val="18"/>
          <w:lang w:val="en-GB" w:eastAsia="ja-JP"/>
        </w:rPr>
      </w:pPr>
    </w:p>
    <w:p w14:paraId="4FCF3217"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DUNN JC, MORRIS AJ and GRICE PV (2015)</w:t>
      </w:r>
      <w:r w:rsidRPr="00C96521">
        <w:rPr>
          <w:rFonts w:eastAsia="MS Mincho" w:cs="Arial"/>
          <w:szCs w:val="18"/>
          <w:lang w:val="en-GB" w:eastAsia="ja-JP"/>
        </w:rPr>
        <w:t xml:space="preserve"> Testing bespoke management of foraging habitat for European Turtle Doves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Journal of Nature Conservation</w:t>
      </w:r>
      <w:r w:rsidRPr="00C96521">
        <w:rPr>
          <w:rFonts w:eastAsia="MS Mincho" w:cs="Arial"/>
          <w:szCs w:val="18"/>
          <w:lang w:val="en-GB" w:eastAsia="ja-JP"/>
        </w:rPr>
        <w:t xml:space="preserve"> 25: 23-34.</w:t>
      </w:r>
    </w:p>
    <w:p w14:paraId="5AC187F4" w14:textId="77777777" w:rsidR="00C96521" w:rsidRPr="00C96521" w:rsidRDefault="00C96521" w:rsidP="00C96521">
      <w:pPr>
        <w:widowControl/>
        <w:spacing w:line="276" w:lineRule="auto"/>
        <w:rPr>
          <w:rFonts w:eastAsia="MS Mincho" w:cs="Arial"/>
          <w:b/>
          <w:szCs w:val="18"/>
          <w:lang w:val="en-GB" w:eastAsia="ja-JP"/>
        </w:rPr>
      </w:pPr>
    </w:p>
    <w:p w14:paraId="4D896F2F"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DUNN JC, MORRIS AJ and GRICE PV (2016a)</w:t>
      </w:r>
      <w:r w:rsidRPr="00C96521">
        <w:rPr>
          <w:rFonts w:eastAsia="MS Mincho" w:cs="Arial"/>
          <w:szCs w:val="18"/>
          <w:lang w:val="en-GB" w:eastAsia="ja-JP"/>
        </w:rPr>
        <w:t xml:space="preserve"> Post-fledging habitat selection in a rapidly declining farmland bird, the European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Bird Conservation International</w:t>
      </w:r>
      <w:r w:rsidRPr="00C96521">
        <w:rPr>
          <w:rFonts w:eastAsia="MS Mincho" w:cs="Arial"/>
          <w:szCs w:val="18"/>
          <w:lang w:val="en-GB" w:eastAsia="ja-JP"/>
        </w:rPr>
        <w:t>, available on CJO 2016 doi:10.1017/S0959270916000022.</w:t>
      </w:r>
    </w:p>
    <w:p w14:paraId="2C7B4C38" w14:textId="77777777" w:rsidR="00C96521" w:rsidRPr="00C96521" w:rsidRDefault="00C96521" w:rsidP="00C96521">
      <w:pPr>
        <w:widowControl/>
        <w:spacing w:line="276" w:lineRule="auto"/>
        <w:rPr>
          <w:rFonts w:eastAsia="MS Mincho" w:cs="Arial"/>
          <w:szCs w:val="18"/>
          <w:lang w:val="en-GB" w:eastAsia="ja-JP"/>
        </w:rPr>
      </w:pPr>
    </w:p>
    <w:p w14:paraId="1127DAA3"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DUNN JC, STOCKDALE JE, McCUBBIN A, THOMAS RC, GOODMAN SJ, GRICE PV, MORRIS AJ, HAMER KC and SYMONDSON WOC (2016b)</w:t>
      </w:r>
      <w:r w:rsidRPr="00C96521">
        <w:rPr>
          <w:rFonts w:eastAsia="MS Mincho" w:cs="Arial"/>
          <w:szCs w:val="18"/>
          <w:lang w:val="en-GB" w:eastAsia="ja-JP"/>
        </w:rPr>
        <w:t xml:space="preserve"> Non-cultured faecal and gastrointestinal seed samples fail to detect Trichomonad infection in clinically and sub-clinically infected columbid birds. </w:t>
      </w:r>
      <w:r w:rsidRPr="00C96521">
        <w:rPr>
          <w:rFonts w:eastAsia="MS Mincho" w:cs="Arial"/>
          <w:i/>
          <w:szCs w:val="18"/>
          <w:lang w:val="en-GB" w:eastAsia="ja-JP"/>
        </w:rPr>
        <w:t xml:space="preserve">Conservation Genetic Resources </w:t>
      </w:r>
      <w:r w:rsidRPr="00C96521">
        <w:rPr>
          <w:rFonts w:eastAsia="MS Mincho" w:cs="Arial"/>
          <w:szCs w:val="18"/>
          <w:lang w:val="en-GB" w:eastAsia="ja-JP"/>
        </w:rPr>
        <w:t xml:space="preserve">8: 97–99. </w:t>
      </w:r>
    </w:p>
    <w:p w14:paraId="40FB4DF8" w14:textId="77777777" w:rsidR="00C96521" w:rsidRPr="00C96521" w:rsidRDefault="00C96521" w:rsidP="00C96521">
      <w:pPr>
        <w:widowControl/>
        <w:spacing w:line="276" w:lineRule="auto"/>
        <w:rPr>
          <w:rFonts w:eastAsia="MS Mincho" w:cs="Arial"/>
          <w:szCs w:val="18"/>
          <w:lang w:val="en-GB" w:eastAsia="ja-JP"/>
        </w:rPr>
      </w:pPr>
    </w:p>
    <w:p w14:paraId="03EB0A20"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DUNN JC, STOCKDALE JE, MOORHOUSE-GANN RJ, McCUBBIN A, HIPPERSON H, MORRIS AJ, GRICE PV and SYMONDSON WOC (2016c)</w:t>
      </w:r>
      <w:r w:rsidRPr="00C96521">
        <w:rPr>
          <w:rFonts w:eastAsia="MS Mincho" w:cs="Arial"/>
          <w:szCs w:val="18"/>
          <w:lang w:val="en-GB" w:eastAsia="ja-JP"/>
        </w:rPr>
        <w:t xml:space="preserve"> Molecular analysis of dietary overlap between UK columbids and associations between diet and body condition in the rapidly declining European turtle-dove </w:t>
      </w:r>
      <w:r w:rsidRPr="00C96521">
        <w:rPr>
          <w:rFonts w:eastAsia="MS Mincho" w:cs="Arial"/>
          <w:i/>
          <w:szCs w:val="18"/>
          <w:lang w:val="en-GB" w:eastAsia="ja-JP"/>
        </w:rPr>
        <w:t>Streptopelia turtur</w:t>
      </w:r>
      <w:r w:rsidRPr="00C96521">
        <w:rPr>
          <w:rFonts w:eastAsia="MS Mincho" w:cs="Arial"/>
          <w:szCs w:val="18"/>
          <w:lang w:val="en-GB" w:eastAsia="ja-JP"/>
        </w:rPr>
        <w:t>. RSPB, Sandy (under review).</w:t>
      </w:r>
    </w:p>
    <w:p w14:paraId="6AF017BB" w14:textId="77777777" w:rsidR="00C96521" w:rsidRPr="00C96521" w:rsidRDefault="00C96521" w:rsidP="00C96521">
      <w:pPr>
        <w:widowControl/>
        <w:spacing w:line="276" w:lineRule="auto"/>
        <w:rPr>
          <w:rFonts w:eastAsia="MS Mincho" w:cs="Arial"/>
          <w:szCs w:val="18"/>
          <w:lang w:val="en-GB" w:eastAsia="ja-JP"/>
        </w:rPr>
      </w:pPr>
    </w:p>
    <w:p w14:paraId="17CB6449" w14:textId="77777777" w:rsidR="00C96521" w:rsidRPr="008C00B8" w:rsidRDefault="00C96521" w:rsidP="00C96521">
      <w:pPr>
        <w:widowControl/>
        <w:autoSpaceDE/>
        <w:autoSpaceDN/>
        <w:adjustRightInd/>
        <w:spacing w:line="276" w:lineRule="auto"/>
        <w:rPr>
          <w:rFonts w:cs="Arial"/>
          <w:szCs w:val="18"/>
          <w:lang w:val="de-DE" w:eastAsia="ja-JP"/>
        </w:rPr>
      </w:pPr>
      <w:r w:rsidRPr="00C96521">
        <w:rPr>
          <w:rFonts w:cs="Arial"/>
          <w:b/>
          <w:szCs w:val="18"/>
          <w:lang w:val="en-GB" w:eastAsia="ja-JP"/>
        </w:rPr>
        <w:t>DVORAK M (2017)</w:t>
      </w:r>
      <w:r w:rsidRPr="00C96521">
        <w:rPr>
          <w:rFonts w:cs="Arial"/>
          <w:szCs w:val="18"/>
          <w:lang w:val="en-GB" w:eastAsia="ja-JP"/>
        </w:rPr>
        <w:t xml:space="preserve"> Population estimates of Austrian breeding birds. </w:t>
      </w:r>
      <w:r w:rsidRPr="008C00B8">
        <w:rPr>
          <w:rFonts w:cs="Arial"/>
          <w:i/>
          <w:szCs w:val="18"/>
          <w:lang w:val="de-DE" w:eastAsia="ja-JP"/>
        </w:rPr>
        <w:t>Egretta</w:t>
      </w:r>
      <w:r w:rsidRPr="008C00B8">
        <w:rPr>
          <w:rFonts w:cs="Arial"/>
          <w:szCs w:val="18"/>
          <w:lang w:val="de-DE" w:eastAsia="ja-JP"/>
        </w:rPr>
        <w:t xml:space="preserve"> 55, in preparation.</w:t>
      </w:r>
    </w:p>
    <w:p w14:paraId="70D30807" w14:textId="77777777" w:rsidR="00C96521" w:rsidRPr="008C00B8" w:rsidRDefault="00C96521" w:rsidP="00C96521">
      <w:pPr>
        <w:widowControl/>
        <w:autoSpaceDE/>
        <w:autoSpaceDN/>
        <w:adjustRightInd/>
        <w:spacing w:line="276" w:lineRule="auto"/>
        <w:rPr>
          <w:rFonts w:eastAsia="MS Mincho" w:cs="Arial"/>
          <w:b/>
          <w:szCs w:val="18"/>
          <w:lang w:val="de-DE" w:eastAsia="ja-JP"/>
        </w:rPr>
      </w:pPr>
    </w:p>
    <w:p w14:paraId="6AE7E7A1" w14:textId="77777777" w:rsidR="00C96521" w:rsidRPr="008C00B8" w:rsidRDefault="00C96521" w:rsidP="00C96521">
      <w:pPr>
        <w:widowControl/>
        <w:autoSpaceDE/>
        <w:autoSpaceDN/>
        <w:adjustRightInd/>
        <w:spacing w:line="276" w:lineRule="auto"/>
        <w:rPr>
          <w:rFonts w:eastAsia="MS Mincho" w:cs="Arial"/>
          <w:szCs w:val="18"/>
          <w:lang w:val="de-DE" w:eastAsia="ja-JP"/>
        </w:rPr>
      </w:pPr>
      <w:r w:rsidRPr="008C00B8">
        <w:rPr>
          <w:rFonts w:eastAsia="MS Mincho" w:cs="Arial"/>
          <w:b/>
          <w:szCs w:val="18"/>
          <w:lang w:val="de-DE" w:eastAsia="ja-JP"/>
        </w:rPr>
        <w:t>DVORAK M, RANNER A and BERG H-M (1993)</w:t>
      </w:r>
      <w:r w:rsidRPr="008C00B8">
        <w:rPr>
          <w:rFonts w:eastAsia="MS Mincho" w:cs="Arial"/>
          <w:szCs w:val="18"/>
          <w:lang w:val="de-DE" w:eastAsia="ja-JP"/>
        </w:rPr>
        <w:t xml:space="preserve"> </w:t>
      </w:r>
      <w:r w:rsidRPr="008C00B8">
        <w:rPr>
          <w:rFonts w:eastAsia="MS Mincho" w:cs="Arial"/>
          <w:i/>
          <w:szCs w:val="18"/>
          <w:lang w:val="de-DE" w:eastAsia="ja-JP"/>
        </w:rPr>
        <w:t>Atlas der Brutvögel Österreichs</w:t>
      </w:r>
      <w:r w:rsidRPr="008C00B8">
        <w:rPr>
          <w:rFonts w:eastAsia="MS Mincho" w:cs="Arial"/>
          <w:szCs w:val="18"/>
          <w:lang w:val="de-DE" w:eastAsia="ja-JP"/>
        </w:rPr>
        <w:t xml:space="preserve">. Ergebnisse der Brutvogelkartierung 1981-1985 der Österreichischen Gesellschaft für Vogelkunde. Herausgegeben vom Umweltbundesamt; Bundesministerium für Umwelt, Jugend und Familie. 527 S. </w:t>
      </w:r>
    </w:p>
    <w:p w14:paraId="5DAE0BB0" w14:textId="77777777" w:rsidR="00C96521" w:rsidRPr="008C00B8" w:rsidRDefault="00C96521" w:rsidP="00C96521">
      <w:pPr>
        <w:widowControl/>
        <w:autoSpaceDE/>
        <w:autoSpaceDN/>
        <w:adjustRightInd/>
        <w:spacing w:line="276" w:lineRule="auto"/>
        <w:rPr>
          <w:rFonts w:cs="Arial"/>
          <w:b/>
          <w:szCs w:val="18"/>
          <w:lang w:val="de-DE" w:eastAsia="ja-JP"/>
        </w:rPr>
      </w:pPr>
    </w:p>
    <w:p w14:paraId="7903570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cs="Arial"/>
          <w:b/>
          <w:szCs w:val="18"/>
          <w:lang w:val="en-GB" w:eastAsia="ja-JP"/>
        </w:rPr>
        <w:t>EASON P, RABIA B and ATTUM O (2016)</w:t>
      </w:r>
      <w:r w:rsidRPr="00C96521">
        <w:rPr>
          <w:rFonts w:eastAsia="MS Mincho" w:cs="Arial"/>
          <w:szCs w:val="18"/>
          <w:lang w:val="en-GB" w:eastAsia="ja-JP"/>
        </w:rPr>
        <w:t xml:space="preserve"> Hunting of migratory birds in North Sinai, Egypt. </w:t>
      </w:r>
      <w:r w:rsidRPr="00C96521">
        <w:rPr>
          <w:rFonts w:eastAsia="MS Mincho" w:cs="Arial"/>
          <w:i/>
          <w:szCs w:val="18"/>
          <w:lang w:val="en-GB" w:eastAsia="ja-JP"/>
        </w:rPr>
        <w:t>Bird Conservation International</w:t>
      </w:r>
      <w:r w:rsidRPr="00C96521">
        <w:rPr>
          <w:rFonts w:eastAsia="MS Mincho" w:cs="Arial"/>
          <w:szCs w:val="18"/>
          <w:lang w:val="en-GB" w:eastAsia="ja-JP"/>
        </w:rPr>
        <w:t xml:space="preserve"> 26: 39-51.</w:t>
      </w:r>
    </w:p>
    <w:p w14:paraId="102F47B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0DF281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cs="Arial"/>
          <w:b/>
          <w:szCs w:val="18"/>
          <w:lang w:val="en-GB" w:eastAsia="ja-JP"/>
        </w:rPr>
        <w:t>EATON M, AEBISCHER N, BROWN A, HEARN R, LOCK L, MUSGROVE A, NOBLE D, STROUD D and GREGORY R (2015)</w:t>
      </w:r>
      <w:r w:rsidRPr="00C96521">
        <w:rPr>
          <w:rFonts w:eastAsia="MS Mincho" w:cs="Arial"/>
          <w:szCs w:val="18"/>
          <w:lang w:val="en-GB" w:eastAsia="ja-JP"/>
        </w:rPr>
        <w:t xml:space="preserve"> Birds of Conservation Concern 4: the population status of birds in the UK, Channel Islands and Isle of Man. </w:t>
      </w:r>
      <w:r w:rsidRPr="00C96521">
        <w:rPr>
          <w:rFonts w:eastAsia="MS Mincho" w:cs="Arial"/>
          <w:i/>
          <w:szCs w:val="18"/>
          <w:lang w:val="en-GB" w:eastAsia="ja-JP"/>
        </w:rPr>
        <w:t>British Birds</w:t>
      </w:r>
      <w:r w:rsidRPr="00C96521">
        <w:rPr>
          <w:rFonts w:eastAsia="MS Mincho" w:cs="Arial"/>
          <w:szCs w:val="18"/>
          <w:lang w:val="en-GB" w:eastAsia="ja-JP"/>
        </w:rPr>
        <w:t xml:space="preserve"> 108: 708-746.</w:t>
      </w:r>
    </w:p>
    <w:p w14:paraId="0C122126" w14:textId="77777777" w:rsidR="00C96521" w:rsidRPr="00C96521" w:rsidRDefault="00C96521" w:rsidP="00C96521">
      <w:pPr>
        <w:widowControl/>
        <w:autoSpaceDE/>
        <w:autoSpaceDN/>
        <w:adjustRightInd/>
        <w:spacing w:line="276" w:lineRule="auto"/>
        <w:rPr>
          <w:rFonts w:cs="Arial"/>
          <w:b/>
          <w:szCs w:val="18"/>
          <w:lang w:val="en-GB" w:eastAsia="ja-JP"/>
        </w:rPr>
      </w:pPr>
    </w:p>
    <w:p w14:paraId="2E8E6F0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cs="Arial"/>
          <w:b/>
          <w:szCs w:val="18"/>
          <w:lang w:val="en-GB" w:eastAsia="ja-JP"/>
        </w:rPr>
        <w:t>EBCC/RSPB/BIRDLIFE/STATISTICS NETHERLANDS (2016)</w:t>
      </w:r>
      <w:r w:rsidRPr="00C96521">
        <w:rPr>
          <w:rFonts w:eastAsia="MS Mincho" w:cs="Arial"/>
          <w:szCs w:val="18"/>
          <w:lang w:val="en-GB" w:eastAsia="ja-JP"/>
        </w:rPr>
        <w:t xml:space="preserve"> </w:t>
      </w:r>
      <w:r w:rsidRPr="00C96521">
        <w:rPr>
          <w:rFonts w:eastAsia="MS Mincho" w:cs="Arial"/>
          <w:i/>
          <w:szCs w:val="18"/>
          <w:lang w:val="en-GB" w:eastAsia="ja-JP"/>
        </w:rPr>
        <w:t>Pan-European Common Bird Monitoring Scheme - Trends of common birds in Europe, 2016 update</w:t>
      </w:r>
      <w:r w:rsidRPr="00C96521">
        <w:rPr>
          <w:rFonts w:eastAsia="MS Mincho" w:cs="Arial"/>
          <w:szCs w:val="18"/>
          <w:lang w:val="en-GB" w:eastAsia="ja-JP"/>
        </w:rPr>
        <w:t>. European Bird Census Council, Czech Republic.</w:t>
      </w:r>
    </w:p>
    <w:p w14:paraId="2945EB59"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A626CF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ESCANDELL R (2011)</w:t>
      </w:r>
      <w:r w:rsidRPr="00C96521">
        <w:rPr>
          <w:rFonts w:eastAsia="MS Mincho" w:cs="Arial"/>
          <w:szCs w:val="18"/>
          <w:lang w:val="en-GB" w:eastAsia="ja-JP"/>
        </w:rPr>
        <w:t xml:space="preserve"> The turtle dove. In: </w:t>
      </w:r>
      <w:r w:rsidRPr="00C96521">
        <w:rPr>
          <w:rFonts w:eastAsia="MS Mincho" w:cs="Arial"/>
          <w:i/>
          <w:szCs w:val="18"/>
          <w:lang w:val="en-GB" w:eastAsia="ja-JP"/>
        </w:rPr>
        <w:t>Spring migration in the western Mediterranean and NW Africa: the results of 16 years of the Piccole Isoleproject</w:t>
      </w:r>
      <w:r w:rsidRPr="00C96521">
        <w:rPr>
          <w:rFonts w:eastAsia="MS Mincho" w:cs="Arial"/>
          <w:szCs w:val="18"/>
          <w:lang w:val="en-GB" w:eastAsia="ja-JP"/>
        </w:rPr>
        <w:t xml:space="preserve">. </w:t>
      </w:r>
      <w:r w:rsidRPr="00C96521">
        <w:rPr>
          <w:rFonts w:eastAsia="MS Mincho" w:cs="Arial"/>
          <w:i/>
          <w:szCs w:val="18"/>
          <w:lang w:val="en-GB" w:eastAsia="ja-JP"/>
        </w:rPr>
        <w:t>Monografias del museu de ciencias naturals 6</w:t>
      </w:r>
      <w:r w:rsidRPr="00C96521">
        <w:rPr>
          <w:rFonts w:eastAsia="MS Mincho" w:cs="Arial"/>
          <w:szCs w:val="18"/>
          <w:lang w:val="en-GB" w:eastAsia="ja-JP"/>
        </w:rPr>
        <w:t>. pp 31-37.</w:t>
      </w:r>
    </w:p>
    <w:p w14:paraId="2CFB27B2"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A2E9F5F" w14:textId="52D2682E"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EIONET (2017)</w:t>
      </w:r>
      <w:r w:rsidRPr="00C96521">
        <w:rPr>
          <w:rFonts w:eastAsia="MS Mincho" w:cs="Arial"/>
          <w:szCs w:val="18"/>
          <w:lang w:val="en-GB" w:eastAsia="ja-JP"/>
        </w:rPr>
        <w:t xml:space="preserve"> </w:t>
      </w:r>
      <w:r w:rsidRPr="00C96521">
        <w:rPr>
          <w:rFonts w:eastAsia="MS Mincho" w:cs="Arial"/>
          <w:i/>
          <w:szCs w:val="18"/>
          <w:lang w:val="en-GB" w:eastAsia="ja-JP"/>
        </w:rPr>
        <w:t>Population status and trends at the EU and Member State levels</w:t>
      </w:r>
      <w:r w:rsidRPr="00C96521">
        <w:rPr>
          <w:rFonts w:eastAsia="MS Mincho" w:cs="Arial"/>
          <w:szCs w:val="18"/>
          <w:lang w:val="en-GB" w:eastAsia="ja-JP"/>
        </w:rPr>
        <w:t xml:space="preserve"> – Streptopelia turtur. European Topic Centre on Biological Diversity. http://bd.eionet.europa.eu/article12/summary?period=1&amp;subject=A210 (last accessed 3</w:t>
      </w:r>
      <w:r w:rsidR="007910C0">
        <w:rPr>
          <w:rFonts w:eastAsia="MS Mincho" w:cs="Arial"/>
          <w:szCs w:val="18"/>
          <w:lang w:val="en-GB" w:eastAsia="ja-JP"/>
        </w:rPr>
        <w:t xml:space="preserve"> </w:t>
      </w:r>
      <w:r w:rsidRPr="00C96521">
        <w:rPr>
          <w:rFonts w:eastAsia="MS Mincho" w:cs="Arial"/>
          <w:szCs w:val="18"/>
          <w:lang w:val="en-GB" w:eastAsia="ja-JP"/>
        </w:rPr>
        <w:t>February 2017)</w:t>
      </w:r>
    </w:p>
    <w:p w14:paraId="29A4D2D5"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3390E9F"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C96521">
        <w:rPr>
          <w:rFonts w:eastAsia="MS Mincho" w:cs="Arial"/>
          <w:b/>
          <w:szCs w:val="18"/>
          <w:lang w:val="en-GB" w:eastAsia="ja-JP"/>
        </w:rPr>
        <w:t>ELTS J, LEITO A, LEIVITS A, LUIGUJÕE L, MÄGI E, NELLIS R, NELLIS R, OTS M and PEHLAK H (2013)</w:t>
      </w:r>
      <w:r w:rsidRPr="00C96521">
        <w:rPr>
          <w:rFonts w:eastAsia="MS Mincho" w:cs="Arial"/>
          <w:szCs w:val="18"/>
          <w:lang w:val="en-GB" w:eastAsia="ja-JP"/>
        </w:rPr>
        <w:t xml:space="preserve"> Status and numbers of Estonian birds, 2008–2012. </w:t>
      </w:r>
      <w:r w:rsidRPr="00890F11">
        <w:rPr>
          <w:rFonts w:eastAsia="MS Mincho" w:cs="Arial"/>
          <w:i/>
          <w:szCs w:val="18"/>
          <w:lang w:val="es-ES" w:eastAsia="ja-JP"/>
        </w:rPr>
        <w:t>Hirundo</w:t>
      </w:r>
      <w:r w:rsidRPr="00890F11">
        <w:rPr>
          <w:rFonts w:eastAsia="MS Mincho" w:cs="Arial"/>
          <w:szCs w:val="18"/>
          <w:lang w:val="es-ES" w:eastAsia="ja-JP"/>
        </w:rPr>
        <w:t xml:space="preserve"> 26(2): 80−112.</w:t>
      </w:r>
    </w:p>
    <w:p w14:paraId="2EF2AA0D" w14:textId="77777777" w:rsidR="00C96521" w:rsidRPr="00890F11" w:rsidRDefault="00C96521" w:rsidP="00C96521">
      <w:pPr>
        <w:widowControl/>
        <w:spacing w:line="276" w:lineRule="auto"/>
        <w:rPr>
          <w:rFonts w:eastAsia="MS Mincho" w:cs="Arial"/>
          <w:b/>
          <w:szCs w:val="18"/>
          <w:lang w:val="es-ES" w:eastAsia="ja-JP"/>
        </w:rPr>
      </w:pPr>
    </w:p>
    <w:p w14:paraId="2E7288B8"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EQUIPA ATLAS (2008)</w:t>
      </w:r>
      <w:r w:rsidRPr="00890F11">
        <w:rPr>
          <w:rFonts w:eastAsia="MS Mincho" w:cs="Arial"/>
          <w:szCs w:val="18"/>
          <w:lang w:val="es-ES" w:eastAsia="ja-JP"/>
        </w:rPr>
        <w:t xml:space="preserve"> </w:t>
      </w:r>
      <w:r w:rsidRPr="00890F11">
        <w:rPr>
          <w:rFonts w:eastAsia="MS Mincho" w:cs="Arial"/>
          <w:i/>
          <w:szCs w:val="18"/>
          <w:lang w:val="es-ES" w:eastAsia="ja-JP"/>
        </w:rPr>
        <w:t>Atlas das Aves Nidificantes em Portugal (1999-2005)</w:t>
      </w:r>
      <w:r w:rsidRPr="00890F11">
        <w:rPr>
          <w:rFonts w:eastAsia="MS Mincho" w:cs="Arial"/>
          <w:szCs w:val="18"/>
          <w:lang w:val="es-ES" w:eastAsia="ja-JP"/>
        </w:rPr>
        <w:t>. Instituto da Conservação da Natureza e da Biodiversividade, Sociedade Portuguesa para o Estudo das Aves, Lisboa.</w:t>
      </w:r>
    </w:p>
    <w:p w14:paraId="7AF3C612" w14:textId="77777777" w:rsidR="00C96521" w:rsidRPr="00890F11" w:rsidRDefault="00C96521" w:rsidP="00C96521">
      <w:pPr>
        <w:widowControl/>
        <w:spacing w:line="276" w:lineRule="auto"/>
        <w:rPr>
          <w:rFonts w:eastAsia="MS Mincho" w:cs="Arial"/>
          <w:b/>
          <w:szCs w:val="18"/>
          <w:lang w:val="es-ES" w:eastAsia="ja-JP"/>
        </w:rPr>
      </w:pPr>
    </w:p>
    <w:p w14:paraId="75028876"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ERAUD C, BOUTIN J-M, RIVIÈRE M, BRUN J, BARBRAUD C and LORMÉE H (2009)</w:t>
      </w:r>
      <w:r w:rsidRPr="00C96521">
        <w:rPr>
          <w:rFonts w:eastAsia="MS Mincho" w:cs="Arial"/>
          <w:szCs w:val="18"/>
          <w:lang w:val="en-GB" w:eastAsia="ja-JP"/>
        </w:rPr>
        <w:t xml:space="preserve"> Survival of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in relation to western Africa environmental conditions. </w:t>
      </w:r>
      <w:r w:rsidRPr="00C96521">
        <w:rPr>
          <w:rFonts w:eastAsia="MS Mincho" w:cs="Arial"/>
          <w:i/>
          <w:szCs w:val="18"/>
          <w:lang w:val="en-GB" w:eastAsia="ja-JP"/>
        </w:rPr>
        <w:t>Ibis</w:t>
      </w:r>
      <w:r w:rsidRPr="00C96521">
        <w:rPr>
          <w:rFonts w:eastAsia="MS Mincho" w:cs="Arial"/>
          <w:szCs w:val="18"/>
          <w:lang w:val="en-GB" w:eastAsia="ja-JP"/>
        </w:rPr>
        <w:t xml:space="preserve"> 151: 186–190.</w:t>
      </w:r>
    </w:p>
    <w:p w14:paraId="7D3A14AB" w14:textId="77777777" w:rsidR="00C96521" w:rsidRPr="00C96521" w:rsidRDefault="00C96521" w:rsidP="00C96521">
      <w:pPr>
        <w:widowControl/>
        <w:spacing w:line="276" w:lineRule="auto"/>
        <w:rPr>
          <w:rFonts w:eastAsia="MS Mincho" w:cs="Arial"/>
          <w:b/>
          <w:szCs w:val="18"/>
          <w:lang w:val="en-GB" w:eastAsia="ja-JP"/>
        </w:rPr>
      </w:pPr>
    </w:p>
    <w:p w14:paraId="3837E36D"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ERAUD C, RIVIÈRE M, LORMÉE H, FOX JW, DUCAMP J-J and BOUTIN J-M (2013)</w:t>
      </w:r>
      <w:r w:rsidRPr="00C96521">
        <w:rPr>
          <w:rFonts w:eastAsia="MS Mincho" w:cs="Arial"/>
          <w:szCs w:val="18"/>
          <w:lang w:val="en-GB" w:eastAsia="ja-JP"/>
        </w:rPr>
        <w:t xml:space="preserve"> Migration routes and staging areas of trans-Saharan turtle-doves appraised from light-level geolocators. </w:t>
      </w:r>
      <w:r w:rsidRPr="00C96521">
        <w:rPr>
          <w:rFonts w:eastAsia="MS Mincho" w:cs="Arial"/>
          <w:i/>
          <w:szCs w:val="18"/>
          <w:lang w:val="en-GB" w:eastAsia="ja-JP"/>
        </w:rPr>
        <w:t>PLoS ONE</w:t>
      </w:r>
      <w:r w:rsidRPr="00C96521">
        <w:rPr>
          <w:rFonts w:eastAsia="MS Mincho" w:cs="Arial"/>
          <w:szCs w:val="18"/>
          <w:lang w:val="en-GB" w:eastAsia="ja-JP"/>
        </w:rPr>
        <w:t xml:space="preserve"> 8(3): e59396. doi:10.1371/journal.pone.0059396.</w:t>
      </w:r>
    </w:p>
    <w:p w14:paraId="531C9773"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AEB023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EUROPEAN UNION (2008)</w:t>
      </w:r>
      <w:r w:rsidRPr="00C96521">
        <w:rPr>
          <w:rFonts w:eastAsia="MS Mincho" w:cs="Arial"/>
          <w:szCs w:val="18"/>
          <w:lang w:val="en-GB" w:eastAsia="ja-JP"/>
        </w:rPr>
        <w:t xml:space="preserve"> </w:t>
      </w:r>
      <w:r w:rsidRPr="00C96521">
        <w:rPr>
          <w:rFonts w:eastAsia="MS Mincho" w:cs="Arial"/>
          <w:i/>
          <w:szCs w:val="18"/>
          <w:lang w:val="en-GB" w:eastAsia="ja-JP"/>
        </w:rPr>
        <w:t>Period of reproduction and prenuptial migration of Annex II bird species in the EU</w:t>
      </w:r>
      <w:r w:rsidRPr="00C96521">
        <w:rPr>
          <w:rFonts w:eastAsia="MS Mincho" w:cs="Arial"/>
          <w:szCs w:val="18"/>
          <w:lang w:val="en-GB" w:eastAsia="ja-JP"/>
        </w:rPr>
        <w:t>. http://ec.europa.eu/environment/nature/conservation/wildbirds/hunting/docs/reprod_68-73_en.pdf (last accessed 5th September 2016).</w:t>
      </w:r>
    </w:p>
    <w:p w14:paraId="74C130AD"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275533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EUROPEAN UNION (2013)</w:t>
      </w:r>
      <w:r w:rsidRPr="00C96521">
        <w:rPr>
          <w:rFonts w:eastAsia="MS Mincho" w:cs="Arial"/>
          <w:szCs w:val="18"/>
          <w:lang w:val="en-GB" w:eastAsia="ja-JP"/>
        </w:rPr>
        <w:t xml:space="preserve"> </w:t>
      </w:r>
      <w:r w:rsidRPr="00C96521">
        <w:rPr>
          <w:rFonts w:eastAsia="MS Mincho" w:cs="Arial"/>
          <w:i/>
          <w:szCs w:val="18"/>
          <w:lang w:val="en-GB" w:eastAsia="ja-JP"/>
        </w:rPr>
        <w:t xml:space="preserve">National reporting under Article 12 of the Birds Directive. </w:t>
      </w:r>
      <w:r w:rsidRPr="00C96521">
        <w:rPr>
          <w:rFonts w:eastAsia="MS Mincho" w:cs="Arial"/>
          <w:szCs w:val="18"/>
          <w:lang w:val="en-GB" w:eastAsia="ja-JP"/>
        </w:rPr>
        <w:t>http://bd.eionet.europa.eu/article12/</w:t>
      </w:r>
      <w:r w:rsidRPr="00C96521" w:rsidDel="005813AC">
        <w:rPr>
          <w:rFonts w:eastAsia="MS Mincho" w:cs="Arial"/>
          <w:szCs w:val="18"/>
          <w:lang w:val="en-GB" w:eastAsia="ja-JP"/>
        </w:rPr>
        <w:t xml:space="preserve"> </w:t>
      </w:r>
      <w:r w:rsidRPr="00C96521">
        <w:rPr>
          <w:rFonts w:eastAsia="MS Mincho" w:cs="Arial"/>
          <w:szCs w:val="18"/>
          <w:lang w:val="en-GB" w:eastAsia="ja-JP"/>
        </w:rPr>
        <w:t>(last accessed 5th September 2016).</w:t>
      </w:r>
    </w:p>
    <w:p w14:paraId="5A06FE56"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958056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FAVIA (2016)</w:t>
      </w:r>
      <w:r w:rsidRPr="00C96521">
        <w:rPr>
          <w:rFonts w:eastAsia="MS Mincho" w:cs="Arial"/>
          <w:szCs w:val="18"/>
          <w:lang w:val="en-GB" w:eastAsia="ja-JP"/>
        </w:rPr>
        <w:t xml:space="preserve"> </w:t>
      </w:r>
      <w:r w:rsidRPr="00C96521">
        <w:rPr>
          <w:rFonts w:eastAsia="MS Mincho" w:cs="Arial"/>
          <w:i/>
          <w:szCs w:val="18"/>
          <w:lang w:val="en-GB" w:eastAsia="ja-JP"/>
        </w:rPr>
        <w:t>Small game - turtle-dove hunting</w:t>
      </w:r>
      <w:r w:rsidRPr="00C96521">
        <w:rPr>
          <w:rFonts w:eastAsia="MS Mincho" w:cs="Arial"/>
          <w:szCs w:val="18"/>
          <w:lang w:val="en-GB" w:eastAsia="ja-JP"/>
        </w:rPr>
        <w:t>. http://www.faviaviaggi.com/offers/small-game/animal/turtle-doves-15/?view=1#prettyPhoto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December 2016).</w:t>
      </w:r>
    </w:p>
    <w:p w14:paraId="20D42A4B" w14:textId="77777777" w:rsidR="00C96521" w:rsidRPr="00C96521" w:rsidRDefault="00C96521" w:rsidP="00C96521">
      <w:pPr>
        <w:widowControl/>
        <w:spacing w:line="276" w:lineRule="auto"/>
        <w:rPr>
          <w:rFonts w:eastAsia="MS Mincho" w:cs="Arial"/>
          <w:b/>
          <w:szCs w:val="18"/>
          <w:lang w:val="en-GB" w:eastAsia="ja-JP"/>
        </w:rPr>
      </w:pPr>
    </w:p>
    <w:p w14:paraId="06674BFA"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FEITH H (2011)</w:t>
      </w:r>
      <w:r w:rsidRPr="00890F11">
        <w:rPr>
          <w:rFonts w:eastAsia="MS Mincho" w:cs="Arial"/>
          <w:szCs w:val="18"/>
          <w:lang w:val="es-ES" w:eastAsia="ja-JP"/>
        </w:rPr>
        <w:t xml:space="preserve"> </w:t>
      </w:r>
      <w:r w:rsidRPr="00890F11">
        <w:rPr>
          <w:rFonts w:eastAsia="MS Mincho" w:cs="Arial"/>
          <w:i/>
          <w:szCs w:val="18"/>
          <w:lang w:val="es-ES" w:eastAsia="ja-JP"/>
        </w:rPr>
        <w:t>Projecto Chegadas - relatório 2011</w:t>
      </w:r>
      <w:r w:rsidRPr="00890F11">
        <w:rPr>
          <w:rFonts w:eastAsia="MS Mincho" w:cs="Arial"/>
          <w:szCs w:val="18"/>
          <w:lang w:val="es-ES" w:eastAsia="ja-JP"/>
        </w:rPr>
        <w:t>. Sociedade Portuguesa para o Estudo das Aves. Lisboa.</w:t>
      </w:r>
    </w:p>
    <w:p w14:paraId="43DA694C"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2D065A48" w14:textId="77777777" w:rsidR="00C96521" w:rsidRPr="008C00B8"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FEITH H (2013)</w:t>
      </w:r>
      <w:r w:rsidRPr="00890F11">
        <w:rPr>
          <w:rFonts w:eastAsia="MS Mincho" w:cs="Arial"/>
          <w:szCs w:val="18"/>
          <w:lang w:val="es-ES" w:eastAsia="ja-JP"/>
        </w:rPr>
        <w:t xml:space="preserve"> </w:t>
      </w:r>
      <w:r w:rsidRPr="00890F11">
        <w:rPr>
          <w:rFonts w:eastAsia="MS Mincho" w:cs="Arial"/>
          <w:i/>
          <w:szCs w:val="18"/>
          <w:lang w:val="es-ES" w:eastAsia="ja-JP"/>
        </w:rPr>
        <w:t>Projeto Chegadas - Relatório 2012</w:t>
      </w:r>
      <w:r w:rsidRPr="00890F11">
        <w:rPr>
          <w:rFonts w:eastAsia="MS Mincho" w:cs="Arial"/>
          <w:szCs w:val="18"/>
          <w:lang w:val="es-ES" w:eastAsia="ja-JP"/>
        </w:rPr>
        <w:t xml:space="preserve">. Sociedade Portuguesa para o Estudo das Aves. </w:t>
      </w:r>
      <w:r w:rsidRPr="008C00B8">
        <w:rPr>
          <w:rFonts w:eastAsia="MS Mincho" w:cs="Arial"/>
          <w:szCs w:val="18"/>
          <w:lang w:val="es-ES" w:eastAsia="ja-JP"/>
        </w:rPr>
        <w:t>Lisboa.</w:t>
      </w:r>
    </w:p>
    <w:p w14:paraId="67C2558B" w14:textId="77777777" w:rsidR="00C96521" w:rsidRPr="008C00B8" w:rsidRDefault="00C96521" w:rsidP="00C96521">
      <w:pPr>
        <w:widowControl/>
        <w:spacing w:line="276" w:lineRule="auto"/>
        <w:rPr>
          <w:rFonts w:eastAsia="MS Mincho" w:cs="Arial"/>
          <w:b/>
          <w:szCs w:val="18"/>
          <w:lang w:val="es-ES" w:eastAsia="ja-JP"/>
        </w:rPr>
      </w:pPr>
    </w:p>
    <w:p w14:paraId="2558AA16" w14:textId="77777777" w:rsidR="00C96521" w:rsidRPr="00C96521" w:rsidRDefault="00C96521" w:rsidP="00C96521">
      <w:pPr>
        <w:widowControl/>
        <w:spacing w:line="276" w:lineRule="auto"/>
        <w:rPr>
          <w:rFonts w:eastAsia="MS Mincho" w:cs="Arial"/>
          <w:szCs w:val="18"/>
          <w:lang w:val="en-GB" w:eastAsia="ja-JP"/>
        </w:rPr>
      </w:pPr>
      <w:r w:rsidRPr="008C00B8">
        <w:rPr>
          <w:rFonts w:eastAsia="MS Mincho" w:cs="Arial"/>
          <w:b/>
          <w:szCs w:val="18"/>
          <w:lang w:val="es-ES" w:eastAsia="ja-JP"/>
        </w:rPr>
        <w:t>FENGER M, NYEGAARD T and JØRGENSEN MF (2016)</w:t>
      </w:r>
      <w:r w:rsidRPr="008C00B8">
        <w:rPr>
          <w:rFonts w:eastAsia="MS Mincho" w:cs="Arial"/>
          <w:szCs w:val="18"/>
          <w:lang w:val="es-ES" w:eastAsia="ja-JP"/>
        </w:rPr>
        <w:t xml:space="preserve"> </w:t>
      </w:r>
      <w:r w:rsidRPr="008C00B8">
        <w:rPr>
          <w:rFonts w:eastAsia="MS Mincho" w:cs="Arial"/>
          <w:i/>
          <w:szCs w:val="18"/>
          <w:lang w:val="es-ES" w:eastAsia="ja-JP"/>
        </w:rPr>
        <w:t>Overvågning af de almindelige fuglearter i Danmark 1975-2015</w:t>
      </w:r>
      <w:r w:rsidRPr="008C00B8">
        <w:rPr>
          <w:rFonts w:eastAsia="MS Mincho" w:cs="Arial"/>
          <w:szCs w:val="18"/>
          <w:lang w:val="es-ES" w:eastAsia="ja-JP"/>
        </w:rPr>
        <w:t xml:space="preserve">. Årsrapport for Punkttællingsprogrammet. </w:t>
      </w:r>
      <w:r w:rsidRPr="00C96521">
        <w:rPr>
          <w:rFonts w:eastAsia="MS Mincho" w:cs="Arial"/>
          <w:szCs w:val="18"/>
          <w:lang w:val="en-GB" w:eastAsia="ja-JP"/>
        </w:rPr>
        <w:t>Dansk Ornitologisk Forening.</w:t>
      </w:r>
    </w:p>
    <w:p w14:paraId="5581D9BE" w14:textId="77777777" w:rsidR="00C96521" w:rsidRPr="00C96521" w:rsidRDefault="00C96521" w:rsidP="00C96521">
      <w:pPr>
        <w:widowControl/>
        <w:spacing w:line="276" w:lineRule="auto"/>
        <w:rPr>
          <w:rFonts w:eastAsia="MS Mincho" w:cs="Arial"/>
          <w:szCs w:val="18"/>
          <w:lang w:val="en-GB" w:eastAsia="ja-JP"/>
        </w:rPr>
      </w:pPr>
    </w:p>
    <w:p w14:paraId="718B405C"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FISHER IJ, PAIN DJ and THOMAS VG (2006)</w:t>
      </w:r>
      <w:r w:rsidRPr="00C96521">
        <w:rPr>
          <w:rFonts w:eastAsia="MS Mincho" w:cs="Arial"/>
          <w:szCs w:val="18"/>
          <w:lang w:val="en-GB" w:eastAsia="ja-JP"/>
        </w:rPr>
        <w:t xml:space="preserve"> A review of lead poisoning from ammunition sources in terrestrial birds. </w:t>
      </w:r>
      <w:r w:rsidRPr="00C96521">
        <w:rPr>
          <w:rFonts w:eastAsia="MS Mincho" w:cs="Arial"/>
          <w:i/>
          <w:szCs w:val="18"/>
          <w:lang w:val="en-GB" w:eastAsia="ja-JP"/>
        </w:rPr>
        <w:t>Biological Conservation</w:t>
      </w:r>
      <w:r w:rsidRPr="00C96521">
        <w:rPr>
          <w:rFonts w:eastAsia="MS Mincho" w:cs="Arial"/>
          <w:szCs w:val="18"/>
          <w:lang w:val="en-GB" w:eastAsia="ja-JP"/>
        </w:rPr>
        <w:t xml:space="preserve"> 131: 421-432. </w:t>
      </w:r>
    </w:p>
    <w:p w14:paraId="063110AC" w14:textId="77777777" w:rsidR="00C96521" w:rsidRPr="00C96521" w:rsidRDefault="00C96521" w:rsidP="00C96521">
      <w:pPr>
        <w:widowControl/>
        <w:spacing w:line="276" w:lineRule="auto"/>
        <w:rPr>
          <w:rFonts w:eastAsia="MS Mincho" w:cs="Arial"/>
          <w:szCs w:val="18"/>
          <w:lang w:val="en-GB" w:eastAsia="ja-JP"/>
        </w:rPr>
      </w:pPr>
    </w:p>
    <w:p w14:paraId="235944B8"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FISHER IJ, ASHPOLE JE, PROUD T and MARSH M (compilers) (2016a)</w:t>
      </w:r>
      <w:r w:rsidRPr="00C96521">
        <w:rPr>
          <w:rFonts w:eastAsia="MS Mincho" w:cs="Arial"/>
          <w:szCs w:val="18"/>
          <w:lang w:val="en-GB" w:eastAsia="ja-JP"/>
        </w:rPr>
        <w:t xml:space="preserve"> </w:t>
      </w:r>
      <w:r w:rsidRPr="00C96521">
        <w:rPr>
          <w:rFonts w:eastAsia="MS Mincho" w:cs="Arial"/>
          <w:i/>
          <w:szCs w:val="18"/>
          <w:lang w:val="en-GB" w:eastAsia="ja-JP"/>
        </w:rPr>
        <w:t xml:space="preserve">Status Report for the European Turtle-dove </w:t>
      </w:r>
      <w:r w:rsidRPr="00C96521">
        <w:rPr>
          <w:rFonts w:eastAsia="MS Mincho" w:cs="Arial"/>
          <w:szCs w:val="18"/>
          <w:lang w:val="en-GB" w:eastAsia="ja-JP"/>
        </w:rPr>
        <w:t xml:space="preserve">(Streptopelia turtur). Report of Actions A6, 8, 9 and 10 under the framework of Project LIFE EuroSAP (LIFE14 PRE UK 002). RSPB, Sandy (unpublished report). </w:t>
      </w:r>
    </w:p>
    <w:p w14:paraId="32ADFD18" w14:textId="77777777" w:rsidR="00C96521" w:rsidRPr="00C96521" w:rsidRDefault="00C96521" w:rsidP="00C96521">
      <w:pPr>
        <w:widowControl/>
        <w:spacing w:line="276" w:lineRule="auto"/>
        <w:rPr>
          <w:rFonts w:eastAsia="MS Mincho" w:cs="Arial"/>
          <w:szCs w:val="18"/>
          <w:lang w:val="en-GB" w:eastAsia="ja-JP"/>
        </w:rPr>
      </w:pPr>
    </w:p>
    <w:p w14:paraId="57D348AD"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FISHER IJ, PROUD T and ASHPOLE JE (compilers) (2016b)</w:t>
      </w:r>
      <w:r w:rsidRPr="00C96521">
        <w:rPr>
          <w:rFonts w:eastAsia="MS Mincho" w:cs="Arial"/>
          <w:szCs w:val="18"/>
          <w:lang w:val="en-GB" w:eastAsia="ja-JP"/>
        </w:rPr>
        <w:t xml:space="preserve"> </w:t>
      </w:r>
      <w:r w:rsidRPr="00C96521">
        <w:rPr>
          <w:rFonts w:eastAsia="MS Mincho" w:cs="Arial"/>
          <w:i/>
          <w:szCs w:val="18"/>
          <w:lang w:val="en-GB" w:eastAsia="ja-JP"/>
        </w:rPr>
        <w:t>Review of the EU European Turtle-dove (</w:t>
      </w:r>
      <w:r w:rsidRPr="00C96521">
        <w:rPr>
          <w:rFonts w:eastAsia="MS Mincho" w:cs="Arial"/>
          <w:szCs w:val="18"/>
          <w:lang w:val="en-GB" w:eastAsia="ja-JP"/>
        </w:rPr>
        <w:t>Streptopelia turtur</w:t>
      </w:r>
      <w:r w:rsidRPr="00C96521">
        <w:rPr>
          <w:rFonts w:eastAsia="MS Mincho" w:cs="Arial"/>
          <w:i/>
          <w:szCs w:val="18"/>
          <w:lang w:val="en-GB" w:eastAsia="ja-JP"/>
        </w:rPr>
        <w:t xml:space="preserve">, subspecies </w:t>
      </w:r>
      <w:r w:rsidRPr="00C96521">
        <w:rPr>
          <w:rFonts w:eastAsia="MS Mincho" w:cs="Arial"/>
          <w:szCs w:val="18"/>
          <w:lang w:val="en-GB" w:eastAsia="ja-JP"/>
        </w:rPr>
        <w:t>turtur</w:t>
      </w:r>
      <w:r w:rsidRPr="00C96521">
        <w:rPr>
          <w:rFonts w:eastAsia="MS Mincho" w:cs="Arial"/>
          <w:i/>
          <w:szCs w:val="18"/>
          <w:lang w:val="en-GB" w:eastAsia="ja-JP"/>
        </w:rPr>
        <w:t>) Management Plan</w:t>
      </w:r>
      <w:r w:rsidRPr="00C96521">
        <w:rPr>
          <w:rFonts w:eastAsia="MS Mincho" w:cs="Arial"/>
          <w:szCs w:val="18"/>
          <w:lang w:val="en-GB" w:eastAsia="ja-JP"/>
        </w:rPr>
        <w:t>. Report of Action A3 under the framework of the Project LIFE EuroSAP (LIFE14 PRE UK 002). RSPB, Sandy (unpublished report).</w:t>
      </w:r>
    </w:p>
    <w:p w14:paraId="5F97EF36" w14:textId="77777777" w:rsidR="00C96521" w:rsidRPr="00C96521" w:rsidRDefault="00C96521" w:rsidP="00C96521">
      <w:pPr>
        <w:widowControl/>
        <w:spacing w:line="276" w:lineRule="auto"/>
        <w:rPr>
          <w:rFonts w:eastAsia="MS Mincho"/>
          <w:sz w:val="20"/>
          <w:szCs w:val="20"/>
          <w:lang w:val="en-GB" w:eastAsia="ja-JP"/>
        </w:rPr>
      </w:pPr>
    </w:p>
    <w:p w14:paraId="62C0C6B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FLETCHER MR (1979)</w:t>
      </w:r>
      <w:r w:rsidRPr="00C96521">
        <w:rPr>
          <w:rFonts w:eastAsia="MS Mincho" w:cs="Arial"/>
          <w:bCs/>
          <w:szCs w:val="18"/>
          <w:lang w:val="en-GB" w:eastAsia="ja-JP"/>
        </w:rPr>
        <w:t xml:space="preserve"> </w:t>
      </w:r>
      <w:r w:rsidRPr="00C96521">
        <w:rPr>
          <w:rFonts w:eastAsia="MS Mincho" w:cs="Arial"/>
          <w:szCs w:val="18"/>
          <w:lang w:val="en-GB" w:eastAsia="ja-JP"/>
        </w:rPr>
        <w:t xml:space="preserve">Aggression by Collared Doves </w:t>
      </w:r>
      <w:r w:rsidRPr="00C96521">
        <w:rPr>
          <w:rFonts w:eastAsia="MS Mincho" w:cs="Arial"/>
          <w:i/>
          <w:szCs w:val="18"/>
          <w:lang w:val="en-GB" w:eastAsia="ja-JP"/>
        </w:rPr>
        <w:t>Streptopelia decaocto</w:t>
      </w:r>
      <w:r w:rsidRPr="00C96521">
        <w:rPr>
          <w:rFonts w:eastAsia="MS Mincho" w:cs="Arial"/>
          <w:szCs w:val="18"/>
          <w:lang w:val="en-GB" w:eastAsia="ja-JP"/>
        </w:rPr>
        <w:t xml:space="preserve"> to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British Birds</w:t>
      </w:r>
      <w:r w:rsidRPr="00C96521">
        <w:rPr>
          <w:rFonts w:eastAsia="MS Mincho" w:cs="Arial"/>
          <w:szCs w:val="18"/>
          <w:lang w:val="en-GB" w:eastAsia="ja-JP"/>
        </w:rPr>
        <w:t xml:space="preserve"> 72(7): 346.</w:t>
      </w:r>
    </w:p>
    <w:p w14:paraId="1893CA4C"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78C4967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FLINT VE, BOEHME RL, KOSTIN YV and KUZNETSOV AA (1984)</w:t>
      </w:r>
      <w:r w:rsidRPr="00C96521">
        <w:rPr>
          <w:rFonts w:eastAsia="MS Mincho" w:cs="Arial"/>
          <w:szCs w:val="18"/>
          <w:lang w:val="en-GB" w:eastAsia="ja-JP"/>
        </w:rPr>
        <w:t xml:space="preserve"> </w:t>
      </w:r>
      <w:r w:rsidRPr="00C96521">
        <w:rPr>
          <w:rFonts w:eastAsia="MS Mincho" w:cs="Arial"/>
          <w:i/>
          <w:szCs w:val="18"/>
          <w:lang w:val="en-GB" w:eastAsia="ja-JP"/>
        </w:rPr>
        <w:t>A Field Guide to the Birds of the USSR – Including Eastern Europe and Central Asia</w:t>
      </w:r>
      <w:r w:rsidRPr="00C96521">
        <w:rPr>
          <w:rFonts w:eastAsia="MS Mincho" w:cs="Arial"/>
          <w:szCs w:val="18"/>
          <w:lang w:val="en-GB" w:eastAsia="ja-JP"/>
        </w:rPr>
        <w:t>. Princeton University Press, New Jersey.</w:t>
      </w:r>
    </w:p>
    <w:p w14:paraId="28CCDFF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6B90270"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FLINT PR and STEWART PF (1992)</w:t>
      </w:r>
      <w:r w:rsidRPr="00C96521">
        <w:rPr>
          <w:rFonts w:eastAsia="MS Mincho" w:cs="Arial"/>
          <w:szCs w:val="18"/>
          <w:lang w:val="en-GB" w:eastAsia="ja-JP"/>
        </w:rPr>
        <w:t xml:space="preserve"> </w:t>
      </w:r>
      <w:r w:rsidRPr="00C96521">
        <w:rPr>
          <w:rFonts w:eastAsia="MS Mincho" w:cs="Arial"/>
          <w:i/>
          <w:szCs w:val="18"/>
          <w:lang w:val="en-GB" w:eastAsia="ja-JP"/>
        </w:rPr>
        <w:t>The Birds of Cyprus – An annotated check-list</w:t>
      </w:r>
      <w:r w:rsidRPr="00C96521">
        <w:rPr>
          <w:rFonts w:eastAsia="MS Mincho" w:cs="Arial"/>
          <w:szCs w:val="18"/>
          <w:lang w:val="en-GB" w:eastAsia="ja-JP"/>
        </w:rPr>
        <w:t xml:space="preserve">. </w:t>
      </w:r>
      <w:r w:rsidRPr="00890F11">
        <w:rPr>
          <w:rFonts w:eastAsia="MS Mincho" w:cs="Arial"/>
          <w:szCs w:val="18"/>
          <w:lang w:val="fr-FR" w:eastAsia="ja-JP"/>
        </w:rPr>
        <w:t xml:space="preserve">BOU Check-list 6 (Second Edition). </w:t>
      </w:r>
    </w:p>
    <w:p w14:paraId="129F5842"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0609A017" w14:textId="77777777" w:rsidR="00C96521" w:rsidRPr="00965D7D"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FNC (2016)</w:t>
      </w:r>
      <w:r w:rsidRPr="00890F11">
        <w:rPr>
          <w:rFonts w:eastAsia="MS Mincho" w:cs="Arial"/>
          <w:szCs w:val="18"/>
          <w:lang w:val="fr-FR" w:eastAsia="ja-JP"/>
        </w:rPr>
        <w:t xml:space="preserve"> </w:t>
      </w:r>
      <w:r w:rsidRPr="00890F11">
        <w:rPr>
          <w:rFonts w:eastAsia="MS Mincho" w:cs="Arial"/>
          <w:i/>
          <w:szCs w:val="18"/>
          <w:lang w:val="fr-FR" w:eastAsia="ja-JP"/>
        </w:rPr>
        <w:t>Conservation des habitats de la Tourterelle des bois (</w:t>
      </w:r>
      <w:r w:rsidRPr="00890F11">
        <w:rPr>
          <w:rFonts w:eastAsia="MS Mincho" w:cs="Arial"/>
          <w:szCs w:val="18"/>
          <w:lang w:val="fr-FR" w:eastAsia="ja-JP"/>
        </w:rPr>
        <w:t>Streptopelia turtur</w:t>
      </w:r>
      <w:r w:rsidRPr="00890F11">
        <w:rPr>
          <w:rFonts w:eastAsia="MS Mincho" w:cs="Arial"/>
          <w:i/>
          <w:szCs w:val="18"/>
          <w:lang w:val="fr-FR" w:eastAsia="ja-JP"/>
        </w:rPr>
        <w:t>) par les chasseurs français</w:t>
      </w:r>
      <w:r w:rsidRPr="00890F11">
        <w:rPr>
          <w:rFonts w:eastAsia="MS Mincho" w:cs="Arial"/>
          <w:szCs w:val="18"/>
          <w:lang w:val="fr-FR" w:eastAsia="ja-JP"/>
        </w:rPr>
        <w:t xml:space="preserve">. </w:t>
      </w:r>
      <w:r w:rsidRPr="00965D7D">
        <w:rPr>
          <w:rFonts w:eastAsia="MS Mincho" w:cs="Arial"/>
          <w:szCs w:val="18"/>
          <w:lang w:val="fr-FR" w:eastAsia="ja-JP"/>
        </w:rPr>
        <w:t>Fédération Nationale des Chasseurs (FNC).</w:t>
      </w:r>
    </w:p>
    <w:p w14:paraId="3A4F4A1A" w14:textId="77777777" w:rsidR="00C96521" w:rsidRPr="00965D7D" w:rsidRDefault="00C96521" w:rsidP="00C96521">
      <w:pPr>
        <w:widowControl/>
        <w:autoSpaceDE/>
        <w:autoSpaceDN/>
        <w:adjustRightInd/>
        <w:spacing w:line="276" w:lineRule="auto"/>
        <w:rPr>
          <w:rFonts w:eastAsia="MS Mincho" w:cs="Arial"/>
          <w:b/>
          <w:bCs/>
          <w:szCs w:val="18"/>
          <w:lang w:val="fr-FR" w:eastAsia="ja-JP"/>
        </w:rPr>
      </w:pPr>
    </w:p>
    <w:p w14:paraId="0EDAA6A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965D7D">
        <w:rPr>
          <w:rFonts w:eastAsia="MS Mincho" w:cs="Arial"/>
          <w:b/>
          <w:bCs/>
          <w:szCs w:val="18"/>
          <w:lang w:val="fr-FR" w:eastAsia="ja-JP"/>
        </w:rPr>
        <w:t>FONTOURA AP and DIAS S (1995)</w:t>
      </w:r>
      <w:r w:rsidRPr="00965D7D">
        <w:rPr>
          <w:rFonts w:eastAsia="MS Mincho" w:cs="Arial"/>
          <w:bCs/>
          <w:szCs w:val="18"/>
          <w:lang w:val="fr-FR" w:eastAsia="ja-JP"/>
        </w:rPr>
        <w:t xml:space="preserve"> </w:t>
      </w:r>
      <w:r w:rsidRPr="00965D7D">
        <w:rPr>
          <w:rFonts w:eastAsia="MS Mincho" w:cs="Arial"/>
          <w:szCs w:val="18"/>
          <w:lang w:val="fr-FR" w:eastAsia="ja-JP"/>
        </w:rPr>
        <w:t>Productivity of the turtle-dove (</w:t>
      </w:r>
      <w:r w:rsidRPr="00965D7D">
        <w:rPr>
          <w:rFonts w:eastAsia="MS Mincho" w:cs="Arial"/>
          <w:i/>
          <w:szCs w:val="18"/>
          <w:lang w:val="fr-FR" w:eastAsia="ja-JP"/>
        </w:rPr>
        <w:t>Streptopelia turtur</w:t>
      </w:r>
      <w:r w:rsidRPr="00965D7D">
        <w:rPr>
          <w:rFonts w:eastAsia="MS Mincho" w:cs="Arial"/>
          <w:szCs w:val="18"/>
          <w:lang w:val="fr-FR" w:eastAsia="ja-JP"/>
        </w:rPr>
        <w:t xml:space="preserve">) in the northwest of Portugal. </w:t>
      </w:r>
      <w:r w:rsidRPr="00C96521">
        <w:rPr>
          <w:rFonts w:eastAsia="MS Mincho" w:cs="Arial"/>
          <w:szCs w:val="18"/>
          <w:lang w:val="en-GB" w:eastAsia="ja-JP"/>
        </w:rPr>
        <w:t xml:space="preserve">In: BOTEV N (ed) </w:t>
      </w:r>
      <w:r w:rsidRPr="00C96521">
        <w:rPr>
          <w:rFonts w:eastAsia="MS Mincho" w:cs="Arial"/>
          <w:i/>
          <w:szCs w:val="18"/>
          <w:lang w:val="en-GB" w:eastAsia="ja-JP"/>
        </w:rPr>
        <w:t xml:space="preserve">Procedures of the International Union of Game Biologists XXII Congress: Game and man. </w:t>
      </w:r>
      <w:r w:rsidRPr="00C96521">
        <w:rPr>
          <w:rFonts w:eastAsia="MS Mincho" w:cs="Arial"/>
          <w:szCs w:val="18"/>
          <w:lang w:val="en-GB" w:eastAsia="ja-JP"/>
        </w:rPr>
        <w:t>Sofia, Bulgaria 4-8 September 1995 (1996). pp 1-6.</w:t>
      </w:r>
    </w:p>
    <w:p w14:paraId="753935E1" w14:textId="77777777" w:rsidR="00C96521" w:rsidRPr="00C96521" w:rsidRDefault="00C96521" w:rsidP="00C96521">
      <w:pPr>
        <w:widowControl/>
        <w:autoSpaceDE/>
        <w:autoSpaceDN/>
        <w:adjustRightInd/>
        <w:spacing w:line="276" w:lineRule="auto"/>
        <w:rPr>
          <w:rFonts w:eastAsia="MS Mincho" w:cs="Arial"/>
          <w:b/>
          <w:color w:val="000000"/>
          <w:szCs w:val="18"/>
          <w:shd w:val="clear" w:color="auto" w:fill="FFFFFF"/>
          <w:lang w:val="en-GB" w:eastAsia="ja-JP"/>
        </w:rPr>
      </w:pPr>
    </w:p>
    <w:p w14:paraId="2ED4DC52"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FRANK B and BATTISTI C (2005)</w:t>
      </w:r>
      <w:r w:rsidRPr="00C96521">
        <w:rPr>
          <w:rFonts w:eastAsia="MS Mincho" w:cs="Arial"/>
          <w:szCs w:val="18"/>
          <w:lang w:val="en-GB" w:eastAsia="ja-JP"/>
        </w:rPr>
        <w:t xml:space="preserve"> Area effect on bird communities, guilds and species in a highly fragmented forest landscape of Central Italy. </w:t>
      </w:r>
      <w:r w:rsidRPr="00C96521">
        <w:rPr>
          <w:rFonts w:eastAsia="MS Mincho" w:cs="Arial"/>
          <w:i/>
          <w:szCs w:val="18"/>
          <w:lang w:val="en-GB" w:eastAsia="ja-JP"/>
        </w:rPr>
        <w:t>Italian Journal of Zoology</w:t>
      </w:r>
      <w:r w:rsidRPr="00C96521">
        <w:rPr>
          <w:rFonts w:eastAsia="MS Mincho" w:cs="Arial"/>
          <w:szCs w:val="18"/>
          <w:lang w:val="en-GB" w:eastAsia="ja-JP"/>
        </w:rPr>
        <w:t xml:space="preserve"> 72(4): 297-304.</w:t>
      </w:r>
    </w:p>
    <w:p w14:paraId="3714F8B3" w14:textId="77777777" w:rsidR="00C96521" w:rsidRPr="00C96521" w:rsidRDefault="00C96521" w:rsidP="00C96521">
      <w:pPr>
        <w:widowControl/>
        <w:spacing w:line="276" w:lineRule="auto"/>
        <w:rPr>
          <w:rFonts w:eastAsia="MS Mincho" w:cs="Arial"/>
          <w:szCs w:val="18"/>
          <w:lang w:val="en-GB" w:eastAsia="ja-JP"/>
        </w:rPr>
      </w:pPr>
    </w:p>
    <w:p w14:paraId="3A95CCBC"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FRANSSON T, KOLEHMAINEN T, KROON C, JANSSON L and WENNINGER T (2010)</w:t>
      </w:r>
      <w:r w:rsidRPr="00C96521">
        <w:rPr>
          <w:rFonts w:eastAsia="MS Mincho" w:cs="Arial"/>
          <w:szCs w:val="18"/>
          <w:lang w:val="en-GB" w:eastAsia="ja-JP"/>
        </w:rPr>
        <w:t xml:space="preserve"> </w:t>
      </w:r>
      <w:r w:rsidRPr="00C96521">
        <w:rPr>
          <w:rFonts w:eastAsia="MS Mincho" w:cs="Arial"/>
          <w:i/>
          <w:szCs w:val="18"/>
          <w:lang w:val="en-GB" w:eastAsia="ja-JP"/>
        </w:rPr>
        <w:t>EURING list of longevity records for European birds</w:t>
      </w:r>
      <w:r w:rsidRPr="00C96521">
        <w:rPr>
          <w:rFonts w:eastAsia="MS Mincho" w:cs="Arial"/>
          <w:szCs w:val="18"/>
          <w:lang w:val="en-GB" w:eastAsia="ja-JP"/>
        </w:rPr>
        <w:t>. http://www.euring.org/data-and-codes/longevity-list?page=3 (last accessed 21</w:t>
      </w:r>
      <w:r w:rsidRPr="00C96521">
        <w:rPr>
          <w:rFonts w:eastAsia="MS Mincho" w:cs="Arial"/>
          <w:szCs w:val="18"/>
          <w:vertAlign w:val="superscript"/>
          <w:lang w:val="en-GB" w:eastAsia="ja-JP"/>
        </w:rPr>
        <w:t>st</w:t>
      </w:r>
      <w:r w:rsidRPr="00C96521">
        <w:rPr>
          <w:rFonts w:eastAsia="MS Mincho" w:cs="Arial"/>
          <w:szCs w:val="18"/>
          <w:lang w:val="en-GB" w:eastAsia="ja-JP"/>
        </w:rPr>
        <w:t xml:space="preserve"> February 2017)</w:t>
      </w:r>
    </w:p>
    <w:p w14:paraId="1FDC1CBE" w14:textId="77777777" w:rsidR="00C96521" w:rsidRPr="00C96521" w:rsidRDefault="00C96521" w:rsidP="00C96521">
      <w:pPr>
        <w:widowControl/>
        <w:spacing w:line="276" w:lineRule="auto"/>
        <w:rPr>
          <w:rFonts w:eastAsia="MS Mincho" w:cs="Arial"/>
          <w:szCs w:val="18"/>
          <w:lang w:val="en-GB" w:eastAsia="ja-JP"/>
        </w:rPr>
      </w:pPr>
    </w:p>
    <w:p w14:paraId="5A4773B2"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GALLO-ORSI U (ed) (2001)</w:t>
      </w:r>
      <w:r w:rsidRPr="00C96521">
        <w:rPr>
          <w:rFonts w:eastAsia="MS Mincho" w:cs="Arial"/>
          <w:szCs w:val="18"/>
          <w:lang w:val="en-GB" w:eastAsia="ja-JP"/>
        </w:rPr>
        <w:t> </w:t>
      </w:r>
      <w:r w:rsidRPr="00C96521">
        <w:rPr>
          <w:rFonts w:eastAsia="MS Mincho" w:cs="Arial"/>
          <w:i/>
          <w:szCs w:val="18"/>
          <w:lang w:val="en-GB" w:eastAsia="ja-JP"/>
        </w:rPr>
        <w:t>Saving Europe’s most threatened birds: progress in implementing European Species Action Plans</w:t>
      </w:r>
      <w:r w:rsidRPr="00C96521">
        <w:rPr>
          <w:rFonts w:eastAsia="MS Mincho" w:cs="Arial"/>
          <w:szCs w:val="18"/>
          <w:lang w:val="en-GB" w:eastAsia="ja-JP"/>
        </w:rPr>
        <w:t>. BirdLife International, Wageningen.</w:t>
      </w:r>
    </w:p>
    <w:p w14:paraId="022E693B" w14:textId="77777777" w:rsidR="00C96521" w:rsidRPr="00C96521" w:rsidRDefault="00C96521" w:rsidP="00C96521">
      <w:pPr>
        <w:widowControl/>
        <w:spacing w:line="276" w:lineRule="auto"/>
        <w:rPr>
          <w:rFonts w:eastAsia="MS Mincho" w:cs="Arial"/>
          <w:szCs w:val="18"/>
          <w:lang w:val="en-GB" w:eastAsia="ja-JP"/>
        </w:rPr>
      </w:pPr>
    </w:p>
    <w:p w14:paraId="4987AFAF"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GAME AND FAUNA SERVICE (2016)</w:t>
      </w:r>
      <w:r w:rsidRPr="00C96521">
        <w:rPr>
          <w:rFonts w:eastAsia="MS Mincho" w:cs="Arial"/>
          <w:szCs w:val="18"/>
          <w:lang w:val="en-GB" w:eastAsia="ja-JP"/>
        </w:rPr>
        <w:t xml:space="preserve"> </w:t>
      </w:r>
      <w:r w:rsidRPr="00C96521">
        <w:rPr>
          <w:rFonts w:eastAsia="MS Mincho" w:cs="Arial"/>
          <w:i/>
          <w:szCs w:val="18"/>
          <w:lang w:val="en-GB" w:eastAsia="ja-JP"/>
        </w:rPr>
        <w:t>Results of Hunting Bag Statistics Survey 2015-2016</w:t>
      </w:r>
      <w:r w:rsidRPr="00C96521">
        <w:rPr>
          <w:rFonts w:eastAsia="MS Mincho" w:cs="Arial"/>
          <w:szCs w:val="18"/>
          <w:lang w:val="en-GB" w:eastAsia="ja-JP"/>
        </w:rPr>
        <w:t xml:space="preserve">. Ministry of Interior, Nicosia, Cyprus. </w:t>
      </w:r>
      <w:hyperlink r:id="rId56" w:history="1">
        <w:r w:rsidRPr="00C96521">
          <w:rPr>
            <w:rFonts w:eastAsia="MS Mincho" w:cs="Arial"/>
            <w:szCs w:val="18"/>
            <w:lang w:val="en-GB" w:eastAsia="ja-JP"/>
          </w:rPr>
          <w:t>http://www.moi.gov.cy/moi/wildlife/wildlife_new.nsf/web23_gr/web23_gr</w:t>
        </w:r>
      </w:hyperlink>
      <w:r w:rsidRPr="00C96521">
        <w:rPr>
          <w:rFonts w:eastAsia="MS Mincho" w:cs="Arial"/>
          <w:szCs w:val="18"/>
          <w:lang w:val="en-GB" w:eastAsia="ja-JP"/>
        </w:rPr>
        <w:t xml:space="preserve"> (last accessed 2nd December 2016).</w:t>
      </w:r>
    </w:p>
    <w:p w14:paraId="756BAFB4" w14:textId="77777777" w:rsidR="00C96521" w:rsidRPr="00C96521" w:rsidRDefault="00C96521" w:rsidP="00C96521">
      <w:pPr>
        <w:widowControl/>
        <w:spacing w:line="276" w:lineRule="auto"/>
        <w:rPr>
          <w:rFonts w:eastAsia="MS Mincho" w:cs="Arial"/>
          <w:b/>
          <w:szCs w:val="18"/>
          <w:lang w:val="en-GB" w:eastAsia="ja-JP"/>
        </w:rPr>
      </w:pPr>
    </w:p>
    <w:p w14:paraId="3F408926"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GARGALLO G, BARRIOCANAL C, CASTANY J, CLARABUCH O, ESCANDELL R, LOPEZ-IBORRA G, RGUIBI-IDRISSI H, ROBSON D and SUAREZ M (2011)</w:t>
      </w:r>
      <w:r w:rsidRPr="00C96521">
        <w:rPr>
          <w:rFonts w:eastAsia="MS Mincho" w:cs="Arial"/>
          <w:szCs w:val="18"/>
          <w:lang w:val="en-GB" w:eastAsia="ja-JP"/>
        </w:rPr>
        <w:t xml:space="preserve"> </w:t>
      </w:r>
      <w:r w:rsidRPr="00C96521">
        <w:rPr>
          <w:rFonts w:eastAsia="MS Mincho" w:cs="Arial"/>
          <w:i/>
          <w:szCs w:val="18"/>
          <w:lang w:val="en-GB" w:eastAsia="ja-JP"/>
        </w:rPr>
        <w:t>Spring migration in the western Mediterranean and NW Africa: the results of 16 years of the Piccole Isole project</w:t>
      </w:r>
      <w:r w:rsidRPr="00C96521">
        <w:rPr>
          <w:rFonts w:eastAsia="MS Mincho" w:cs="Arial"/>
          <w:szCs w:val="18"/>
          <w:lang w:val="en-GB" w:eastAsia="ja-JP"/>
        </w:rPr>
        <w:t>. Monografies del Museu de Ciències Naturals 6, Barcelona.</w:t>
      </w:r>
    </w:p>
    <w:p w14:paraId="29DA3AEB" w14:textId="77777777" w:rsidR="00C96521" w:rsidRPr="00C96521" w:rsidRDefault="00C96521" w:rsidP="00C96521">
      <w:pPr>
        <w:widowControl/>
        <w:autoSpaceDE/>
        <w:autoSpaceDN/>
        <w:adjustRightInd/>
        <w:spacing w:line="276" w:lineRule="auto"/>
        <w:rPr>
          <w:rFonts w:eastAsia="MS Mincho" w:cs="Arial"/>
          <w:b/>
          <w:color w:val="000000"/>
          <w:szCs w:val="18"/>
          <w:shd w:val="clear" w:color="auto" w:fill="FFFFFF"/>
          <w:lang w:val="en-GB" w:eastAsia="ja-JP"/>
        </w:rPr>
      </w:pPr>
    </w:p>
    <w:p w14:paraId="3413011E" w14:textId="77777777" w:rsidR="00C96521" w:rsidRPr="00C96521" w:rsidRDefault="00C96521" w:rsidP="00C96521">
      <w:pPr>
        <w:widowControl/>
        <w:autoSpaceDE/>
        <w:autoSpaceDN/>
        <w:adjustRightInd/>
        <w:spacing w:line="276" w:lineRule="auto"/>
        <w:rPr>
          <w:rFonts w:eastAsia="MS Mincho" w:cs="Arial"/>
          <w:color w:val="000000"/>
          <w:szCs w:val="18"/>
          <w:shd w:val="clear" w:color="auto" w:fill="FFFFFF"/>
          <w:lang w:val="en-GB" w:eastAsia="ja-JP"/>
        </w:rPr>
      </w:pPr>
      <w:r w:rsidRPr="00C96521">
        <w:rPr>
          <w:rFonts w:eastAsia="MS Mincho" w:cs="Arial"/>
          <w:b/>
          <w:color w:val="000000"/>
          <w:szCs w:val="18"/>
          <w:shd w:val="clear" w:color="auto" w:fill="FFFFFF"/>
          <w:lang w:val="en-GB" w:eastAsia="ja-JP"/>
        </w:rPr>
        <w:t>GEDEON K, GRÜNEBERG C, MITSCHKE A, SUDFELDT C, EIKHORST W, FISCHER S, FLADE M, FRICK S, GEIERSBERGER I, KOOP B, KRAMER M, KRÜGER T, ROTH N, RYSLAVY T, STÜBING S, SUDMANN SR, STEFFENS R, VÖKLER F and WITT K (2014)</w:t>
      </w:r>
      <w:r w:rsidRPr="00C96521">
        <w:rPr>
          <w:rFonts w:eastAsia="MS Mincho" w:cs="Arial"/>
          <w:color w:val="000000"/>
          <w:szCs w:val="18"/>
          <w:shd w:val="clear" w:color="auto" w:fill="FFFFFF"/>
          <w:lang w:val="en-GB" w:eastAsia="ja-JP"/>
        </w:rPr>
        <w:t xml:space="preserve"> </w:t>
      </w:r>
      <w:r w:rsidRPr="00C96521">
        <w:rPr>
          <w:rFonts w:eastAsia="MS Mincho" w:cs="Arial"/>
          <w:i/>
          <w:color w:val="000000"/>
          <w:szCs w:val="18"/>
          <w:shd w:val="clear" w:color="auto" w:fill="FFFFFF"/>
          <w:lang w:val="en-GB" w:eastAsia="ja-JP"/>
        </w:rPr>
        <w:t>Atlas Deutscher Brutvogelarten/Atlas of German Breeding Birds</w:t>
      </w:r>
      <w:r w:rsidRPr="00C96521">
        <w:rPr>
          <w:rFonts w:eastAsia="MS Mincho" w:cs="Arial"/>
          <w:color w:val="000000"/>
          <w:szCs w:val="18"/>
          <w:shd w:val="clear" w:color="auto" w:fill="FFFFFF"/>
          <w:lang w:val="en-GB" w:eastAsia="ja-JP"/>
        </w:rPr>
        <w:t>. Stiftung Vogelmonitoring Deutschland and Dachverband Deutscher Avifaunisten, Münster.</w:t>
      </w:r>
    </w:p>
    <w:p w14:paraId="581EBB22"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DFDDC06"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GEISTER I (1995)</w:t>
      </w:r>
      <w:r w:rsidRPr="00C96521">
        <w:rPr>
          <w:rFonts w:eastAsia="MS Mincho" w:cs="Arial"/>
          <w:szCs w:val="18"/>
          <w:lang w:val="en-GB" w:eastAsia="ja-JP"/>
        </w:rPr>
        <w:t xml:space="preserve"> </w:t>
      </w:r>
      <w:r w:rsidRPr="00C96521">
        <w:rPr>
          <w:rFonts w:eastAsia="MS Mincho" w:cs="Arial"/>
          <w:i/>
          <w:szCs w:val="18"/>
          <w:lang w:val="en-GB" w:eastAsia="ja-JP"/>
        </w:rPr>
        <w:t>Ornitološki Atlas Slovenije – Razširjenost gnezdilk</w:t>
      </w:r>
      <w:r w:rsidRPr="00C96521">
        <w:rPr>
          <w:rFonts w:eastAsia="MS Mincho" w:cs="Arial"/>
          <w:szCs w:val="18"/>
          <w:lang w:val="en-GB" w:eastAsia="ja-JP"/>
        </w:rPr>
        <w:t xml:space="preserve">. </w:t>
      </w:r>
      <w:r w:rsidRPr="00890F11">
        <w:rPr>
          <w:rFonts w:eastAsia="MS Mincho" w:cs="Arial"/>
          <w:szCs w:val="18"/>
          <w:lang w:val="fr-FR" w:eastAsia="ja-JP"/>
        </w:rPr>
        <w:t>DZS, Ljubljana.</w:t>
      </w:r>
    </w:p>
    <w:p w14:paraId="7EEE8F65"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p>
    <w:p w14:paraId="20FFFEE5"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fr-FR" w:eastAsia="ja-JP"/>
        </w:rPr>
        <w:t>GEROUDET (1983)</w:t>
      </w:r>
      <w:r w:rsidRPr="00890F11">
        <w:rPr>
          <w:rFonts w:eastAsia="MS Mincho" w:cs="Arial"/>
          <w:bCs/>
          <w:szCs w:val="18"/>
          <w:lang w:val="fr-FR" w:eastAsia="ja-JP"/>
        </w:rPr>
        <w:t xml:space="preserve"> </w:t>
      </w:r>
      <w:r w:rsidRPr="00890F11">
        <w:rPr>
          <w:rFonts w:eastAsia="MS Mincho" w:cs="Arial"/>
          <w:i/>
          <w:szCs w:val="18"/>
          <w:lang w:val="fr-FR" w:eastAsia="ja-JP"/>
        </w:rPr>
        <w:t>Limicoles, Gangas et Pigeons d’Europe. Volume 2.</w:t>
      </w:r>
      <w:r w:rsidRPr="00890F11">
        <w:rPr>
          <w:rFonts w:eastAsia="MS Mincho" w:cs="Arial"/>
          <w:szCs w:val="18"/>
          <w:lang w:val="fr-FR" w:eastAsia="ja-JP"/>
        </w:rPr>
        <w:t xml:space="preserve"> Delachaux et Niestlé, Neuchâtel.</w:t>
      </w:r>
    </w:p>
    <w:p w14:paraId="17E24B92"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5F79D23D"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r w:rsidRPr="00C96521">
        <w:rPr>
          <w:rFonts w:eastAsia="MS Mincho" w:cs="Arial"/>
          <w:b/>
          <w:szCs w:val="18"/>
          <w:lang w:val="en-GB" w:eastAsia="ja-JP"/>
        </w:rPr>
        <w:t>GIBBONS D, MORRISSEY C and MINEAU P (2015)</w:t>
      </w:r>
      <w:r w:rsidRPr="00C96521">
        <w:rPr>
          <w:rFonts w:eastAsia="MS Mincho" w:cs="Arial"/>
          <w:szCs w:val="18"/>
          <w:lang w:val="en-GB" w:eastAsia="ja-JP"/>
        </w:rPr>
        <w:t xml:space="preserve"> A review of the direct and indirect effects of neonicotinoids and fipronil on vertebrate wildlife. </w:t>
      </w:r>
      <w:r w:rsidRPr="00890F11">
        <w:rPr>
          <w:rFonts w:eastAsia="MS Mincho" w:cs="Arial"/>
          <w:i/>
          <w:szCs w:val="18"/>
          <w:lang w:val="fr-FR" w:eastAsia="ja-JP"/>
        </w:rPr>
        <w:t>Environmental Science and Pollution Research</w:t>
      </w:r>
      <w:r w:rsidRPr="00890F11">
        <w:rPr>
          <w:rFonts w:eastAsia="MS Mincho" w:cs="Arial"/>
          <w:szCs w:val="18"/>
          <w:lang w:val="fr-FR" w:eastAsia="ja-JP"/>
        </w:rPr>
        <w:t xml:space="preserve"> 22(1): 103-118.</w:t>
      </w:r>
    </w:p>
    <w:p w14:paraId="5F8362D2"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4E730B5F" w14:textId="6DD71207" w:rsidR="00C96521" w:rsidRPr="008C00B8" w:rsidRDefault="00C96521" w:rsidP="00C96521">
      <w:pPr>
        <w:widowControl/>
        <w:autoSpaceDE/>
        <w:autoSpaceDN/>
        <w:adjustRightInd/>
        <w:spacing w:line="276" w:lineRule="auto"/>
        <w:rPr>
          <w:rFonts w:eastAsia="MS Mincho" w:cs="Arial"/>
          <w:szCs w:val="18"/>
          <w:lang w:val="de-DE" w:eastAsia="ja-JP"/>
        </w:rPr>
      </w:pPr>
      <w:r w:rsidRPr="00890F11">
        <w:rPr>
          <w:rFonts w:eastAsia="MS Mincho" w:cs="Arial"/>
          <w:b/>
          <w:szCs w:val="18"/>
          <w:lang w:val="fr-FR" w:eastAsia="ja-JP"/>
        </w:rPr>
        <w:t>GIRAUDOUX P, DEGAUQUIER R, JONES PJ, WEIGEL J and ISENMANN P (1986)</w:t>
      </w:r>
      <w:r w:rsidRPr="00890F11">
        <w:rPr>
          <w:rFonts w:eastAsia="MS Mincho" w:cs="Arial"/>
          <w:b/>
          <w:bCs/>
          <w:szCs w:val="18"/>
          <w:lang w:val="fr-FR" w:eastAsia="ja-JP"/>
        </w:rPr>
        <w:t xml:space="preserve"> </w:t>
      </w:r>
      <w:r w:rsidRPr="00890F11">
        <w:rPr>
          <w:rFonts w:eastAsia="MS Mincho" w:cs="Arial"/>
          <w:szCs w:val="18"/>
          <w:lang w:val="fr-FR" w:eastAsia="ja-JP"/>
        </w:rPr>
        <w:t xml:space="preserve">Avifaune du Niger: </w:t>
      </w:r>
      <w:r w:rsidR="00526B63">
        <w:rPr>
          <w:rFonts w:eastAsia="MS Mincho" w:cs="Arial"/>
          <w:szCs w:val="18"/>
          <w:lang w:val="fr-FR" w:eastAsia="ja-JP"/>
        </w:rPr>
        <w:t>É</w:t>
      </w:r>
      <w:r w:rsidRPr="00890F11">
        <w:rPr>
          <w:rFonts w:eastAsia="MS Mincho" w:cs="Arial"/>
          <w:szCs w:val="18"/>
          <w:lang w:val="fr-FR" w:eastAsia="ja-JP"/>
        </w:rPr>
        <w:t xml:space="preserve">tat des connaissances en 1986. </w:t>
      </w:r>
      <w:r w:rsidRPr="008C00B8">
        <w:rPr>
          <w:rFonts w:eastAsia="MS Mincho" w:cs="Arial"/>
          <w:i/>
          <w:szCs w:val="18"/>
          <w:lang w:val="de-DE" w:eastAsia="ja-JP"/>
        </w:rPr>
        <w:t>Malimbus</w:t>
      </w:r>
      <w:r w:rsidRPr="008C00B8">
        <w:rPr>
          <w:rFonts w:eastAsia="MS Mincho" w:cs="Arial"/>
          <w:szCs w:val="18"/>
          <w:lang w:val="de-DE" w:eastAsia="ja-JP"/>
        </w:rPr>
        <w:t xml:space="preserve"> 10: 1-140.</w:t>
      </w:r>
    </w:p>
    <w:p w14:paraId="2E8829BC" w14:textId="77777777" w:rsidR="00C96521" w:rsidRPr="008C00B8" w:rsidRDefault="00C96521" w:rsidP="00C96521">
      <w:pPr>
        <w:widowControl/>
        <w:autoSpaceDE/>
        <w:autoSpaceDN/>
        <w:adjustRightInd/>
        <w:spacing w:line="276" w:lineRule="auto"/>
        <w:rPr>
          <w:rFonts w:eastAsia="MS Mincho" w:cs="Arial"/>
          <w:b/>
          <w:bCs/>
          <w:szCs w:val="18"/>
          <w:lang w:val="de-DE" w:eastAsia="ja-JP"/>
        </w:rPr>
      </w:pPr>
    </w:p>
    <w:p w14:paraId="38B5CC31" w14:textId="77777777" w:rsidR="00C96521" w:rsidRPr="008C00B8" w:rsidRDefault="00C96521" w:rsidP="00C96521">
      <w:pPr>
        <w:widowControl/>
        <w:autoSpaceDE/>
        <w:autoSpaceDN/>
        <w:adjustRightInd/>
        <w:spacing w:line="276" w:lineRule="auto"/>
        <w:rPr>
          <w:rFonts w:eastAsia="MS Mincho" w:cs="Arial"/>
          <w:bCs/>
          <w:szCs w:val="18"/>
          <w:lang w:val="de-DE" w:eastAsia="ja-JP"/>
        </w:rPr>
      </w:pPr>
      <w:r w:rsidRPr="008C00B8">
        <w:rPr>
          <w:rFonts w:eastAsia="MS Mincho" w:cs="Arial"/>
          <w:b/>
          <w:bCs/>
          <w:szCs w:val="18"/>
          <w:lang w:val="de-DE" w:eastAsia="ja-JP"/>
        </w:rPr>
        <w:t xml:space="preserve">GORE MEJ (1980) </w:t>
      </w:r>
      <w:r w:rsidRPr="008C00B8">
        <w:rPr>
          <w:rFonts w:eastAsia="MS Mincho" w:cs="Arial"/>
          <w:bCs/>
          <w:szCs w:val="18"/>
          <w:lang w:val="de-DE" w:eastAsia="ja-JP"/>
        </w:rPr>
        <w:t xml:space="preserve">Millions of turtle-doves. </w:t>
      </w:r>
      <w:r w:rsidRPr="008C00B8">
        <w:rPr>
          <w:rFonts w:eastAsia="MS Mincho" w:cs="Arial"/>
          <w:bCs/>
          <w:i/>
          <w:szCs w:val="18"/>
          <w:lang w:val="de-DE" w:eastAsia="ja-JP"/>
        </w:rPr>
        <w:t>Malimbus</w:t>
      </w:r>
      <w:r w:rsidRPr="008C00B8">
        <w:rPr>
          <w:rFonts w:eastAsia="MS Mincho" w:cs="Arial"/>
          <w:bCs/>
          <w:szCs w:val="18"/>
          <w:lang w:val="de-DE" w:eastAsia="ja-JP"/>
        </w:rPr>
        <w:t xml:space="preserve"> 2: 78.</w:t>
      </w:r>
    </w:p>
    <w:p w14:paraId="316744CD" w14:textId="77777777" w:rsidR="00C96521" w:rsidRPr="008C00B8" w:rsidRDefault="00C96521" w:rsidP="00C96521">
      <w:pPr>
        <w:widowControl/>
        <w:autoSpaceDE/>
        <w:autoSpaceDN/>
        <w:adjustRightInd/>
        <w:spacing w:line="276" w:lineRule="auto"/>
        <w:rPr>
          <w:rFonts w:eastAsia="MS Mincho" w:cs="Arial"/>
          <w:szCs w:val="18"/>
          <w:lang w:val="de-DE" w:eastAsia="ja-JP"/>
        </w:rPr>
      </w:pPr>
    </w:p>
    <w:p w14:paraId="61C72D82" w14:textId="77777777" w:rsidR="00C96521" w:rsidRPr="008C00B8" w:rsidRDefault="00C96521" w:rsidP="00C96521">
      <w:pPr>
        <w:widowControl/>
        <w:autoSpaceDE/>
        <w:autoSpaceDN/>
        <w:adjustRightInd/>
        <w:spacing w:line="276" w:lineRule="auto"/>
        <w:rPr>
          <w:rFonts w:eastAsia="MS Mincho" w:cs="Arial"/>
          <w:szCs w:val="18"/>
          <w:lang w:val="de-DE" w:eastAsia="ja-JP"/>
        </w:rPr>
      </w:pPr>
      <w:r w:rsidRPr="008C00B8">
        <w:rPr>
          <w:rFonts w:eastAsia="MS Mincho" w:cs="Arial"/>
          <w:b/>
          <w:bCs/>
          <w:szCs w:val="18"/>
          <w:lang w:val="de-DE" w:eastAsia="ja-JP"/>
        </w:rPr>
        <w:t>GLUTZ VON BLOTZHEIM UM (1980)</w:t>
      </w:r>
      <w:r w:rsidRPr="008C00B8">
        <w:rPr>
          <w:rFonts w:eastAsia="MS Mincho" w:cs="Arial"/>
          <w:bCs/>
          <w:szCs w:val="18"/>
          <w:lang w:val="de-DE" w:eastAsia="ja-JP"/>
        </w:rPr>
        <w:t xml:space="preserve"> </w:t>
      </w:r>
      <w:r w:rsidRPr="008C00B8">
        <w:rPr>
          <w:rFonts w:eastAsia="MS Mincho" w:cs="Arial"/>
          <w:i/>
          <w:szCs w:val="18"/>
          <w:lang w:val="de-DE" w:eastAsia="ja-JP"/>
        </w:rPr>
        <w:t>Handbuch der Vögel Mitteleuropas</w:t>
      </w:r>
      <w:r w:rsidRPr="008C00B8">
        <w:rPr>
          <w:rFonts w:eastAsia="MS Mincho" w:cs="Arial"/>
          <w:szCs w:val="18"/>
          <w:lang w:val="de-DE" w:eastAsia="ja-JP"/>
        </w:rPr>
        <w:t>. Akademische Verlagsgesellschaft, Wiesbaden.</w:t>
      </w:r>
    </w:p>
    <w:p w14:paraId="3129C78B" w14:textId="77777777" w:rsidR="00C96521" w:rsidRPr="008C00B8" w:rsidRDefault="00C96521" w:rsidP="00C96521">
      <w:pPr>
        <w:widowControl/>
        <w:autoSpaceDE/>
        <w:autoSpaceDN/>
        <w:adjustRightInd/>
        <w:spacing w:line="276" w:lineRule="auto"/>
        <w:rPr>
          <w:rFonts w:eastAsia="MS Mincho" w:cs="Arial"/>
          <w:szCs w:val="18"/>
          <w:lang w:val="de-DE" w:eastAsia="ja-JP"/>
        </w:rPr>
      </w:pPr>
    </w:p>
    <w:p w14:paraId="2AD8E7E1"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C00B8">
        <w:rPr>
          <w:rFonts w:eastAsia="MS Mincho" w:cs="Arial"/>
          <w:b/>
          <w:bCs/>
          <w:szCs w:val="18"/>
          <w:lang w:val="de-DE" w:eastAsia="ja-JP"/>
        </w:rPr>
        <w:t>GOLOVAN VI (2002)</w:t>
      </w:r>
      <w:r w:rsidRPr="008C00B8">
        <w:rPr>
          <w:rFonts w:eastAsia="MS Mincho" w:cs="Arial"/>
          <w:szCs w:val="18"/>
          <w:lang w:val="de-DE" w:eastAsia="ja-JP"/>
        </w:rPr>
        <w:t xml:space="preserve"> Turtle-dove. </w:t>
      </w:r>
      <w:r w:rsidRPr="00C96521">
        <w:rPr>
          <w:rFonts w:eastAsia="MS Mincho" w:cs="Arial"/>
          <w:szCs w:val="18"/>
          <w:lang w:val="en-GB" w:eastAsia="ja-JP"/>
        </w:rPr>
        <w:t xml:space="preserve">In: NOSKOV GA. (Editor-in-Chief). </w:t>
      </w:r>
      <w:r w:rsidRPr="00C96521">
        <w:rPr>
          <w:rFonts w:eastAsia="MS Mincho" w:cs="Arial"/>
          <w:i/>
          <w:szCs w:val="18"/>
          <w:lang w:val="en-GB" w:eastAsia="ja-JP"/>
        </w:rPr>
        <w:t>Red Data Book of nature of the Leningrad Region</w:t>
      </w:r>
      <w:r w:rsidRPr="00C96521">
        <w:rPr>
          <w:rFonts w:eastAsia="MS Mincho" w:cs="Arial"/>
          <w:szCs w:val="18"/>
          <w:lang w:val="en-GB" w:eastAsia="ja-JP"/>
        </w:rPr>
        <w:t>. Vol. 3. Animals. World &amp; Family, St Petersburg: 401-402. [in Russian]</w:t>
      </w:r>
    </w:p>
    <w:p w14:paraId="5E44680C"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1586EE0"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GOLOVKIN S (2016)</w:t>
      </w:r>
      <w:r w:rsidRPr="00C96521">
        <w:rPr>
          <w:rFonts w:eastAsia="MS Mincho" w:cs="Arial"/>
          <w:szCs w:val="18"/>
          <w:lang w:val="en-GB" w:eastAsia="ja-JP"/>
        </w:rPr>
        <w:t xml:space="preserve"> </w:t>
      </w:r>
      <w:r w:rsidRPr="00C96521">
        <w:rPr>
          <w:rFonts w:eastAsia="MS Mincho" w:cs="Arial"/>
          <w:i/>
          <w:szCs w:val="18"/>
          <w:lang w:val="en-GB" w:eastAsia="ja-JP"/>
        </w:rPr>
        <w:t>Update on Recommendation No. 164 (2013) of the Bern Convention Standing Committee on the implementation of the Tunis Action Plan 2013-2020 for the eradication of illegal killing, trapping and trade of wild birds. Outcomes of the 3rd Meeting of Special Focal Points for Illegal Killing of Birds, 14-15 April 2016, Tirana.</w:t>
      </w:r>
      <w:r w:rsidRPr="00C96521">
        <w:rPr>
          <w:rFonts w:eastAsia="MS Mincho" w:cs="Arial"/>
          <w:szCs w:val="18"/>
          <w:lang w:val="en-GB" w:eastAsia="ja-JP"/>
        </w:rPr>
        <w:t xml:space="preserve"> http://www.cms.int/sites/default/files/document/Update%20from%20Bern%20Convention%20-%20Mr.%20Sergey%20Golovkin.pdf (last accessed 1st November 2016)</w:t>
      </w:r>
    </w:p>
    <w:p w14:paraId="38A24B09"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52572E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GORBAN I (2016)</w:t>
      </w:r>
      <w:r w:rsidRPr="00C96521">
        <w:rPr>
          <w:rFonts w:eastAsia="MS Mincho" w:cs="Arial"/>
          <w:szCs w:val="18"/>
          <w:lang w:val="en-GB" w:eastAsia="ja-JP"/>
        </w:rPr>
        <w:t xml:space="preserve"> Ukraine – contribution to EBBA2 and a path towards modern European bird monitoring. European Breeding Bird Atlas. http://www.ebba2.info/2016/03/17/ukraine-contribution-to-ebba2-and-a-path-towards-modern-european-bird-monitoring/ (last accessed 31</w:t>
      </w:r>
      <w:r w:rsidRPr="00C96521">
        <w:rPr>
          <w:rFonts w:eastAsia="MS Mincho" w:cs="Arial"/>
          <w:szCs w:val="18"/>
          <w:vertAlign w:val="superscript"/>
          <w:lang w:val="en-GB" w:eastAsia="ja-JP"/>
        </w:rPr>
        <w:t>st</w:t>
      </w:r>
      <w:r w:rsidRPr="00C96521">
        <w:rPr>
          <w:rFonts w:eastAsia="MS Mincho" w:cs="Arial"/>
          <w:szCs w:val="18"/>
          <w:lang w:val="en-GB" w:eastAsia="ja-JP"/>
        </w:rPr>
        <w:t xml:space="preserve"> October 2016)</w:t>
      </w:r>
    </w:p>
    <w:p w14:paraId="48B717E3"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31C29D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GOULSON D (2013) </w:t>
      </w:r>
      <w:r w:rsidRPr="00C96521">
        <w:rPr>
          <w:rFonts w:eastAsia="MS Mincho" w:cs="Arial"/>
          <w:szCs w:val="18"/>
          <w:lang w:val="en-GB" w:eastAsia="ja-JP"/>
        </w:rPr>
        <w:t xml:space="preserve">An overview of the environmental risks posed by neonicotinoid insecticides. </w:t>
      </w:r>
      <w:r w:rsidRPr="00C96521">
        <w:rPr>
          <w:rFonts w:eastAsia="MS Mincho" w:cs="Arial"/>
          <w:i/>
          <w:szCs w:val="18"/>
          <w:lang w:val="en-GB" w:eastAsia="ja-JP"/>
        </w:rPr>
        <w:t>Journal of Applied Ecology</w:t>
      </w:r>
      <w:r w:rsidRPr="00C96521">
        <w:rPr>
          <w:rFonts w:eastAsia="MS Mincho" w:cs="Arial"/>
          <w:szCs w:val="18"/>
          <w:lang w:val="en-GB" w:eastAsia="ja-JP"/>
        </w:rPr>
        <w:t xml:space="preserve"> 50(4): 977-987.</w:t>
      </w:r>
    </w:p>
    <w:p w14:paraId="5A7F11A6"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7D4EBA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GRELL MB, HELDBJERG H, RASMUSSEN B, STABELL M, TOFFT J and VIKSTRØM T</w:t>
      </w:r>
      <w:r w:rsidRPr="00C96521">
        <w:rPr>
          <w:rFonts w:eastAsia="MS Mincho" w:cs="Arial"/>
          <w:b/>
          <w:szCs w:val="18"/>
          <w:lang w:val="en-GB" w:eastAsia="ja-JP"/>
        </w:rPr>
        <w:t xml:space="preserve"> (eds) (2004)</w:t>
      </w:r>
      <w:r w:rsidRPr="00C96521">
        <w:rPr>
          <w:rFonts w:eastAsia="MS Mincho" w:cs="Arial"/>
          <w:szCs w:val="18"/>
          <w:lang w:val="en-GB" w:eastAsia="ja-JP"/>
        </w:rPr>
        <w:t xml:space="preserve"> Truede og sjældne ynglefugle I Danmark 2003. </w:t>
      </w:r>
      <w:r w:rsidRPr="00C96521">
        <w:rPr>
          <w:rFonts w:eastAsia="MS Mincho" w:cs="Arial"/>
          <w:i/>
          <w:szCs w:val="18"/>
          <w:lang w:val="en-GB" w:eastAsia="ja-JP"/>
        </w:rPr>
        <w:t>DOFT (Journal of the Danish Ornithological Society)</w:t>
      </w:r>
      <w:r w:rsidRPr="00C96521">
        <w:rPr>
          <w:rFonts w:eastAsia="MS Mincho" w:cs="Arial"/>
          <w:szCs w:val="18"/>
          <w:lang w:val="en-GB" w:eastAsia="ja-JP"/>
        </w:rPr>
        <w:t xml:space="preserve"> 98: 77.</w:t>
      </w:r>
    </w:p>
    <w:p w14:paraId="1E60C05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0C02B5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lastRenderedPageBreak/>
        <w:t>GUTIÉRREZ-GALÁN A and ALONSO C (2016)</w:t>
      </w:r>
      <w:r w:rsidRPr="00C96521">
        <w:rPr>
          <w:rFonts w:eastAsia="MS Mincho" w:cs="Arial"/>
          <w:szCs w:val="18"/>
          <w:lang w:val="en-GB" w:eastAsia="ja-JP"/>
        </w:rPr>
        <w:t xml:space="preserve"> European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diet composition in Southern Spain: the role of wild seeds in Mediterranean forest areas. </w:t>
      </w:r>
      <w:r w:rsidRPr="00C96521">
        <w:rPr>
          <w:rFonts w:eastAsia="MS Mincho" w:cs="Arial"/>
          <w:i/>
          <w:szCs w:val="18"/>
          <w:lang w:val="en-GB" w:eastAsia="ja-JP"/>
        </w:rPr>
        <w:t>Bird Study</w:t>
      </w:r>
      <w:r w:rsidRPr="00C96521">
        <w:rPr>
          <w:rFonts w:eastAsia="MS Mincho" w:cs="Arial"/>
          <w:szCs w:val="18"/>
          <w:lang w:val="en-GB" w:eastAsia="ja-JP"/>
        </w:rPr>
        <w:t>, 63, 4: 490-499.</w:t>
      </w:r>
    </w:p>
    <w:p w14:paraId="674C737D"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AF7610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HADARICS T and ZALAI T (2008)</w:t>
      </w:r>
      <w:r w:rsidRPr="00C96521">
        <w:rPr>
          <w:rFonts w:eastAsia="MS Mincho" w:cs="Arial"/>
          <w:szCs w:val="18"/>
          <w:lang w:val="en-GB" w:eastAsia="ja-JP"/>
        </w:rPr>
        <w:t xml:space="preserve"> </w:t>
      </w:r>
      <w:r w:rsidRPr="00C96521">
        <w:rPr>
          <w:rFonts w:eastAsia="MS Mincho" w:cs="Arial"/>
          <w:i/>
          <w:szCs w:val="18"/>
          <w:lang w:val="en-GB" w:eastAsia="ja-JP"/>
        </w:rPr>
        <w:t>Magyarország madarainak névjegyzéke. An annotated list of the birds of Hungary</w:t>
      </w:r>
      <w:r w:rsidRPr="00C96521">
        <w:rPr>
          <w:rFonts w:eastAsia="MS Mincho" w:cs="Arial"/>
          <w:szCs w:val="18"/>
          <w:lang w:val="en-GB" w:eastAsia="ja-JP"/>
        </w:rPr>
        <w:t xml:space="preserve"> . </w:t>
      </w:r>
      <w:r w:rsidRPr="00C96521">
        <w:rPr>
          <w:rFonts w:eastAsia="MS Mincho" w:cs="Arial" w:hint="eastAsia"/>
          <w:bCs/>
          <w:szCs w:val="18"/>
          <w:lang w:val="en-GB" w:eastAsia="ja-JP"/>
        </w:rPr>
        <w:t>Magyar Madártani és Természetvédelmi Egyesület</w:t>
      </w:r>
      <w:r w:rsidRPr="00C96521">
        <w:rPr>
          <w:rFonts w:eastAsia="MS Mincho" w:cs="Arial"/>
          <w:bCs/>
          <w:szCs w:val="18"/>
          <w:lang w:val="en-GB" w:eastAsia="ja-JP"/>
        </w:rPr>
        <w:t xml:space="preserve">, </w:t>
      </w:r>
      <w:r w:rsidRPr="00C96521">
        <w:rPr>
          <w:rFonts w:eastAsia="MS Mincho" w:cs="Arial" w:hint="eastAsia"/>
          <w:bCs/>
          <w:szCs w:val="18"/>
          <w:lang w:val="en-GB" w:eastAsia="ja-JP"/>
        </w:rPr>
        <w:t>Budapest</w:t>
      </w:r>
      <w:r w:rsidRPr="00C96521">
        <w:rPr>
          <w:rFonts w:eastAsia="MS Mincho" w:cs="Arial"/>
          <w:bCs/>
          <w:szCs w:val="18"/>
          <w:lang w:val="en-GB" w:eastAsia="ja-JP"/>
        </w:rPr>
        <w:t>.</w:t>
      </w:r>
    </w:p>
    <w:p w14:paraId="7F52D81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839806B" w14:textId="77777777" w:rsidR="00C96521" w:rsidRPr="00C96521" w:rsidRDefault="00C96521" w:rsidP="00C96521">
      <w:pPr>
        <w:widowControl/>
        <w:autoSpaceDE/>
        <w:autoSpaceDN/>
        <w:adjustRightInd/>
        <w:spacing w:line="276" w:lineRule="auto"/>
        <w:rPr>
          <w:rFonts w:eastAsia="MS Mincho" w:cs="Arial"/>
          <w:bCs/>
          <w:szCs w:val="18"/>
          <w:lang w:val="en-GB" w:eastAsia="ja-JP"/>
        </w:rPr>
      </w:pPr>
      <w:r w:rsidRPr="00890F11">
        <w:rPr>
          <w:rFonts w:eastAsia="MS Mincho" w:cs="Arial"/>
          <w:b/>
          <w:bCs/>
          <w:szCs w:val="18"/>
          <w:lang w:val="fr-FR" w:eastAsia="ja-JP"/>
        </w:rPr>
        <w:t>HANANE S (2011)</w:t>
      </w:r>
      <w:r w:rsidRPr="00890F11">
        <w:rPr>
          <w:rFonts w:eastAsia="MS Mincho" w:cs="Arial"/>
          <w:bCs/>
          <w:szCs w:val="18"/>
          <w:lang w:val="fr-FR" w:eastAsia="ja-JP"/>
        </w:rPr>
        <w:t xml:space="preserve"> La reproduction de la tourterelle des bois dans les vergers de Tadla (Maroc central). </w:t>
      </w:r>
      <w:r w:rsidRPr="00C96521">
        <w:rPr>
          <w:rFonts w:eastAsia="MS Mincho" w:cs="Arial"/>
          <w:bCs/>
          <w:i/>
          <w:szCs w:val="18"/>
          <w:lang w:val="en-GB" w:eastAsia="ja-JP"/>
        </w:rPr>
        <w:t>Faune sauvage</w:t>
      </w:r>
      <w:r w:rsidRPr="00C96521">
        <w:rPr>
          <w:rFonts w:eastAsia="MS Mincho" w:cs="Arial"/>
          <w:bCs/>
          <w:szCs w:val="18"/>
          <w:lang w:val="en-GB" w:eastAsia="ja-JP"/>
        </w:rPr>
        <w:t xml:space="preserve"> 293: 30-31. </w:t>
      </w:r>
    </w:p>
    <w:p w14:paraId="41003F0B"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417F6F59"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HANANE S (2012a)</w:t>
      </w:r>
      <w:r w:rsidRPr="00C96521">
        <w:rPr>
          <w:rFonts w:eastAsia="MS Mincho" w:cs="Arial"/>
          <w:szCs w:val="18"/>
          <w:lang w:val="en-GB" w:eastAsia="ja-JP"/>
        </w:rPr>
        <w:t xml:space="preserve"> Do age and type of plantings affect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nest placement in olive agro-ecosystems? </w:t>
      </w:r>
      <w:r w:rsidRPr="00890F11">
        <w:rPr>
          <w:rFonts w:eastAsia="MS Mincho" w:cs="Arial"/>
          <w:i/>
          <w:szCs w:val="18"/>
          <w:lang w:val="fr-FR" w:eastAsia="ja-JP"/>
        </w:rPr>
        <w:t>Ethology, Ecology and Evolution</w:t>
      </w:r>
      <w:r w:rsidRPr="00890F11">
        <w:rPr>
          <w:rFonts w:eastAsia="MS Mincho" w:cs="Arial"/>
          <w:szCs w:val="18"/>
          <w:lang w:val="fr-FR" w:eastAsia="ja-JP"/>
        </w:rPr>
        <w:t xml:space="preserve"> 24: 284-293. </w:t>
      </w:r>
    </w:p>
    <w:p w14:paraId="50DF87D1"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2A6A38A4" w14:textId="77777777" w:rsidR="00C96521" w:rsidRPr="00C96521" w:rsidRDefault="00C96521" w:rsidP="00C96521">
      <w:pPr>
        <w:widowControl/>
        <w:spacing w:line="276" w:lineRule="auto"/>
        <w:rPr>
          <w:rFonts w:eastAsia="MS Mincho" w:cs="Arial"/>
          <w:szCs w:val="18"/>
          <w:lang w:val="en-GB" w:eastAsia="ja-JP"/>
        </w:rPr>
      </w:pPr>
      <w:r w:rsidRPr="00890F11">
        <w:rPr>
          <w:rFonts w:eastAsia="MS Mincho" w:cs="Arial"/>
          <w:b/>
          <w:szCs w:val="18"/>
          <w:lang w:val="fr-FR" w:eastAsia="ja-JP"/>
        </w:rPr>
        <w:t xml:space="preserve">HANANE S (2012b) </w:t>
      </w:r>
      <w:r w:rsidRPr="00890F11">
        <w:rPr>
          <w:rFonts w:eastAsia="MS Mincho" w:cs="Arial"/>
          <w:szCs w:val="18"/>
          <w:lang w:val="fr-FR" w:eastAsia="ja-JP"/>
        </w:rPr>
        <w:t>Les périmètres irrigués du Maroc: une aubaine pour deux espèces d’oiseaux migrateurs, la tourterelle des bois (</w:t>
      </w:r>
      <w:r w:rsidRPr="00890F11">
        <w:rPr>
          <w:rFonts w:eastAsia="MS Mincho" w:cs="Arial"/>
          <w:i/>
          <w:szCs w:val="18"/>
          <w:lang w:val="fr-FR" w:eastAsia="ja-JP"/>
        </w:rPr>
        <w:t>Streptopelia turtur</w:t>
      </w:r>
      <w:r w:rsidRPr="00890F11">
        <w:rPr>
          <w:rFonts w:eastAsia="MS Mincho" w:cs="Arial"/>
          <w:szCs w:val="18"/>
          <w:lang w:val="fr-FR" w:eastAsia="ja-JP"/>
        </w:rPr>
        <w:t>) et la caille des blés (</w:t>
      </w:r>
      <w:r w:rsidRPr="00890F11">
        <w:rPr>
          <w:rFonts w:eastAsia="MS Mincho" w:cs="Arial"/>
          <w:i/>
          <w:szCs w:val="18"/>
          <w:lang w:val="fr-FR" w:eastAsia="ja-JP"/>
        </w:rPr>
        <w:t>Coturnix coturnix</w:t>
      </w:r>
      <w:r w:rsidRPr="00890F11">
        <w:rPr>
          <w:rFonts w:eastAsia="MS Mincho" w:cs="Arial"/>
          <w:szCs w:val="18"/>
          <w:lang w:val="fr-FR" w:eastAsia="ja-JP"/>
        </w:rPr>
        <w:t xml:space="preserve">). </w:t>
      </w:r>
      <w:r w:rsidRPr="00C96521">
        <w:rPr>
          <w:rFonts w:eastAsia="MS Mincho" w:cs="Arial"/>
          <w:i/>
          <w:szCs w:val="18"/>
          <w:lang w:val="en-GB" w:eastAsia="ja-JP"/>
        </w:rPr>
        <w:t>Revue d’Ecologie</w:t>
      </w:r>
      <w:r w:rsidRPr="00C96521">
        <w:rPr>
          <w:rFonts w:eastAsia="MS Mincho" w:cs="Arial"/>
          <w:szCs w:val="18"/>
          <w:lang w:val="en-GB" w:eastAsia="ja-JP"/>
        </w:rPr>
        <w:t xml:space="preserve"> 67: 3-11.</w:t>
      </w:r>
    </w:p>
    <w:p w14:paraId="480BABA4"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2C4980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 xml:space="preserve">HANANE S (2015) </w:t>
      </w:r>
      <w:r w:rsidRPr="00C96521">
        <w:rPr>
          <w:rFonts w:eastAsia="MS Mincho" w:cs="Arial"/>
          <w:szCs w:val="18"/>
          <w:lang w:val="en-GB" w:eastAsia="ja-JP"/>
        </w:rPr>
        <w:t xml:space="preserve">Nest-niche differentiation in two sympatric </w:t>
      </w:r>
      <w:r w:rsidRPr="00C96521">
        <w:rPr>
          <w:rFonts w:eastAsia="MS Mincho" w:cs="Arial"/>
          <w:i/>
          <w:szCs w:val="18"/>
          <w:lang w:val="en-GB" w:eastAsia="ja-JP"/>
        </w:rPr>
        <w:t>Streptopelia</w:t>
      </w:r>
      <w:r w:rsidRPr="00C96521">
        <w:rPr>
          <w:rFonts w:eastAsia="MS Mincho" w:cs="Arial"/>
          <w:szCs w:val="18"/>
          <w:lang w:val="en-GB" w:eastAsia="ja-JP"/>
        </w:rPr>
        <w:t xml:space="preserve"> species from a North African agricultural area: the role of human presence. </w:t>
      </w:r>
      <w:r w:rsidRPr="00C96521">
        <w:rPr>
          <w:rFonts w:eastAsia="MS Mincho" w:cs="Arial"/>
          <w:i/>
          <w:szCs w:val="18"/>
          <w:lang w:val="en-GB" w:eastAsia="ja-JP"/>
        </w:rPr>
        <w:t>Ecological Research</w:t>
      </w:r>
      <w:r w:rsidRPr="00C96521">
        <w:rPr>
          <w:rFonts w:eastAsia="MS Mincho" w:cs="Arial"/>
          <w:szCs w:val="18"/>
          <w:lang w:val="en-GB" w:eastAsia="ja-JP"/>
        </w:rPr>
        <w:t>, 30(4): 573-580.</w:t>
      </w:r>
    </w:p>
    <w:p w14:paraId="4B09427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D48E8F1"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HANANE S (2016a)</w:t>
      </w:r>
      <w:r w:rsidRPr="00C96521">
        <w:rPr>
          <w:rFonts w:eastAsia="MS Mincho" w:cs="Arial"/>
          <w:szCs w:val="18"/>
          <w:lang w:val="en-GB" w:eastAsia="ja-JP"/>
        </w:rPr>
        <w:t xml:space="preserve"> Effects of orchard type and breeding period on Turtle-dove nest density in irrigated agroecosystems. </w:t>
      </w:r>
      <w:r w:rsidRPr="00C96521">
        <w:rPr>
          <w:rFonts w:eastAsia="MS Mincho" w:cs="Arial"/>
          <w:i/>
          <w:szCs w:val="18"/>
          <w:lang w:val="en-GB" w:eastAsia="ja-JP"/>
        </w:rPr>
        <w:t>Bird Study 63(1)</w:t>
      </w:r>
      <w:r w:rsidRPr="00C96521">
        <w:rPr>
          <w:rFonts w:eastAsia="MS Mincho" w:cs="Arial"/>
          <w:szCs w:val="18"/>
          <w:lang w:val="en-GB" w:eastAsia="ja-JP"/>
        </w:rPr>
        <w:t>: 1-5.</w:t>
      </w:r>
    </w:p>
    <w:p w14:paraId="311D381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8FEDD8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HANANE S (2016b)</w:t>
      </w:r>
      <w:r w:rsidRPr="00C96521">
        <w:rPr>
          <w:rFonts w:eastAsia="MS Mincho" w:cs="Arial"/>
          <w:szCs w:val="18"/>
          <w:lang w:val="en-GB" w:eastAsia="ja-JP"/>
        </w:rPr>
        <w:t xml:space="preserve"> Effects of location, orchard type, laying period and nest position on the reproductive performance of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on intensively cultivated farmland. </w:t>
      </w:r>
      <w:r w:rsidRPr="00C96521">
        <w:rPr>
          <w:rFonts w:eastAsia="MS Mincho" w:cs="Arial"/>
          <w:i/>
          <w:szCs w:val="18"/>
          <w:lang w:val="en-GB" w:eastAsia="ja-JP"/>
        </w:rPr>
        <w:t>Avian Research</w:t>
      </w:r>
      <w:r w:rsidRPr="00C96521">
        <w:rPr>
          <w:rFonts w:eastAsia="MS Mincho" w:cs="Arial"/>
          <w:szCs w:val="18"/>
          <w:lang w:val="en-GB" w:eastAsia="ja-JP"/>
        </w:rPr>
        <w:t xml:space="preserve"> 7(4): 1-11.</w:t>
      </w:r>
    </w:p>
    <w:p w14:paraId="748606FE"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4C734E2" w14:textId="77777777" w:rsidR="00C96521" w:rsidRPr="00C96521" w:rsidRDefault="00C96521" w:rsidP="00C96521">
      <w:pPr>
        <w:widowControl/>
        <w:autoSpaceDE/>
        <w:autoSpaceDN/>
        <w:adjustRightInd/>
        <w:spacing w:line="276" w:lineRule="auto"/>
        <w:rPr>
          <w:rFonts w:eastAsia="MS Mincho" w:cs="Arial"/>
          <w:bCs/>
          <w:szCs w:val="18"/>
          <w:lang w:val="en-GB" w:eastAsia="ja-JP"/>
        </w:rPr>
      </w:pPr>
      <w:r w:rsidRPr="00C96521">
        <w:rPr>
          <w:rFonts w:eastAsia="MS Mincho" w:cs="Arial"/>
          <w:b/>
          <w:bCs/>
          <w:szCs w:val="18"/>
          <w:lang w:val="en-GB" w:eastAsia="ja-JP"/>
        </w:rPr>
        <w:t>HANANE S (2017)</w:t>
      </w:r>
      <w:r w:rsidRPr="00C96521">
        <w:rPr>
          <w:rFonts w:eastAsia="MS Mincho" w:cs="Arial"/>
          <w:bCs/>
          <w:szCs w:val="18"/>
          <w:lang w:val="en-GB" w:eastAsia="ja-JP"/>
        </w:rPr>
        <w:t xml:space="preserve"> The European Turtle-dove </w:t>
      </w:r>
      <w:r w:rsidRPr="00C96521">
        <w:rPr>
          <w:rFonts w:eastAsia="MS Mincho" w:cs="Arial"/>
          <w:bCs/>
          <w:i/>
          <w:szCs w:val="18"/>
          <w:lang w:val="en-GB" w:eastAsia="ja-JP"/>
        </w:rPr>
        <w:t>Streptopelia turtur</w:t>
      </w:r>
      <w:r w:rsidRPr="00C96521">
        <w:rPr>
          <w:rFonts w:eastAsia="MS Mincho" w:cs="Arial"/>
          <w:bCs/>
          <w:szCs w:val="18"/>
          <w:lang w:val="en-GB" w:eastAsia="ja-JP"/>
        </w:rPr>
        <w:t xml:space="preserve"> in northwest Africa: A review of current knowledge and priorities for future research. </w:t>
      </w:r>
      <w:r w:rsidRPr="00C96521">
        <w:rPr>
          <w:rFonts w:eastAsia="MS Mincho" w:cs="Arial"/>
          <w:bCs/>
          <w:i/>
          <w:szCs w:val="18"/>
          <w:lang w:val="en-GB" w:eastAsia="ja-JP"/>
        </w:rPr>
        <w:t>Ardeola</w:t>
      </w:r>
      <w:r w:rsidRPr="00C96521">
        <w:rPr>
          <w:rFonts w:eastAsia="MS Mincho" w:cs="Arial"/>
          <w:bCs/>
          <w:szCs w:val="18"/>
          <w:lang w:val="en-GB" w:eastAsia="ja-JP"/>
        </w:rPr>
        <w:t>, 64(2): 273-287.</w:t>
      </w:r>
    </w:p>
    <w:p w14:paraId="7944B09E"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B389A8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HANANE S and BAAMAL L (2011)</w:t>
      </w:r>
      <w:r w:rsidRPr="00C96521">
        <w:rPr>
          <w:rFonts w:eastAsia="MS Mincho" w:cs="Arial"/>
          <w:szCs w:val="18"/>
          <w:lang w:val="en-GB" w:eastAsia="ja-JP"/>
        </w:rPr>
        <w:t xml:space="preserve"> Are Moroccan fruit orchards suitable breeding habitats for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Bird Study</w:t>
      </w:r>
      <w:r w:rsidRPr="00C96521">
        <w:rPr>
          <w:rFonts w:eastAsia="MS Mincho" w:cs="Arial"/>
          <w:szCs w:val="18"/>
          <w:lang w:val="en-GB" w:eastAsia="ja-JP"/>
        </w:rPr>
        <w:t xml:space="preserve"> 58: 57-67.</w:t>
      </w:r>
    </w:p>
    <w:p w14:paraId="258D1412"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047C703"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 xml:space="preserve">HANANE S and BESNARD A (2014) </w:t>
      </w:r>
      <w:r w:rsidRPr="00C96521">
        <w:rPr>
          <w:rFonts w:eastAsia="MS Mincho" w:cs="Arial"/>
          <w:szCs w:val="18"/>
          <w:lang w:val="en-GB" w:eastAsia="ja-JP"/>
        </w:rPr>
        <w:t xml:space="preserve">Are nest-detection probability methods relevant for estimating turtle-dove breeding populations? A case study in Moroccan agroecosystems. </w:t>
      </w:r>
      <w:r w:rsidRPr="00C96521">
        <w:rPr>
          <w:rFonts w:eastAsia="MS Mincho" w:cs="Arial"/>
          <w:i/>
          <w:szCs w:val="18"/>
          <w:lang w:val="en-GB" w:eastAsia="ja-JP"/>
        </w:rPr>
        <w:t>European Journal of Wildlife Research</w:t>
      </w:r>
      <w:r w:rsidRPr="00C96521">
        <w:rPr>
          <w:rFonts w:eastAsia="MS Mincho" w:cs="Arial"/>
          <w:szCs w:val="18"/>
          <w:lang w:val="en-GB" w:eastAsia="ja-JP"/>
        </w:rPr>
        <w:t xml:space="preserve"> 60: 673-680.</w:t>
      </w:r>
    </w:p>
    <w:p w14:paraId="4CAA9B13"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80C11B3"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 xml:space="preserve">HANANE S and YASSIN M (2017) </w:t>
      </w:r>
      <w:r w:rsidRPr="00C96521">
        <w:rPr>
          <w:rFonts w:eastAsia="MS Mincho" w:cs="Arial"/>
          <w:szCs w:val="18"/>
          <w:lang w:val="en-GB" w:eastAsia="ja-JP"/>
        </w:rPr>
        <w:t xml:space="preserve">Nest-niche differentiation in two sympatric columbid species from a Mediterranean Tetraclinis woodland: Considerations for forest management. </w:t>
      </w:r>
      <w:r w:rsidRPr="00C96521">
        <w:rPr>
          <w:rFonts w:eastAsia="MS Mincho" w:cs="Arial"/>
          <w:i/>
          <w:szCs w:val="18"/>
          <w:lang w:val="en-GB" w:eastAsia="ja-JP"/>
        </w:rPr>
        <w:t>Acta Oecologica</w:t>
      </w:r>
      <w:r w:rsidRPr="00C96521">
        <w:rPr>
          <w:rFonts w:eastAsia="MS Mincho" w:cs="Arial"/>
          <w:szCs w:val="18"/>
          <w:lang w:val="en-GB" w:eastAsia="ja-JP"/>
        </w:rPr>
        <w:t xml:space="preserve"> 78: 47-52.</w:t>
      </w:r>
    </w:p>
    <w:p w14:paraId="120FEC27"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7E34BC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HANDRINOS G and AKRIOTIS T (1997)</w:t>
      </w:r>
      <w:r w:rsidRPr="00C96521">
        <w:rPr>
          <w:rFonts w:eastAsia="MS Mincho" w:cs="Arial"/>
          <w:szCs w:val="18"/>
          <w:lang w:val="en-GB" w:eastAsia="ja-JP"/>
        </w:rPr>
        <w:t xml:space="preserve"> </w:t>
      </w:r>
      <w:r w:rsidRPr="00C96521">
        <w:rPr>
          <w:rFonts w:eastAsia="MS Mincho" w:cs="Arial"/>
          <w:i/>
          <w:szCs w:val="18"/>
          <w:lang w:val="en-GB" w:eastAsia="ja-JP"/>
        </w:rPr>
        <w:t>The Birds of Greece</w:t>
      </w:r>
      <w:r w:rsidRPr="00C96521">
        <w:rPr>
          <w:rFonts w:eastAsia="MS Mincho" w:cs="Arial"/>
          <w:szCs w:val="18"/>
          <w:lang w:val="en-GB" w:eastAsia="ja-JP"/>
        </w:rPr>
        <w:t>. Christopher Helm, London.</w:t>
      </w:r>
    </w:p>
    <w:p w14:paraId="35DE6F8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1685E6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HARRIS SJ, MASSIMINO D, NEWSON SE, EATON MA, MARCHANT JH, BALMER DE, NOBLE DG, GILLINGS S, PROCTER D. and PEARCE-HIGGINS JW (2016) </w:t>
      </w:r>
      <w:r w:rsidRPr="00C96521">
        <w:rPr>
          <w:rFonts w:eastAsia="MS Mincho" w:cs="Arial"/>
          <w:i/>
          <w:szCs w:val="18"/>
          <w:lang w:val="en-GB" w:eastAsia="ja-JP"/>
        </w:rPr>
        <w:t>The Breeding Bird Survey 2015.</w:t>
      </w:r>
      <w:r w:rsidRPr="00C96521">
        <w:rPr>
          <w:rFonts w:eastAsia="MS Mincho" w:cs="Arial"/>
          <w:szCs w:val="18"/>
          <w:lang w:val="en-GB" w:eastAsia="ja-JP"/>
        </w:rPr>
        <w:t xml:space="preserve"> </w:t>
      </w:r>
      <w:r w:rsidRPr="00C96521">
        <w:rPr>
          <w:rFonts w:eastAsia="MS Mincho" w:cs="Arial"/>
          <w:i/>
          <w:szCs w:val="18"/>
          <w:lang w:val="en-GB" w:eastAsia="ja-JP"/>
        </w:rPr>
        <w:t>BTO Research Report 687</w:t>
      </w:r>
      <w:r w:rsidRPr="00C96521">
        <w:rPr>
          <w:rFonts w:eastAsia="MS Mincho" w:cs="Arial"/>
          <w:szCs w:val="18"/>
          <w:lang w:val="en-GB" w:eastAsia="ja-JP"/>
        </w:rPr>
        <w:t>. British Trust for Ornithology, Thetford.</w:t>
      </w:r>
    </w:p>
    <w:p w14:paraId="0BFAC4FA"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2E6374B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HELLICAR M (2016)</w:t>
      </w:r>
      <w:r w:rsidRPr="00C96521">
        <w:rPr>
          <w:rFonts w:eastAsia="MS Mincho" w:cs="Arial"/>
          <w:szCs w:val="18"/>
          <w:lang w:val="en-GB" w:eastAsia="ja-JP"/>
        </w:rPr>
        <w:t xml:space="preserve"> </w:t>
      </w:r>
      <w:r w:rsidRPr="00C96521">
        <w:rPr>
          <w:rFonts w:eastAsia="MS Mincho" w:cs="Arial"/>
          <w:i/>
          <w:szCs w:val="18"/>
          <w:lang w:val="en-GB" w:eastAsia="ja-JP"/>
        </w:rPr>
        <w:t xml:space="preserve">Status of Common Birds in Cyprus, 2015. Ten years of the BirdLife Cyprus Common Birds Monitoring </w:t>
      </w:r>
      <w:r w:rsidRPr="00C96521">
        <w:rPr>
          <w:rFonts w:eastAsia="MS Mincho" w:cs="Arial"/>
          <w:szCs w:val="18"/>
          <w:lang w:val="en-GB" w:eastAsia="ja-JP"/>
        </w:rPr>
        <w:t>Scheme</w:t>
      </w:r>
      <w:r w:rsidRPr="00C96521">
        <w:rPr>
          <w:rFonts w:eastAsia="MS Mincho" w:cs="Arial"/>
          <w:i/>
          <w:szCs w:val="18"/>
          <w:lang w:val="en-GB" w:eastAsia="ja-JP"/>
        </w:rPr>
        <w:t xml:space="preserve"> (CBMS), 2006-2015: Population trends and population size estimates for Cyprus common breeding birds</w:t>
      </w:r>
      <w:r w:rsidRPr="00C96521">
        <w:rPr>
          <w:rFonts w:eastAsia="MS Mincho" w:cs="Arial"/>
          <w:szCs w:val="18"/>
          <w:lang w:val="en-GB" w:eastAsia="ja-JP"/>
        </w:rPr>
        <w:t>. BirdLife Cyprus, Nicosia.</w:t>
      </w:r>
    </w:p>
    <w:p w14:paraId="3880D49D"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41695FD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HENDERSON IG, COOPER J, FULLER RJ and VICKERY J (2000) </w:t>
      </w:r>
      <w:r w:rsidRPr="00C96521">
        <w:rPr>
          <w:rFonts w:eastAsia="MS Mincho" w:cs="Arial"/>
          <w:szCs w:val="18"/>
          <w:lang w:val="en-GB" w:eastAsia="ja-JP"/>
        </w:rPr>
        <w:t xml:space="preserve">The relative abundance of birds on set-aside and neighbouring fields in summer. </w:t>
      </w:r>
      <w:r w:rsidRPr="00C96521">
        <w:rPr>
          <w:rFonts w:eastAsia="MS Mincho" w:cs="Arial"/>
          <w:i/>
          <w:szCs w:val="18"/>
          <w:lang w:val="en-GB" w:eastAsia="ja-JP"/>
        </w:rPr>
        <w:t>Journal of Applied Ecology</w:t>
      </w:r>
      <w:r w:rsidRPr="00C96521">
        <w:rPr>
          <w:rFonts w:eastAsia="MS Mincho" w:cs="Arial"/>
          <w:szCs w:val="18"/>
          <w:lang w:val="en-GB" w:eastAsia="ja-JP"/>
        </w:rPr>
        <w:t xml:space="preserve"> 37: 335-347.</w:t>
      </w:r>
    </w:p>
    <w:p w14:paraId="028F1FB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7C06A13" w14:textId="77777777" w:rsidR="00C96521" w:rsidRPr="00965D7D"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 xml:space="preserve">HENDERSON IG and EVANS AD (2000) </w:t>
      </w:r>
      <w:r w:rsidRPr="00C96521">
        <w:rPr>
          <w:rFonts w:eastAsia="MS Mincho" w:cs="Arial"/>
          <w:szCs w:val="18"/>
          <w:lang w:val="en-GB" w:eastAsia="ja-JP"/>
        </w:rPr>
        <w:t xml:space="preserve">Responses of farmland birds to set-aside and its management. In AEBISCHER NJ, EVANS AD, GRICE PV and VICKERY JA, </w:t>
      </w:r>
      <w:r w:rsidRPr="00C96521">
        <w:rPr>
          <w:rFonts w:eastAsia="MS Mincho" w:cs="Arial"/>
          <w:i/>
          <w:szCs w:val="18"/>
          <w:lang w:val="en-GB" w:eastAsia="ja-JP"/>
        </w:rPr>
        <w:t>Ecology and Conservation of Lowland Farmland Birds</w:t>
      </w:r>
      <w:r w:rsidRPr="00C96521">
        <w:rPr>
          <w:rFonts w:eastAsia="MS Mincho" w:cs="Arial"/>
          <w:szCs w:val="18"/>
          <w:lang w:val="en-GB" w:eastAsia="ja-JP"/>
        </w:rPr>
        <w:t xml:space="preserve">, pp 339-422. </w:t>
      </w:r>
      <w:r w:rsidRPr="00965D7D">
        <w:rPr>
          <w:rFonts w:eastAsia="MS Mincho" w:cs="Arial"/>
          <w:szCs w:val="18"/>
          <w:lang w:val="fr-FR" w:eastAsia="ja-JP"/>
        </w:rPr>
        <w:t>British Ornithologists’ Union, Tring.</w:t>
      </w:r>
    </w:p>
    <w:p w14:paraId="3BB23665" w14:textId="77777777" w:rsidR="00C96521" w:rsidRPr="00965D7D" w:rsidRDefault="00C96521" w:rsidP="00C96521">
      <w:pPr>
        <w:widowControl/>
        <w:autoSpaceDE/>
        <w:autoSpaceDN/>
        <w:adjustRightInd/>
        <w:spacing w:line="276" w:lineRule="auto"/>
        <w:rPr>
          <w:rFonts w:eastAsia="MS Mincho" w:cs="Arial"/>
          <w:b/>
          <w:szCs w:val="18"/>
          <w:lang w:val="fr-FR" w:eastAsia="ja-JP"/>
        </w:rPr>
      </w:pPr>
    </w:p>
    <w:p w14:paraId="3EDD82DA"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965D7D">
        <w:rPr>
          <w:rFonts w:eastAsia="MS Mincho" w:cs="Arial"/>
          <w:b/>
          <w:szCs w:val="18"/>
          <w:lang w:val="fr-FR" w:eastAsia="ja-JP"/>
        </w:rPr>
        <w:t>HIDALGO DE TRUCIOS SJ &amp; ROCHA CAMARERO G (2001a)</w:t>
      </w:r>
      <w:r w:rsidRPr="00965D7D">
        <w:rPr>
          <w:rFonts w:eastAsia="MS Mincho" w:cs="Arial"/>
          <w:szCs w:val="18"/>
          <w:lang w:val="fr-FR" w:eastAsia="ja-JP"/>
        </w:rPr>
        <w:t xml:space="preserve"> Status de la Tourterelle des bois </w:t>
      </w:r>
      <w:r w:rsidRPr="00965D7D">
        <w:rPr>
          <w:rFonts w:eastAsia="MS Mincho" w:cs="Arial"/>
          <w:i/>
          <w:szCs w:val="18"/>
          <w:lang w:val="fr-FR" w:eastAsia="ja-JP"/>
        </w:rPr>
        <w:t>Streptopelia turtur</w:t>
      </w:r>
      <w:r w:rsidRPr="00965D7D">
        <w:rPr>
          <w:rFonts w:eastAsia="MS Mincho" w:cs="Arial"/>
          <w:szCs w:val="18"/>
          <w:lang w:val="fr-FR" w:eastAsia="ja-JP"/>
        </w:rPr>
        <w:t xml:space="preserve"> en Estrémadura (Espagne). </w:t>
      </w:r>
      <w:r w:rsidRPr="00890F11">
        <w:rPr>
          <w:rFonts w:eastAsia="MS Mincho" w:cs="Arial"/>
          <w:szCs w:val="18"/>
          <w:lang w:val="es-ES" w:eastAsia="ja-JP"/>
        </w:rPr>
        <w:t xml:space="preserve">Incidence sur la chasse. </w:t>
      </w:r>
      <w:r w:rsidRPr="00890F11">
        <w:rPr>
          <w:rFonts w:eastAsia="MS Mincho" w:cs="Arial"/>
          <w:i/>
          <w:szCs w:val="18"/>
          <w:lang w:val="es-ES" w:eastAsia="ja-JP"/>
        </w:rPr>
        <w:t>Faune Sauvage</w:t>
      </w:r>
      <w:r w:rsidRPr="00890F11">
        <w:rPr>
          <w:rFonts w:eastAsia="MS Mincho" w:cs="Arial"/>
          <w:szCs w:val="18"/>
          <w:lang w:val="es-ES" w:eastAsia="ja-JP"/>
        </w:rPr>
        <w:t xml:space="preserve"> 253: 82-85.</w:t>
      </w:r>
    </w:p>
    <w:p w14:paraId="52F1CDF2"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21769435"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HIDALGO DE TRUCIOS SJ and ROCHA CAMARERO G (2001b)</w:t>
      </w:r>
      <w:r w:rsidRPr="00890F11">
        <w:rPr>
          <w:rFonts w:eastAsia="MS Mincho" w:cs="Arial"/>
          <w:szCs w:val="18"/>
          <w:lang w:val="es-ES" w:eastAsia="ja-JP"/>
        </w:rPr>
        <w:t xml:space="preserve"> Valoración de la presión cinegética sobre la Tórtola Común en Extremadura. </w:t>
      </w:r>
      <w:r w:rsidRPr="00890F11">
        <w:rPr>
          <w:rFonts w:eastAsia="MS Mincho" w:cs="Arial"/>
          <w:i/>
          <w:szCs w:val="18"/>
          <w:lang w:val="es-ES" w:eastAsia="ja-JP"/>
        </w:rPr>
        <w:t>Naturzale</w:t>
      </w:r>
      <w:r w:rsidRPr="00890F11">
        <w:rPr>
          <w:rFonts w:eastAsia="MS Mincho" w:cs="Arial"/>
          <w:szCs w:val="18"/>
          <w:lang w:val="es-ES" w:eastAsia="ja-JP"/>
        </w:rPr>
        <w:t xml:space="preserve"> 16: 157-171.</w:t>
      </w:r>
    </w:p>
    <w:p w14:paraId="5D20802E"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42E25720"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lastRenderedPageBreak/>
        <w:t>HIDALGO DE TRUCIOS SJ and ROCHA CAMARERO G (2002)</w:t>
      </w:r>
      <w:r w:rsidRPr="00890F11">
        <w:rPr>
          <w:rFonts w:eastAsia="MS Mincho" w:cs="Arial"/>
          <w:szCs w:val="18"/>
          <w:lang w:val="es-ES" w:eastAsia="ja-JP"/>
        </w:rPr>
        <w:t xml:space="preserve"> ¿Qué está pasando en realidad con la Tórtola Común? </w:t>
      </w:r>
      <w:r w:rsidRPr="00890F11">
        <w:rPr>
          <w:rFonts w:eastAsia="MS Mincho" w:cs="Arial"/>
          <w:i/>
          <w:szCs w:val="18"/>
          <w:lang w:val="es-ES" w:eastAsia="ja-JP"/>
        </w:rPr>
        <w:t>Euskonews &amp; Media</w:t>
      </w:r>
      <w:r w:rsidRPr="00890F11">
        <w:rPr>
          <w:rFonts w:eastAsia="MS Mincho" w:cs="Arial"/>
          <w:szCs w:val="18"/>
          <w:lang w:val="es-ES" w:eastAsia="ja-JP"/>
        </w:rPr>
        <w:t>184: 18-25.</w:t>
      </w:r>
    </w:p>
    <w:p w14:paraId="00354E7B"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18106EB9"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HIDALGO DE TRUCIOS SJ and ROCHA CAMARERO G (2003)</w:t>
      </w:r>
      <w:r w:rsidRPr="00890F11">
        <w:rPr>
          <w:rFonts w:eastAsia="MS Mincho" w:cs="Arial"/>
          <w:szCs w:val="18"/>
          <w:lang w:val="es-ES" w:eastAsia="ja-JP"/>
        </w:rPr>
        <w:t xml:space="preserve"> La Caza de la Tórtola Común como actividad sostenible. In: </w:t>
      </w:r>
      <w:r w:rsidRPr="00890F11">
        <w:rPr>
          <w:rFonts w:eastAsia="MS Mincho" w:cs="Arial"/>
          <w:i/>
          <w:szCs w:val="18"/>
          <w:lang w:val="es-ES" w:eastAsia="ja-JP"/>
        </w:rPr>
        <w:t>Conservación, explotación y comercialización de los espacios cinegéticos</w:t>
      </w:r>
      <w:r w:rsidRPr="00890F11">
        <w:rPr>
          <w:rFonts w:eastAsia="MS Mincho" w:cs="Arial"/>
          <w:szCs w:val="18"/>
          <w:lang w:val="es-ES" w:eastAsia="ja-JP"/>
        </w:rPr>
        <w:t>. Editado por el Centro de Desarrollo Rural Campiña Sur. pp135-149.</w:t>
      </w:r>
    </w:p>
    <w:p w14:paraId="49745EDD"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10681A36"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HIDALGO DE TRUCIOS SJ and ROCHA CAMARERO G (2005)</w:t>
      </w:r>
      <w:r w:rsidRPr="00890F11">
        <w:rPr>
          <w:rFonts w:eastAsia="MS Mincho" w:cs="Arial"/>
          <w:szCs w:val="18"/>
          <w:lang w:val="es-ES" w:eastAsia="ja-JP"/>
        </w:rPr>
        <w:t xml:space="preserve"> Revisión del Status de la Tórtola Común </w:t>
      </w:r>
      <w:r w:rsidRPr="00890F11">
        <w:rPr>
          <w:rFonts w:eastAsia="MS Mincho" w:cs="Arial"/>
          <w:i/>
          <w:szCs w:val="18"/>
          <w:lang w:val="es-ES" w:eastAsia="ja-JP"/>
        </w:rPr>
        <w:t>Streptopelia turtur</w:t>
      </w:r>
      <w:r w:rsidRPr="00890F11">
        <w:rPr>
          <w:rFonts w:eastAsia="MS Mincho" w:cs="Arial"/>
          <w:szCs w:val="18"/>
          <w:lang w:val="es-ES" w:eastAsia="ja-JP"/>
        </w:rPr>
        <w:t xml:space="preserve"> en Extremadura, implicaciones en su Conservación. In: LÓPEZ CABALLERO JM (ed) </w:t>
      </w:r>
      <w:r w:rsidRPr="00890F11">
        <w:rPr>
          <w:rFonts w:eastAsia="MS Mincho" w:cs="Arial"/>
          <w:i/>
          <w:szCs w:val="18"/>
          <w:lang w:val="es-ES" w:eastAsia="ja-JP"/>
        </w:rPr>
        <w:t>Conservación de la naturaleza en Extremadura.</w:t>
      </w:r>
      <w:r w:rsidRPr="00890F11">
        <w:rPr>
          <w:rFonts w:eastAsia="MS Mincho" w:cs="Arial"/>
          <w:szCs w:val="18"/>
          <w:lang w:val="es-ES" w:eastAsia="ja-JP"/>
        </w:rPr>
        <w:t>Publica Consejería de Agricultura y Medio Ambiente, Junta de Extremadura, Mérida. pp 427--433.</w:t>
      </w:r>
    </w:p>
    <w:p w14:paraId="04C25214"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2DD36F2E" w14:textId="77777777" w:rsidR="00C96521" w:rsidRPr="00C96521" w:rsidRDefault="00C96521" w:rsidP="00C96521">
      <w:pPr>
        <w:widowControl/>
        <w:spacing w:line="276" w:lineRule="auto"/>
        <w:rPr>
          <w:rFonts w:eastAsia="MS Mincho" w:cs="Arial"/>
          <w:szCs w:val="18"/>
          <w:lang w:val="en-GB" w:eastAsia="ja-JP"/>
        </w:rPr>
      </w:pPr>
      <w:r w:rsidRPr="00890F11">
        <w:rPr>
          <w:rFonts w:eastAsia="MS Mincho" w:cs="Arial"/>
          <w:b/>
          <w:szCs w:val="18"/>
          <w:lang w:val="es-ES" w:eastAsia="ja-JP"/>
        </w:rPr>
        <w:t>HIDALGO DE TRUCIOS SJ (2007)</w:t>
      </w:r>
      <w:r w:rsidRPr="00890F11">
        <w:rPr>
          <w:rFonts w:eastAsia="MS Mincho" w:cs="Arial"/>
          <w:szCs w:val="18"/>
          <w:lang w:val="es-ES" w:eastAsia="ja-JP"/>
        </w:rPr>
        <w:t xml:space="preserve"> Capítulo 6. Certificación de Calidad Cinegética en Áreas Agrícolas y Esteparias. In: CARRANZA J and VARGAS JM (eds) </w:t>
      </w:r>
      <w:r w:rsidRPr="00890F11">
        <w:rPr>
          <w:rFonts w:eastAsia="MS Mincho" w:cs="Arial"/>
          <w:i/>
          <w:szCs w:val="18"/>
          <w:lang w:val="es-ES" w:eastAsia="ja-JP"/>
        </w:rPr>
        <w:t>Criterios para la Certificación de la Calidad Cinegética en España.</w:t>
      </w:r>
      <w:r w:rsidRPr="00890F11">
        <w:rPr>
          <w:rFonts w:eastAsia="MS Mincho" w:cs="Arial"/>
          <w:szCs w:val="18"/>
          <w:lang w:val="es-ES" w:eastAsia="ja-JP"/>
        </w:rPr>
        <w:t xml:space="preserve"> </w:t>
      </w:r>
      <w:r w:rsidRPr="00C96521">
        <w:rPr>
          <w:rFonts w:eastAsia="MS Mincho" w:cs="Arial"/>
          <w:szCs w:val="18"/>
          <w:lang w:val="en-GB" w:eastAsia="ja-JP"/>
        </w:rPr>
        <w:t>Universidad Extremadura, Servicio de Publicaciones, Cáceres. pp 45-51.</w:t>
      </w:r>
    </w:p>
    <w:p w14:paraId="235D0E1B" w14:textId="77777777" w:rsidR="00C96521" w:rsidRPr="00C96521" w:rsidRDefault="00C96521" w:rsidP="00C96521">
      <w:pPr>
        <w:widowControl/>
        <w:spacing w:line="276" w:lineRule="auto"/>
        <w:rPr>
          <w:rFonts w:eastAsia="MS Mincho" w:cs="Arial"/>
          <w:b/>
          <w:bCs/>
          <w:szCs w:val="18"/>
          <w:lang w:val="en-GB" w:eastAsia="ja-JP"/>
        </w:rPr>
      </w:pPr>
    </w:p>
    <w:p w14:paraId="43F2E5D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HILL D (1992)</w:t>
      </w:r>
      <w:r w:rsidRPr="00C96521">
        <w:rPr>
          <w:rFonts w:eastAsia="MS Mincho" w:cs="Arial"/>
          <w:bCs/>
          <w:szCs w:val="18"/>
          <w:lang w:val="en-GB" w:eastAsia="ja-JP"/>
        </w:rPr>
        <w:t xml:space="preserve"> </w:t>
      </w:r>
      <w:r w:rsidRPr="00C96521">
        <w:rPr>
          <w:rFonts w:eastAsia="MS Mincho" w:cs="Arial"/>
          <w:i/>
          <w:szCs w:val="18"/>
          <w:lang w:val="en-GB" w:eastAsia="ja-JP"/>
        </w:rPr>
        <w:t>Assessment of the population dynamics of Turtle-dove in EC countries</w:t>
      </w:r>
      <w:r w:rsidRPr="00C96521">
        <w:rPr>
          <w:rFonts w:eastAsia="MS Mincho" w:cs="Arial"/>
          <w:szCs w:val="18"/>
          <w:lang w:val="en-GB" w:eastAsia="ja-JP"/>
        </w:rPr>
        <w:t>. Report DGXI: 12.</w:t>
      </w:r>
    </w:p>
    <w:p w14:paraId="5868669C"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8355207"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 xml:space="preserve">HIRSCHFELD A and HEYD A (2005) </w:t>
      </w:r>
      <w:r w:rsidRPr="00C96521">
        <w:rPr>
          <w:rFonts w:eastAsia="MS Mincho" w:cs="Arial"/>
          <w:szCs w:val="18"/>
          <w:lang w:val="en-GB" w:eastAsia="ja-JP"/>
        </w:rPr>
        <w:t xml:space="preserve">Mortality of migratory birds caused by hunting in Europe: bag statistics and proposals for the conservation of birds and animal welfare. </w:t>
      </w:r>
      <w:r w:rsidRPr="00C96521">
        <w:rPr>
          <w:rFonts w:eastAsia="MS Mincho" w:cs="Arial"/>
          <w:i/>
          <w:szCs w:val="18"/>
          <w:lang w:val="en-GB" w:eastAsia="ja-JP"/>
        </w:rPr>
        <w:t>Berichte zum Vogelschutz</w:t>
      </w:r>
      <w:r w:rsidRPr="00C96521">
        <w:rPr>
          <w:rFonts w:eastAsia="MS Mincho" w:cs="Arial"/>
          <w:szCs w:val="18"/>
          <w:lang w:val="en-GB" w:eastAsia="ja-JP"/>
        </w:rPr>
        <w:t xml:space="preserve"> 42: 47-74</w:t>
      </w:r>
    </w:p>
    <w:p w14:paraId="7098AAD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BDEBAD8"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HODGE I, READER M, REVOREDO C, CRABTREE R, TUCKER G and KING T (2006)</w:t>
      </w:r>
      <w:r w:rsidRPr="00C96521">
        <w:rPr>
          <w:rFonts w:eastAsia="MS Mincho" w:cs="Arial"/>
          <w:szCs w:val="18"/>
          <w:lang w:val="en-GB" w:eastAsia="ja-JP"/>
        </w:rPr>
        <w:t xml:space="preserve"> </w:t>
      </w:r>
      <w:r w:rsidRPr="00C96521">
        <w:rPr>
          <w:rFonts w:eastAsia="MS Mincho" w:cs="Arial"/>
          <w:i/>
          <w:szCs w:val="18"/>
          <w:lang w:val="en-GB" w:eastAsia="ja-JP"/>
        </w:rPr>
        <w:t>Project to assess future options for set-aside – Final Report for the Department for Environment, Food and Rural Affairs</w:t>
      </w:r>
      <w:r w:rsidRPr="00C96521">
        <w:rPr>
          <w:rFonts w:eastAsia="MS Mincho" w:cs="Arial"/>
          <w:szCs w:val="18"/>
          <w:lang w:val="en-GB" w:eastAsia="ja-JP"/>
        </w:rPr>
        <w:t xml:space="preserve">. University of Cambridge, Department of Land Economy. </w:t>
      </w:r>
    </w:p>
    <w:p w14:paraId="1AB2C7EA"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7AC0E8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HRISTOV I (2015)</w:t>
      </w:r>
      <w:r w:rsidRPr="00C96521">
        <w:rPr>
          <w:rFonts w:eastAsia="MS Mincho" w:cs="Arial"/>
          <w:szCs w:val="18"/>
          <w:lang w:val="en-GB" w:eastAsia="ja-JP"/>
        </w:rPr>
        <w:t xml:space="preserve"> </w:t>
      </w:r>
      <w:r w:rsidRPr="00C96521">
        <w:rPr>
          <w:rFonts w:eastAsia="MS Mincho" w:cs="Arial"/>
          <w:i/>
          <w:szCs w:val="18"/>
          <w:lang w:val="en-GB" w:eastAsia="ja-JP"/>
        </w:rPr>
        <w:t>The State of Common Birds in Bulgaria 2005-2015</w:t>
      </w:r>
      <w:r w:rsidRPr="00C96521">
        <w:rPr>
          <w:rFonts w:eastAsia="MS Mincho" w:cs="Arial"/>
          <w:szCs w:val="18"/>
          <w:lang w:val="en-GB" w:eastAsia="ja-JP"/>
        </w:rPr>
        <w:t>. Conservation series 31. BSPB, Sofia.</w:t>
      </w:r>
    </w:p>
    <w:p w14:paraId="7EB57B65"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134BE0A8" w14:textId="77777777" w:rsidR="00C96521" w:rsidRPr="00890F11" w:rsidRDefault="00C96521" w:rsidP="00C96521">
      <w:pPr>
        <w:widowControl/>
        <w:autoSpaceDE/>
        <w:autoSpaceDN/>
        <w:adjustRightInd/>
        <w:spacing w:line="276" w:lineRule="auto"/>
        <w:rPr>
          <w:rFonts w:eastAsia="MS Mincho" w:cs="Arial"/>
          <w:b/>
          <w:szCs w:val="18"/>
          <w:lang w:val="es-ES" w:eastAsia="ja-JP"/>
        </w:rPr>
      </w:pPr>
      <w:r w:rsidRPr="00C96521">
        <w:rPr>
          <w:rFonts w:eastAsia="MS Mincho" w:cs="Arial"/>
          <w:b/>
          <w:szCs w:val="18"/>
          <w:lang w:val="en-GB" w:eastAsia="ja-JP"/>
        </w:rPr>
        <w:t>IANKOV P (2007)</w:t>
      </w:r>
      <w:r w:rsidRPr="00C96521">
        <w:rPr>
          <w:rFonts w:eastAsia="MS Mincho" w:cs="Arial"/>
          <w:szCs w:val="18"/>
          <w:lang w:val="en-GB" w:eastAsia="ja-JP"/>
        </w:rPr>
        <w:t xml:space="preserve"> </w:t>
      </w:r>
      <w:r w:rsidRPr="00C96521">
        <w:rPr>
          <w:rFonts w:eastAsia="MS Mincho" w:cs="Arial"/>
          <w:i/>
          <w:szCs w:val="18"/>
          <w:lang w:val="en-GB" w:eastAsia="ja-JP"/>
        </w:rPr>
        <w:t>Atlas of Breeding Birds in Bulgaria</w:t>
      </w:r>
      <w:r w:rsidRPr="00C96521">
        <w:rPr>
          <w:rFonts w:eastAsia="MS Mincho" w:cs="Arial"/>
          <w:szCs w:val="18"/>
          <w:lang w:val="en-GB" w:eastAsia="ja-JP"/>
        </w:rPr>
        <w:t xml:space="preserve">. Bulgarian Society for the Protection of Birds, Conservation Series 10. </w:t>
      </w:r>
      <w:r w:rsidRPr="00890F11">
        <w:rPr>
          <w:rFonts w:eastAsia="MS Mincho" w:cs="Arial"/>
          <w:szCs w:val="18"/>
          <w:lang w:val="es-ES" w:eastAsia="ja-JP"/>
        </w:rPr>
        <w:t>BSPB, Sofia.</w:t>
      </w:r>
    </w:p>
    <w:p w14:paraId="60F65662"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655CE722"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ICO (2016)</w:t>
      </w:r>
      <w:r w:rsidRPr="00890F11">
        <w:rPr>
          <w:rFonts w:eastAsia="MS Mincho" w:cs="Arial"/>
          <w:szCs w:val="18"/>
          <w:lang w:val="es-ES" w:eastAsia="ja-JP"/>
        </w:rPr>
        <w:t xml:space="preserve"> </w:t>
      </w:r>
      <w:r w:rsidRPr="00890F11">
        <w:rPr>
          <w:rFonts w:eastAsia="MS Mincho" w:cs="Arial"/>
          <w:i/>
          <w:szCs w:val="18"/>
          <w:lang w:val="es-ES" w:eastAsia="ja-JP"/>
        </w:rPr>
        <w:t>SIOC: servidor d'informació ornitològica de Catalunya</w:t>
      </w:r>
      <w:r w:rsidRPr="00890F11">
        <w:rPr>
          <w:rFonts w:eastAsia="MS Mincho" w:cs="Arial"/>
          <w:szCs w:val="18"/>
          <w:lang w:val="es-ES" w:eastAsia="ja-JP"/>
        </w:rPr>
        <w:t>. ICO, Barcelona.</w:t>
      </w:r>
    </w:p>
    <w:p w14:paraId="381BF505"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23938959"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bCs/>
          <w:szCs w:val="18"/>
          <w:lang w:val="es-ES" w:eastAsia="ja-JP"/>
        </w:rPr>
        <w:t>ICONA (1989)</w:t>
      </w:r>
      <w:r w:rsidRPr="00890F11">
        <w:rPr>
          <w:rFonts w:eastAsia="MS Mincho" w:cs="Arial"/>
          <w:bCs/>
          <w:szCs w:val="18"/>
          <w:lang w:val="es-ES" w:eastAsia="ja-JP"/>
        </w:rPr>
        <w:t xml:space="preserve"> </w:t>
      </w:r>
      <w:r w:rsidRPr="00890F11">
        <w:rPr>
          <w:rFonts w:eastAsia="MS Mincho" w:cs="Arial"/>
          <w:i/>
          <w:szCs w:val="18"/>
          <w:lang w:val="es-ES" w:eastAsia="ja-JP"/>
        </w:rPr>
        <w:t xml:space="preserve">Determination del status de la tortola comun </w:t>
      </w:r>
      <w:r w:rsidRPr="00890F11">
        <w:rPr>
          <w:rFonts w:eastAsia="MS Mincho" w:cs="Arial"/>
          <w:szCs w:val="18"/>
          <w:lang w:val="es-ES" w:eastAsia="ja-JP"/>
        </w:rPr>
        <w:t>Streptopelia turtur</w:t>
      </w:r>
      <w:r w:rsidRPr="00890F11">
        <w:rPr>
          <w:rFonts w:eastAsia="MS Mincho" w:cs="Arial"/>
          <w:i/>
          <w:szCs w:val="18"/>
          <w:lang w:val="es-ES" w:eastAsia="ja-JP"/>
        </w:rPr>
        <w:t>. Final Report.</w:t>
      </w:r>
      <w:r w:rsidRPr="00890F11">
        <w:rPr>
          <w:rFonts w:eastAsia="MS Mincho" w:cs="Arial"/>
          <w:szCs w:val="18"/>
          <w:lang w:val="es-ES" w:eastAsia="ja-JP"/>
        </w:rPr>
        <w:t xml:space="preserve"> Instituto Nacional para la Conservación de la Naturaleza, Servicio de Vida Silvestre, Madrid.</w:t>
      </w:r>
    </w:p>
    <w:p w14:paraId="6E08EE93"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67B5760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INSTITUTE FOR NATURE CONSERVATION OF SERBIA (2015)</w:t>
      </w:r>
      <w:r w:rsidRPr="00C96521">
        <w:rPr>
          <w:rFonts w:eastAsia="MS Mincho" w:cs="Arial"/>
          <w:i/>
          <w:szCs w:val="18"/>
          <w:lang w:val="en-GB" w:eastAsia="ja-JP"/>
        </w:rPr>
        <w:t xml:space="preserve"> A grey partridge and turtle-dove hunting ban in Serbia. </w:t>
      </w:r>
      <w:hyperlink r:id="rId57" w:history="1">
        <w:r w:rsidRPr="00C96521">
          <w:rPr>
            <w:rFonts w:eastAsia="MS Mincho" w:cs="Arial"/>
            <w:szCs w:val="18"/>
            <w:lang w:val="en-GB" w:eastAsia="ja-JP"/>
          </w:rPr>
          <w:t>http://www.zzps.rs/novo/index.php?jezik=_en&amp;strana=vest&amp;n=282</w:t>
        </w:r>
      </w:hyperlink>
      <w:r w:rsidRPr="00C96521">
        <w:rPr>
          <w:rFonts w:eastAsia="MS Mincho" w:cs="Arial"/>
          <w:szCs w:val="18"/>
          <w:lang w:val="en-GB" w:eastAsia="ja-JP"/>
        </w:rPr>
        <w:t xml:space="preserve"> (last accessed 25th November 2016)</w:t>
      </w:r>
    </w:p>
    <w:p w14:paraId="377E223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CF2935B"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ISSA N and MULLER Y (2015)</w:t>
      </w:r>
      <w:r w:rsidRPr="00890F11">
        <w:rPr>
          <w:rFonts w:eastAsia="MS Mincho" w:cs="Arial"/>
          <w:szCs w:val="18"/>
          <w:lang w:val="fr-FR" w:eastAsia="ja-JP"/>
        </w:rPr>
        <w:t xml:space="preserve"> </w:t>
      </w:r>
      <w:r w:rsidRPr="00890F11">
        <w:rPr>
          <w:rFonts w:eastAsia="MS Mincho" w:cs="Arial"/>
          <w:i/>
          <w:szCs w:val="18"/>
          <w:lang w:val="fr-FR" w:eastAsia="ja-JP"/>
        </w:rPr>
        <w:t>Atlas des oiseaux de France métropolitaine, nidification et présence hivernale</w:t>
      </w:r>
      <w:r w:rsidRPr="00890F11">
        <w:rPr>
          <w:rFonts w:eastAsia="MS Mincho" w:cs="Arial"/>
          <w:szCs w:val="18"/>
          <w:lang w:val="fr-FR" w:eastAsia="ja-JP"/>
        </w:rPr>
        <w:t>. LPO, SEOF and MNHN, Delachaux and Niestlé, Paris.</w:t>
      </w:r>
    </w:p>
    <w:p w14:paraId="010BF6EF"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430CDF7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fr-FR" w:eastAsia="ja-JP"/>
        </w:rPr>
        <w:t>ISSA N and BOUTIN J-M (2015)</w:t>
      </w:r>
      <w:r w:rsidRPr="00890F11">
        <w:rPr>
          <w:rFonts w:eastAsia="MS Mincho" w:cs="Arial"/>
          <w:szCs w:val="18"/>
          <w:lang w:val="fr-FR" w:eastAsia="ja-JP"/>
        </w:rPr>
        <w:t xml:space="preserve"> Tourterelle des bois </w:t>
      </w:r>
      <w:r w:rsidRPr="00890F11">
        <w:rPr>
          <w:rFonts w:eastAsia="MS Mincho" w:cs="Arial"/>
          <w:i/>
          <w:szCs w:val="18"/>
          <w:lang w:val="fr-FR" w:eastAsia="ja-JP"/>
        </w:rPr>
        <w:t>Streptopelia turtur</w:t>
      </w:r>
      <w:r w:rsidRPr="00890F11">
        <w:rPr>
          <w:rFonts w:eastAsia="MS Mincho" w:cs="Arial"/>
          <w:szCs w:val="18"/>
          <w:lang w:val="fr-FR" w:eastAsia="ja-JP"/>
        </w:rPr>
        <w:t xml:space="preserve">. In: MULLER Y and ISSA N (coordinators) </w:t>
      </w:r>
      <w:r w:rsidRPr="00890F11">
        <w:rPr>
          <w:rFonts w:eastAsia="MS Mincho" w:cs="Arial"/>
          <w:i/>
          <w:szCs w:val="18"/>
          <w:lang w:val="fr-FR" w:eastAsia="ja-JP"/>
        </w:rPr>
        <w:t>Atlas des oiseaux de France métropolitaine, nidification et présence hivernale</w:t>
      </w:r>
      <w:r w:rsidRPr="00890F11">
        <w:rPr>
          <w:rFonts w:eastAsia="MS Mincho" w:cs="Arial"/>
          <w:szCs w:val="18"/>
          <w:lang w:val="fr-FR" w:eastAsia="ja-JP"/>
        </w:rPr>
        <w:t xml:space="preserve">. </w:t>
      </w:r>
      <w:r w:rsidRPr="00C96521">
        <w:rPr>
          <w:rFonts w:eastAsia="MS Mincho" w:cs="Arial"/>
          <w:szCs w:val="18"/>
          <w:lang w:val="en-GB" w:eastAsia="ja-JP"/>
        </w:rPr>
        <w:t>LPO, SEOF and MNHN, Delachaux and Niestlé, Paris.</w:t>
      </w:r>
    </w:p>
    <w:p w14:paraId="5FE53A8F"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80467F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IUCN COMITATO ITALIANO (2012</w:t>
      </w:r>
      <w:r w:rsidRPr="00C96521">
        <w:rPr>
          <w:rFonts w:eastAsia="MS Mincho" w:cs="Arial"/>
          <w:szCs w:val="18"/>
          <w:lang w:val="en-GB" w:eastAsia="ja-JP"/>
        </w:rPr>
        <w:t xml:space="preserve">) </w:t>
      </w:r>
      <w:r w:rsidRPr="00C96521">
        <w:rPr>
          <w:rFonts w:eastAsia="MS Mincho" w:cs="Arial"/>
          <w:i/>
          <w:szCs w:val="18"/>
          <w:lang w:val="en-GB" w:eastAsia="ja-JP"/>
        </w:rPr>
        <w:t>Streptopelia turtur</w:t>
      </w:r>
      <w:r w:rsidRPr="00C96521">
        <w:rPr>
          <w:rFonts w:eastAsia="MS Mincho" w:cs="Arial"/>
          <w:szCs w:val="18"/>
          <w:lang w:val="en-GB" w:eastAsia="ja-JP"/>
        </w:rPr>
        <w:t>. http://www.iucn.it/scheda.php?id=1425556678 (last accessed 28</w:t>
      </w:r>
      <w:r w:rsidRPr="00C96521">
        <w:rPr>
          <w:rFonts w:eastAsia="MS Mincho" w:cs="Arial"/>
          <w:szCs w:val="18"/>
          <w:vertAlign w:val="superscript"/>
          <w:lang w:val="en-GB" w:eastAsia="ja-JP"/>
        </w:rPr>
        <w:t>th</w:t>
      </w:r>
      <w:r w:rsidRPr="00C96521">
        <w:rPr>
          <w:rFonts w:eastAsia="MS Mincho" w:cs="Arial"/>
          <w:szCs w:val="18"/>
          <w:lang w:val="en-GB" w:eastAsia="ja-JP"/>
        </w:rPr>
        <w:t xml:space="preserve"> October 2016)</w:t>
      </w:r>
    </w:p>
    <w:p w14:paraId="5C14B39C"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213B5BE3"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r w:rsidRPr="00C96521">
        <w:rPr>
          <w:rFonts w:eastAsia="MS Mincho" w:cs="Arial"/>
          <w:b/>
          <w:bCs/>
          <w:szCs w:val="18"/>
          <w:lang w:val="en-GB" w:eastAsia="ja-JP"/>
        </w:rPr>
        <w:t>IVANCHEV VP and DENIS LS (2011)</w:t>
      </w:r>
      <w:r w:rsidRPr="00C96521">
        <w:rPr>
          <w:rFonts w:eastAsia="MS Mincho" w:cs="Arial"/>
          <w:szCs w:val="18"/>
          <w:lang w:val="en-GB" w:eastAsia="ja-JP"/>
        </w:rPr>
        <w:t xml:space="preserve"> Turtle-dove. In: IVANCHEV VP and KAZAKOVA MV (eds). </w:t>
      </w:r>
      <w:r w:rsidRPr="00C96521">
        <w:rPr>
          <w:rFonts w:eastAsia="MS Mincho" w:cs="Arial"/>
          <w:i/>
          <w:szCs w:val="18"/>
          <w:lang w:val="en-GB" w:eastAsia="ja-JP"/>
        </w:rPr>
        <w:t>Red Data Book of Ryazan Region</w:t>
      </w:r>
      <w:r w:rsidRPr="00C96521">
        <w:rPr>
          <w:rFonts w:eastAsia="MS Mincho" w:cs="Arial"/>
          <w:szCs w:val="18"/>
          <w:lang w:val="en-GB" w:eastAsia="ja-JP"/>
        </w:rPr>
        <w:t xml:space="preserve">. NP Golos Gubernii, Ryazan: 109. </w:t>
      </w:r>
      <w:r w:rsidRPr="00890F11">
        <w:rPr>
          <w:rFonts w:eastAsia="MS Mincho" w:cs="Arial"/>
          <w:szCs w:val="18"/>
          <w:lang w:val="fr-FR" w:eastAsia="ja-JP"/>
        </w:rPr>
        <w:t>[in Russian]</w:t>
      </w:r>
    </w:p>
    <w:p w14:paraId="7D40E2BC"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3D474D3E" w14:textId="73C7DF35"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JACOB J-P, DEHEM C, BURNEL A, DAMBIERMONT J-L, FASOL M, KINET T, VAN DER ELST D and PAQUET J-Y (2010)</w:t>
      </w:r>
      <w:r w:rsidRPr="00890F11">
        <w:rPr>
          <w:rFonts w:eastAsia="MS Mincho" w:cs="Arial"/>
          <w:szCs w:val="18"/>
          <w:lang w:val="fr-FR" w:eastAsia="ja-JP"/>
        </w:rPr>
        <w:t xml:space="preserve"> </w:t>
      </w:r>
      <w:r w:rsidRPr="00890F11">
        <w:rPr>
          <w:rFonts w:eastAsia="MS Mincho" w:cs="Arial"/>
          <w:i/>
          <w:szCs w:val="18"/>
          <w:lang w:val="fr-FR" w:eastAsia="ja-JP"/>
        </w:rPr>
        <w:t>Atlas des oiseaux nicheurs de Wallonie 2001-2007. Serie Faune-Flore-Habitats 5. Gembloux.</w:t>
      </w:r>
      <w:r w:rsidRPr="00890F11">
        <w:rPr>
          <w:rFonts w:eastAsia="MS Mincho" w:cs="Arial"/>
          <w:szCs w:val="18"/>
          <w:lang w:val="fr-FR" w:eastAsia="ja-JP"/>
        </w:rPr>
        <w:t xml:space="preserve"> Publication d’Aves et du </w:t>
      </w:r>
      <w:r w:rsidR="00526B63" w:rsidRPr="00890F11">
        <w:rPr>
          <w:rFonts w:eastAsia="MS Mincho" w:cs="Arial"/>
          <w:szCs w:val="18"/>
          <w:lang w:val="fr-FR" w:eastAsia="ja-JP"/>
        </w:rPr>
        <w:t>Département</w:t>
      </w:r>
      <w:r w:rsidRPr="00890F11">
        <w:rPr>
          <w:rFonts w:eastAsia="MS Mincho" w:cs="Arial"/>
          <w:szCs w:val="18"/>
          <w:lang w:val="fr-FR" w:eastAsia="ja-JP"/>
        </w:rPr>
        <w:t xml:space="preserve"> de l’</w:t>
      </w:r>
      <w:r w:rsidR="00526B63">
        <w:rPr>
          <w:rFonts w:eastAsia="MS Mincho" w:cs="Arial"/>
          <w:szCs w:val="18"/>
          <w:lang w:val="fr-FR" w:eastAsia="ja-JP"/>
        </w:rPr>
        <w:t>É</w:t>
      </w:r>
      <w:r w:rsidRPr="00890F11">
        <w:rPr>
          <w:rFonts w:eastAsia="MS Mincho" w:cs="Arial"/>
          <w:szCs w:val="18"/>
          <w:lang w:val="fr-FR" w:eastAsia="ja-JP"/>
        </w:rPr>
        <w:t xml:space="preserve">tude du Milieu Naturel et Agricole, Wallonie. </w:t>
      </w:r>
    </w:p>
    <w:p w14:paraId="736B229B"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p>
    <w:p w14:paraId="701B8167"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bCs/>
          <w:szCs w:val="18"/>
          <w:lang w:val="en-GB" w:eastAsia="ja-JP"/>
        </w:rPr>
        <w:t>JARRY G (1994)</w:t>
      </w:r>
      <w:r w:rsidRPr="00C96521">
        <w:rPr>
          <w:rFonts w:eastAsia="MS Mincho" w:cs="Arial"/>
          <w:bCs/>
          <w:szCs w:val="18"/>
          <w:lang w:val="en-GB" w:eastAsia="ja-JP"/>
        </w:rPr>
        <w:t xml:space="preserve"> </w:t>
      </w:r>
      <w:r w:rsidRPr="00C96521">
        <w:rPr>
          <w:rFonts w:eastAsia="MS Mincho" w:cs="Arial"/>
          <w:szCs w:val="18"/>
          <w:lang w:val="en-GB" w:eastAsia="ja-JP"/>
        </w:rPr>
        <w:t xml:space="preserve">Turtle dove </w:t>
      </w:r>
      <w:r w:rsidRPr="00C96521">
        <w:rPr>
          <w:rFonts w:eastAsia="MS Mincho" w:cs="Arial"/>
          <w:i/>
          <w:szCs w:val="18"/>
          <w:lang w:val="en-GB" w:eastAsia="ja-JP"/>
        </w:rPr>
        <w:t>Streptopelia turtur</w:t>
      </w:r>
      <w:r w:rsidRPr="00C96521">
        <w:rPr>
          <w:rFonts w:eastAsia="MS Mincho" w:cs="Arial"/>
          <w:szCs w:val="18"/>
          <w:lang w:val="en-GB" w:eastAsia="ja-JP"/>
        </w:rPr>
        <w:t xml:space="preserve">. In: SOCHA CM (ed) </w:t>
      </w:r>
      <w:r w:rsidRPr="00C96521">
        <w:rPr>
          <w:rFonts w:eastAsia="MS Mincho" w:cs="Arial"/>
          <w:i/>
          <w:szCs w:val="18"/>
          <w:lang w:val="en-GB" w:eastAsia="ja-JP"/>
        </w:rPr>
        <w:t>Birds in Europe: their conservation status</w:t>
      </w:r>
      <w:r w:rsidRPr="00C96521">
        <w:rPr>
          <w:rFonts w:eastAsia="MS Mincho" w:cs="Arial"/>
          <w:szCs w:val="18"/>
          <w:lang w:val="en-GB" w:eastAsia="ja-JP"/>
        </w:rPr>
        <w:t xml:space="preserve">. </w:t>
      </w:r>
      <w:r w:rsidRPr="00890F11">
        <w:rPr>
          <w:rFonts w:eastAsia="MS Mincho" w:cs="Arial"/>
          <w:szCs w:val="18"/>
          <w:lang w:val="fr-FR" w:eastAsia="ja-JP"/>
        </w:rPr>
        <w:t>Conservation Series 3, BirdLife International, Cambridge. pp 320-321.</w:t>
      </w:r>
    </w:p>
    <w:p w14:paraId="6A40383D"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3CBA64B0" w14:textId="06FBF14D"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JIGUET F (2016)</w:t>
      </w:r>
      <w:r w:rsidRPr="00890F11">
        <w:rPr>
          <w:rFonts w:eastAsia="MS Mincho" w:cs="Arial"/>
          <w:szCs w:val="18"/>
          <w:lang w:val="fr-FR" w:eastAsia="ja-JP"/>
        </w:rPr>
        <w:t xml:space="preserve"> </w:t>
      </w:r>
      <w:r w:rsidRPr="00890F11">
        <w:rPr>
          <w:rFonts w:eastAsia="MS Mincho" w:cs="Arial"/>
          <w:i/>
          <w:szCs w:val="18"/>
          <w:lang w:val="fr-FR" w:eastAsia="ja-JP"/>
        </w:rPr>
        <w:t>Les résultats nationaux du programme STOC de 1989 à 2015</w:t>
      </w:r>
      <w:r w:rsidRPr="00890F11">
        <w:rPr>
          <w:rFonts w:eastAsia="MS Mincho" w:cs="Arial"/>
          <w:szCs w:val="18"/>
          <w:lang w:val="fr-FR" w:eastAsia="ja-JP"/>
        </w:rPr>
        <w:t>. http://vigienature.mnhn.fr/page/tourterelle-des-bois (last accessed 10</w:t>
      </w:r>
      <w:r w:rsidRPr="00890F11">
        <w:rPr>
          <w:rFonts w:eastAsia="MS Mincho" w:cs="Arial"/>
          <w:szCs w:val="18"/>
          <w:vertAlign w:val="superscript"/>
          <w:lang w:val="fr-FR" w:eastAsia="ja-JP"/>
        </w:rPr>
        <w:t>h</w:t>
      </w:r>
      <w:r w:rsidRPr="00890F11">
        <w:rPr>
          <w:rFonts w:eastAsia="MS Mincho" w:cs="Arial"/>
          <w:szCs w:val="18"/>
          <w:lang w:val="fr-FR" w:eastAsia="ja-JP"/>
        </w:rPr>
        <w:t xml:space="preserve"> November 2016)</w:t>
      </w:r>
    </w:p>
    <w:p w14:paraId="55B57653"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2D892572" w14:textId="77777777" w:rsidR="00C96521" w:rsidRPr="00890F11" w:rsidRDefault="00C96521" w:rsidP="00C96521">
      <w:pPr>
        <w:widowControl/>
        <w:autoSpaceDE/>
        <w:autoSpaceDN/>
        <w:adjustRightInd/>
        <w:spacing w:line="276" w:lineRule="auto"/>
        <w:rPr>
          <w:rFonts w:eastAsia="MS Mincho" w:cs="Arial"/>
          <w:b/>
          <w:szCs w:val="18"/>
          <w:lang w:val="fr-FR" w:eastAsia="ja-JP"/>
        </w:rPr>
      </w:pPr>
      <w:r w:rsidRPr="00890F11">
        <w:rPr>
          <w:rFonts w:eastAsia="MS Mincho" w:cs="Arial"/>
          <w:b/>
          <w:szCs w:val="18"/>
          <w:lang w:val="es-ES" w:eastAsia="ja-JP"/>
        </w:rPr>
        <w:lastRenderedPageBreak/>
        <w:t xml:space="preserve">JIMÉNEZ R, HODAR J Á and CAMACHO I </w:t>
      </w:r>
      <w:r w:rsidRPr="00890F11">
        <w:rPr>
          <w:rFonts w:eastAsia="MS Mincho" w:cs="Arial"/>
          <w:szCs w:val="18"/>
          <w:lang w:val="es-ES" w:eastAsia="ja-JP"/>
        </w:rPr>
        <w:t>(1992) La alimentación de la tortola comun (</w:t>
      </w:r>
      <w:r w:rsidRPr="00890F11">
        <w:rPr>
          <w:rFonts w:eastAsia="MS Mincho" w:cs="Arial"/>
          <w:i/>
          <w:szCs w:val="18"/>
          <w:lang w:val="es-ES" w:eastAsia="ja-JP"/>
        </w:rPr>
        <w:t>Streptopelia turtur</w:t>
      </w:r>
      <w:r w:rsidRPr="00890F11">
        <w:rPr>
          <w:rFonts w:eastAsia="MS Mincho" w:cs="Arial"/>
          <w:szCs w:val="18"/>
          <w:lang w:val="es-ES" w:eastAsia="ja-JP"/>
        </w:rPr>
        <w:t xml:space="preserve">) en el sur de Espana. </w:t>
      </w:r>
      <w:r w:rsidRPr="00890F11">
        <w:rPr>
          <w:rFonts w:eastAsia="MS Mincho" w:cs="Arial"/>
          <w:i/>
          <w:szCs w:val="18"/>
          <w:lang w:val="fr-FR" w:eastAsia="ja-JP"/>
        </w:rPr>
        <w:t>Gibier Faune Sauvage</w:t>
      </w:r>
      <w:r w:rsidRPr="00890F11">
        <w:rPr>
          <w:rFonts w:eastAsia="MS Mincho" w:cs="Arial"/>
          <w:szCs w:val="18"/>
          <w:lang w:val="fr-FR" w:eastAsia="ja-JP"/>
        </w:rPr>
        <w:t xml:space="preserve"> 9: 119-126.</w:t>
      </w:r>
    </w:p>
    <w:p w14:paraId="016E5159"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00336906" w14:textId="08DB69AB" w:rsidR="00C96521" w:rsidRPr="00890F11" w:rsidRDefault="00C96521" w:rsidP="00C96521">
      <w:pPr>
        <w:widowControl/>
        <w:spacing w:line="276" w:lineRule="auto"/>
        <w:rPr>
          <w:rFonts w:eastAsia="MS Mincho" w:cs="Arial"/>
          <w:szCs w:val="18"/>
          <w:lang w:val="fr-FR" w:eastAsia="ja-JP"/>
        </w:rPr>
      </w:pPr>
      <w:r w:rsidRPr="00890F11">
        <w:rPr>
          <w:rFonts w:eastAsia="MS Mincho" w:cs="Arial"/>
          <w:b/>
          <w:szCs w:val="18"/>
          <w:lang w:val="fr-FR" w:eastAsia="ja-JP"/>
        </w:rPr>
        <w:t>JOURNAL OFFICIEL DE LA REPUBLIQUE ISLAMIQUE DE MAURITANIE (1997)</w:t>
      </w:r>
      <w:r w:rsidRPr="00890F11">
        <w:rPr>
          <w:rFonts w:eastAsia="MS Mincho" w:cs="Arial"/>
          <w:szCs w:val="18"/>
          <w:lang w:val="fr-FR" w:eastAsia="ja-JP"/>
        </w:rPr>
        <w:t xml:space="preserve"> Loi N° 97- 006 du 20 janvier 1997 abrogeant et </w:t>
      </w:r>
      <w:r w:rsidR="00526B63" w:rsidRPr="00890F11">
        <w:rPr>
          <w:rFonts w:eastAsia="MS Mincho" w:cs="Arial"/>
          <w:szCs w:val="18"/>
          <w:lang w:val="fr-FR" w:eastAsia="ja-JP"/>
        </w:rPr>
        <w:t>remplaçant</w:t>
      </w:r>
      <w:r w:rsidRPr="00890F11">
        <w:rPr>
          <w:rFonts w:eastAsia="MS Mincho" w:cs="Arial"/>
          <w:szCs w:val="18"/>
          <w:lang w:val="fr-FR" w:eastAsia="ja-JP"/>
        </w:rPr>
        <w:t xml:space="preserve"> la loi n° 75-003 du 15 janvier 1975 portant code de la chasse et de la protection de la nature. </w:t>
      </w:r>
      <w:r w:rsidRPr="00890F11">
        <w:rPr>
          <w:rFonts w:eastAsia="MS Mincho" w:cs="Arial"/>
          <w:i/>
          <w:szCs w:val="18"/>
          <w:lang w:val="fr-FR" w:eastAsia="ja-JP"/>
        </w:rPr>
        <w:t>Journal Officiel de la République Islamique de Mauritanie</w:t>
      </w:r>
      <w:r w:rsidRPr="00890F11">
        <w:rPr>
          <w:rFonts w:eastAsia="MS Mincho" w:cs="Arial"/>
          <w:szCs w:val="18"/>
          <w:lang w:val="fr-FR" w:eastAsia="ja-JP"/>
        </w:rPr>
        <w:t xml:space="preserve"> 896: 155-161.</w:t>
      </w:r>
    </w:p>
    <w:p w14:paraId="4F50CCAB" w14:textId="77777777" w:rsidR="00C96521" w:rsidRPr="00890F11" w:rsidRDefault="00C96521" w:rsidP="00C96521">
      <w:pPr>
        <w:widowControl/>
        <w:spacing w:line="276" w:lineRule="auto"/>
        <w:rPr>
          <w:rFonts w:eastAsia="MS Mincho" w:cs="Arial"/>
          <w:b/>
          <w:szCs w:val="18"/>
          <w:lang w:val="fr-FR" w:eastAsia="ja-JP"/>
        </w:rPr>
      </w:pPr>
    </w:p>
    <w:p w14:paraId="69C89804" w14:textId="5E5FEB6B" w:rsidR="00C96521" w:rsidRPr="00890F11" w:rsidRDefault="00C96521" w:rsidP="00C96521">
      <w:pPr>
        <w:widowControl/>
        <w:spacing w:line="276" w:lineRule="auto"/>
        <w:rPr>
          <w:rFonts w:eastAsia="MS Mincho" w:cs="Arial"/>
          <w:szCs w:val="18"/>
          <w:lang w:val="fr-FR" w:eastAsia="ja-JP"/>
        </w:rPr>
      </w:pPr>
      <w:r w:rsidRPr="00890F11">
        <w:rPr>
          <w:rFonts w:eastAsia="MS Mincho" w:cs="Arial"/>
          <w:b/>
          <w:szCs w:val="18"/>
          <w:lang w:val="fr-FR" w:eastAsia="ja-JP"/>
        </w:rPr>
        <w:t xml:space="preserve">KAFI F, HANANE S, BENSOUILAH T, ZERAOULA A, BRAHMIA H and HOUHAMDI M (2015) </w:t>
      </w:r>
      <w:r w:rsidRPr="00890F11">
        <w:rPr>
          <w:rFonts w:eastAsia="MS Mincho" w:cs="Arial"/>
          <w:szCs w:val="18"/>
          <w:lang w:val="fr-FR" w:eastAsia="ja-JP"/>
        </w:rPr>
        <w:t xml:space="preserve">Les facteurs </w:t>
      </w:r>
      <w:r w:rsidR="00526B63" w:rsidRPr="00890F11">
        <w:rPr>
          <w:rFonts w:eastAsia="MS Mincho" w:cs="Arial"/>
          <w:szCs w:val="18"/>
          <w:lang w:val="fr-FR" w:eastAsia="ja-JP"/>
        </w:rPr>
        <w:t>déterminant</w:t>
      </w:r>
      <w:r w:rsidRPr="00890F11">
        <w:rPr>
          <w:rFonts w:eastAsia="MS Mincho" w:cs="Arial"/>
          <w:szCs w:val="18"/>
          <w:lang w:val="fr-FR" w:eastAsia="ja-JP"/>
        </w:rPr>
        <w:t xml:space="preserve"> le succès de la reproduction des tourterelles des bois (</w:t>
      </w:r>
      <w:r w:rsidRPr="00890F11">
        <w:rPr>
          <w:rFonts w:eastAsia="MS Mincho" w:cs="Arial"/>
          <w:i/>
          <w:szCs w:val="18"/>
          <w:lang w:val="fr-FR" w:eastAsia="ja-JP"/>
        </w:rPr>
        <w:t>Streptopelia turtur</w:t>
      </w:r>
      <w:r w:rsidRPr="00890F11">
        <w:rPr>
          <w:rFonts w:eastAsia="MS Mincho" w:cs="Arial"/>
          <w:szCs w:val="18"/>
          <w:lang w:val="fr-FR" w:eastAsia="ja-JP"/>
        </w:rPr>
        <w:t xml:space="preserve">) dans un milieu agricole Nord-Africain. </w:t>
      </w:r>
      <w:r w:rsidRPr="00890F11">
        <w:rPr>
          <w:rFonts w:eastAsia="MS Mincho" w:cs="Arial"/>
          <w:i/>
          <w:szCs w:val="18"/>
          <w:lang w:val="fr-FR" w:eastAsia="ja-JP"/>
        </w:rPr>
        <w:t>Revue d’Ecologie (Terre et Vie)</w:t>
      </w:r>
      <w:r w:rsidRPr="00890F11">
        <w:rPr>
          <w:rFonts w:eastAsia="MS Mincho" w:cs="Arial"/>
          <w:szCs w:val="18"/>
          <w:lang w:val="fr-FR" w:eastAsia="ja-JP"/>
        </w:rPr>
        <w:t xml:space="preserve"> 70(3): 271-279.</w:t>
      </w:r>
    </w:p>
    <w:p w14:paraId="4F7CC85D"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011F7BBE" w14:textId="77777777" w:rsidR="00C96521" w:rsidRPr="00890F11" w:rsidRDefault="00C96521" w:rsidP="00C96521">
      <w:pPr>
        <w:widowControl/>
        <w:spacing w:line="276" w:lineRule="auto"/>
        <w:rPr>
          <w:rFonts w:eastAsia="MS Mincho" w:cs="Arial"/>
          <w:b/>
          <w:szCs w:val="18"/>
          <w:lang w:val="fr-FR" w:eastAsia="ja-JP"/>
        </w:rPr>
      </w:pPr>
      <w:r w:rsidRPr="00890F11">
        <w:rPr>
          <w:rFonts w:eastAsia="MS Mincho" w:cs="Arial"/>
          <w:b/>
          <w:szCs w:val="18"/>
          <w:lang w:val="fr-FR" w:eastAsia="ja-JP"/>
        </w:rPr>
        <w:t xml:space="preserve">KEENLEYSIDE C, ELTS J, FIGECZKY G, FIŠER B, GALVÁNEK D, HELLICAR M, IRŠA L, JOBDA M, KOORBERG P, KOUNNAMAS C, KURLAVIČIUS P, MADERIÈ B, MEDVED A, METERA D, PEZOLD T, PRIEDNIEKS J, RAČINSKIS E, RAUDONIKIS L, SZILVÁCSKU Z, VAIČIŪNAITÉ R and ZÁMECNÍK V (2006) </w:t>
      </w:r>
      <w:r w:rsidRPr="00890F11">
        <w:rPr>
          <w:rFonts w:eastAsia="MS Mincho" w:cs="Arial"/>
          <w:i/>
          <w:szCs w:val="18"/>
          <w:lang w:val="fr-FR" w:eastAsia="ja-JP"/>
        </w:rPr>
        <w:t>Farmland birds and agri-environment schemes in New Member States – A report for the Royal Society for the Protection of Birds</w:t>
      </w:r>
      <w:r w:rsidRPr="00890F11">
        <w:rPr>
          <w:rFonts w:eastAsia="MS Mincho" w:cs="Arial"/>
          <w:szCs w:val="18"/>
          <w:lang w:val="fr-FR" w:eastAsia="ja-JP"/>
        </w:rPr>
        <w:t>. RSPB, Sandy.</w:t>
      </w:r>
    </w:p>
    <w:p w14:paraId="2FDAE757"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7BE9BABC" w14:textId="77777777" w:rsidR="00C96521" w:rsidRPr="00890F11" w:rsidRDefault="00C96521" w:rsidP="00C96521">
      <w:pPr>
        <w:widowControl/>
        <w:autoSpaceDE/>
        <w:autoSpaceDN/>
        <w:adjustRightInd/>
        <w:spacing w:line="276" w:lineRule="auto"/>
        <w:rPr>
          <w:rFonts w:eastAsia="MS Mincho" w:cs="Arial"/>
          <w:b/>
          <w:szCs w:val="18"/>
          <w:lang w:val="fr-FR" w:eastAsia="ja-JP"/>
        </w:rPr>
      </w:pPr>
      <w:r w:rsidRPr="00890F11">
        <w:rPr>
          <w:rFonts w:eastAsia="MS Mincho" w:cs="Arial"/>
          <w:b/>
          <w:szCs w:val="18"/>
          <w:lang w:val="fr-FR" w:eastAsia="ja-JP"/>
        </w:rPr>
        <w:t xml:space="preserve">KERUS V (2005) </w:t>
      </w:r>
      <w:r w:rsidRPr="00890F11">
        <w:rPr>
          <w:rFonts w:eastAsia="MS Mincho" w:cs="Arial"/>
          <w:i/>
          <w:szCs w:val="18"/>
          <w:lang w:val="fr-FR" w:eastAsia="ja-JP"/>
        </w:rPr>
        <w:t>Latvijas ligzdojošo putnu atlants</w:t>
      </w:r>
      <w:r w:rsidRPr="00890F11">
        <w:rPr>
          <w:rFonts w:eastAsia="MS Mincho" w:cs="Arial"/>
          <w:szCs w:val="18"/>
          <w:lang w:val="fr-FR" w:eastAsia="ja-JP"/>
        </w:rPr>
        <w:t>. Latvijas Ornitoloģijas biedrība, Riga.</w:t>
      </w:r>
    </w:p>
    <w:p w14:paraId="50ADCA99"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3642416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KIRWAN GM, BOYLA K, CASTELL P, DEMIRCI B, ÖZEN M, WELCH H and MARLOW T (2008) </w:t>
      </w:r>
      <w:r w:rsidRPr="00C96521">
        <w:rPr>
          <w:rFonts w:eastAsia="MS Mincho" w:cs="Arial"/>
          <w:i/>
          <w:szCs w:val="18"/>
          <w:lang w:val="en-GB" w:eastAsia="ja-JP"/>
        </w:rPr>
        <w:t>The Birds of Turkey</w:t>
      </w:r>
      <w:r w:rsidRPr="00C96521">
        <w:rPr>
          <w:rFonts w:eastAsia="MS Mincho" w:cs="Arial"/>
          <w:szCs w:val="18"/>
          <w:lang w:val="en-GB" w:eastAsia="ja-JP"/>
        </w:rPr>
        <w:t>. Christopher Helm, London.</w:t>
      </w:r>
    </w:p>
    <w:p w14:paraId="26D3BC8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3F42BAF"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KMECL P and FIGELJ J (2015)</w:t>
      </w:r>
      <w:r w:rsidRPr="00C96521">
        <w:rPr>
          <w:rFonts w:eastAsia="MS Mincho" w:cs="Arial"/>
          <w:szCs w:val="18"/>
          <w:lang w:val="en-GB" w:eastAsia="ja-JP"/>
        </w:rPr>
        <w:t xml:space="preserve"> </w:t>
      </w:r>
      <w:r w:rsidRPr="00C96521">
        <w:rPr>
          <w:rFonts w:eastAsia="MS Mincho" w:cs="Arial"/>
          <w:i/>
          <w:szCs w:val="18"/>
          <w:lang w:val="en-GB" w:eastAsia="ja-JP"/>
        </w:rPr>
        <w:t>Monitoring splošno razširjenih vrst ptic za določitev slovenskega indeksa ptic kmetijske krajine - poročilo za leto 2015</w:t>
      </w:r>
      <w:r w:rsidRPr="00C96521">
        <w:rPr>
          <w:rFonts w:eastAsia="MS Mincho" w:cs="Arial"/>
          <w:szCs w:val="18"/>
          <w:lang w:val="en-GB" w:eastAsia="ja-JP"/>
        </w:rPr>
        <w:t>. DOPPS, Ljubljana.</w:t>
      </w:r>
    </w:p>
    <w:p w14:paraId="693CAB98"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78FC9F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KURESOO A, PEHLAK H and NELLIS R (2011)</w:t>
      </w:r>
      <w:r w:rsidRPr="00C96521">
        <w:rPr>
          <w:rFonts w:eastAsia="MS Mincho" w:cs="Arial"/>
          <w:szCs w:val="18"/>
          <w:lang w:val="en-GB" w:eastAsia="ja-JP"/>
        </w:rPr>
        <w:t xml:space="preserve"> Population trends of common birds in Estonia in 1983-2010. </w:t>
      </w:r>
      <w:r w:rsidRPr="00C96521">
        <w:rPr>
          <w:rFonts w:eastAsia="MS Mincho" w:cs="Arial"/>
          <w:i/>
          <w:szCs w:val="18"/>
          <w:lang w:val="en-GB" w:eastAsia="ja-JP"/>
        </w:rPr>
        <w:t>Estonian Journal of Ecology</w:t>
      </w:r>
      <w:r w:rsidRPr="00C96521">
        <w:rPr>
          <w:rFonts w:eastAsia="MS Mincho" w:cs="Arial"/>
          <w:szCs w:val="18"/>
          <w:lang w:val="en-GB" w:eastAsia="ja-JP"/>
        </w:rPr>
        <w:t xml:space="preserve"> 60(2): 88-110.</w:t>
      </w:r>
    </w:p>
    <w:p w14:paraId="4243400D"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8FD053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KURLAVIČIUS P (2006)</w:t>
      </w:r>
      <w:r w:rsidRPr="00C96521">
        <w:rPr>
          <w:rFonts w:eastAsia="MS Mincho" w:cs="Arial"/>
          <w:szCs w:val="18"/>
          <w:lang w:val="en-GB" w:eastAsia="ja-JP"/>
        </w:rPr>
        <w:t xml:space="preserve"> </w:t>
      </w:r>
      <w:r w:rsidRPr="00C96521">
        <w:rPr>
          <w:rFonts w:eastAsia="MS Mincho" w:cs="Arial"/>
          <w:i/>
          <w:szCs w:val="18"/>
          <w:lang w:val="en-GB" w:eastAsia="ja-JP"/>
        </w:rPr>
        <w:t>Lietuvos Perinčių Paukščių Atlasas</w:t>
      </w:r>
      <w:r w:rsidRPr="00C96521">
        <w:rPr>
          <w:rFonts w:eastAsia="MS Mincho" w:cs="Arial"/>
          <w:szCs w:val="18"/>
          <w:lang w:val="en-GB" w:eastAsia="ja-JP"/>
        </w:rPr>
        <w:t xml:space="preserve">. Lututė, Kaunas. </w:t>
      </w:r>
    </w:p>
    <w:p w14:paraId="0DBE0EA9"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F4530A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KUSSEROW D and BROUWER J (2011) </w:t>
      </w:r>
      <w:r w:rsidRPr="00C96521">
        <w:rPr>
          <w:rFonts w:eastAsia="MS Mincho" w:cs="Arial"/>
          <w:szCs w:val="18"/>
          <w:lang w:val="en-GB" w:eastAsia="ja-JP"/>
        </w:rPr>
        <w:t xml:space="preserve">Europe-bound migratory passerines, heat-struck in Niger before they cross the Sahara. </w:t>
      </w:r>
      <w:r w:rsidRPr="00C96521">
        <w:rPr>
          <w:rFonts w:eastAsia="MS Mincho" w:cs="Arial"/>
          <w:i/>
          <w:szCs w:val="18"/>
          <w:lang w:val="en-GB" w:eastAsia="ja-JP"/>
        </w:rPr>
        <w:t>West African Bird DataBase</w:t>
      </w:r>
      <w:r w:rsidRPr="00C96521">
        <w:rPr>
          <w:rFonts w:eastAsia="MS Mincho" w:cs="Arial"/>
          <w:szCs w:val="18"/>
          <w:lang w:val="en-GB" w:eastAsia="ja-JP"/>
        </w:rPr>
        <w:t>.</w:t>
      </w:r>
    </w:p>
    <w:p w14:paraId="2C68468B"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7670E1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LEGAKIS A and MARAGKOU P (2009)</w:t>
      </w:r>
      <w:r w:rsidRPr="00C96521">
        <w:rPr>
          <w:rFonts w:eastAsia="MS Mincho" w:cs="Arial"/>
          <w:szCs w:val="18"/>
          <w:lang w:val="en-GB" w:eastAsia="ja-JP"/>
        </w:rPr>
        <w:t xml:space="preserve"> </w:t>
      </w:r>
      <w:r w:rsidRPr="00C96521">
        <w:rPr>
          <w:rFonts w:eastAsia="MS Mincho" w:cs="Arial"/>
          <w:i/>
          <w:szCs w:val="18"/>
          <w:lang w:val="en-GB" w:eastAsia="ja-JP"/>
        </w:rPr>
        <w:t>The Red Data Book of Threatened Animals in Greece</w:t>
      </w:r>
      <w:r w:rsidRPr="00C96521">
        <w:rPr>
          <w:rFonts w:eastAsia="MS Mincho" w:cs="Arial"/>
          <w:szCs w:val="18"/>
          <w:lang w:val="en-GB" w:eastAsia="ja-JP"/>
        </w:rPr>
        <w:t>. Hellenic Zoological Society, Athens.</w:t>
      </w:r>
    </w:p>
    <w:p w14:paraId="0794B97D"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6F9CB32B" w14:textId="518894C9"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LEHIKOINEN A (2016)</w:t>
      </w:r>
      <w:r w:rsidRPr="00C96521">
        <w:rPr>
          <w:rFonts w:eastAsia="MS Mincho" w:cs="Arial"/>
          <w:szCs w:val="18"/>
          <w:lang w:val="en-GB" w:eastAsia="ja-JP"/>
        </w:rPr>
        <w:t xml:space="preserve"> </w:t>
      </w:r>
      <w:r w:rsidRPr="00C96521">
        <w:rPr>
          <w:rFonts w:eastAsia="MS Mincho" w:cs="Arial"/>
          <w:i/>
          <w:szCs w:val="18"/>
          <w:lang w:val="en-GB" w:eastAsia="ja-JP"/>
        </w:rPr>
        <w:t>Turtle-dove (</w:t>
      </w:r>
      <w:r w:rsidRPr="00C96521">
        <w:rPr>
          <w:rFonts w:eastAsia="MS Mincho" w:cs="Arial"/>
          <w:szCs w:val="18"/>
          <w:lang w:val="en-GB" w:eastAsia="ja-JP"/>
        </w:rPr>
        <w:t>Streptopelia turtur</w:t>
      </w:r>
      <w:r w:rsidRPr="00C96521">
        <w:rPr>
          <w:rFonts w:eastAsia="MS Mincho" w:cs="Arial"/>
          <w:i/>
          <w:szCs w:val="18"/>
          <w:lang w:val="en-GB" w:eastAsia="ja-JP"/>
        </w:rPr>
        <w:t>). Finnish Bird Atlas.</w:t>
      </w:r>
      <w:r w:rsidRPr="00C96521">
        <w:rPr>
          <w:rFonts w:eastAsia="MS Mincho" w:cs="Arial"/>
          <w:szCs w:val="18"/>
          <w:lang w:val="en-GB" w:eastAsia="ja-JP"/>
        </w:rPr>
        <w:t xml:space="preserve"> http://atlas3.lintuatlas.fi/tulokset/laji/turturikyyhky (last accessed 28</w:t>
      </w:r>
      <w:r w:rsidRPr="00C96521">
        <w:rPr>
          <w:rFonts w:eastAsia="MS Mincho" w:cs="Arial"/>
          <w:szCs w:val="18"/>
          <w:vertAlign w:val="superscript"/>
          <w:lang w:val="en-GB" w:eastAsia="ja-JP"/>
        </w:rPr>
        <w:t xml:space="preserve"> </w:t>
      </w:r>
      <w:r w:rsidRPr="00C96521">
        <w:rPr>
          <w:rFonts w:eastAsia="MS Mincho" w:cs="Arial"/>
          <w:szCs w:val="18"/>
          <w:lang w:val="en-GB" w:eastAsia="ja-JP"/>
        </w:rPr>
        <w:t>October 2016)</w:t>
      </w:r>
    </w:p>
    <w:p w14:paraId="699272C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24932F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LENNON RJ, DUNN JC, STOCKDALE JE, GOODMAN SJ, MORRIS AJ and HAMER KC (2013) </w:t>
      </w:r>
      <w:r w:rsidRPr="00C96521">
        <w:rPr>
          <w:rFonts w:eastAsia="MS Mincho" w:cs="Arial"/>
          <w:szCs w:val="18"/>
          <w:lang w:val="en-GB" w:eastAsia="ja-JP"/>
        </w:rPr>
        <w:t xml:space="preserve">Trichomonad parasite infection in four species of Columbidae in the UK. </w:t>
      </w:r>
      <w:r w:rsidRPr="00C96521">
        <w:rPr>
          <w:rFonts w:eastAsia="MS Mincho" w:cs="Arial"/>
          <w:i/>
          <w:szCs w:val="18"/>
          <w:lang w:val="en-GB" w:eastAsia="ja-JP"/>
        </w:rPr>
        <w:t>Parasitology</w:t>
      </w:r>
      <w:r w:rsidRPr="00C96521">
        <w:rPr>
          <w:rFonts w:eastAsia="MS Mincho" w:cs="Arial"/>
          <w:szCs w:val="18"/>
          <w:lang w:val="en-GB" w:eastAsia="ja-JP"/>
        </w:rPr>
        <w:t xml:space="preserve"> 140: 1368-1376.</w:t>
      </w:r>
    </w:p>
    <w:p w14:paraId="3D34702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FBEE31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LEOPOLD A (1953)</w:t>
      </w:r>
      <w:r w:rsidRPr="00C96521">
        <w:rPr>
          <w:rFonts w:eastAsia="MS Mincho" w:cs="Arial"/>
          <w:szCs w:val="18"/>
          <w:lang w:val="en-GB" w:eastAsia="ja-JP"/>
        </w:rPr>
        <w:t xml:space="preserve"> On a Monument to the Pigeon, In </w:t>
      </w:r>
      <w:r w:rsidRPr="00C96521">
        <w:rPr>
          <w:rFonts w:eastAsia="MS Mincho" w:cs="Arial"/>
          <w:i/>
          <w:szCs w:val="18"/>
          <w:lang w:val="en-GB" w:eastAsia="ja-JP"/>
        </w:rPr>
        <w:t>A Sand County Almanac.</w:t>
      </w:r>
      <w:r w:rsidRPr="00C96521">
        <w:rPr>
          <w:rFonts w:eastAsia="MS Mincho" w:cs="Arial"/>
          <w:szCs w:val="18"/>
          <w:lang w:val="en-GB" w:eastAsia="ja-JP"/>
        </w:rPr>
        <w:t xml:space="preserve"> Oxford University Press, Oxford.</w:t>
      </w:r>
    </w:p>
    <w:p w14:paraId="791A5379" w14:textId="77777777" w:rsidR="00C96521" w:rsidRPr="00C96521" w:rsidRDefault="00C96521" w:rsidP="00C96521">
      <w:pPr>
        <w:widowControl/>
        <w:spacing w:line="276" w:lineRule="auto"/>
        <w:rPr>
          <w:rFonts w:eastAsia="MS Mincho" w:cs="Arial"/>
          <w:b/>
          <w:szCs w:val="18"/>
          <w:lang w:val="en-GB" w:eastAsia="ja-JP"/>
        </w:rPr>
      </w:pPr>
    </w:p>
    <w:p w14:paraId="020147AA" w14:textId="77777777" w:rsidR="00C96521" w:rsidRPr="00965D7D" w:rsidRDefault="00C96521" w:rsidP="00C96521">
      <w:pPr>
        <w:widowControl/>
        <w:spacing w:line="276" w:lineRule="auto"/>
        <w:rPr>
          <w:rFonts w:eastAsia="MS Mincho" w:cs="Arial"/>
          <w:szCs w:val="18"/>
          <w:lang w:val="de-DE" w:eastAsia="ja-JP"/>
        </w:rPr>
      </w:pPr>
      <w:r w:rsidRPr="00C96521">
        <w:rPr>
          <w:rFonts w:eastAsia="MS Mincho" w:cs="Arial"/>
          <w:b/>
          <w:szCs w:val="18"/>
          <w:lang w:val="en-GB" w:eastAsia="ja-JP"/>
        </w:rPr>
        <w:t>LICHERI D and SPINA F (2005)</w:t>
      </w:r>
      <w:r w:rsidRPr="00C96521">
        <w:rPr>
          <w:rFonts w:eastAsia="MS Mincho" w:cs="Arial"/>
          <w:szCs w:val="18"/>
          <w:lang w:val="en-GB" w:eastAsia="ja-JP"/>
        </w:rPr>
        <w:t xml:space="preserve"> Biodiversità dell’avifauna italiana: variabilità morfologica nei non-Passeriformi. </w:t>
      </w:r>
      <w:r w:rsidRPr="00965D7D">
        <w:rPr>
          <w:rFonts w:eastAsia="MS Mincho" w:cs="Arial"/>
          <w:i/>
          <w:szCs w:val="18"/>
          <w:lang w:val="de-DE" w:eastAsia="ja-JP"/>
        </w:rPr>
        <w:t>Biologia e Conservazione della Fauna</w:t>
      </w:r>
      <w:r w:rsidRPr="00965D7D">
        <w:rPr>
          <w:rFonts w:eastAsia="MS Mincho" w:cs="Arial"/>
          <w:szCs w:val="18"/>
          <w:lang w:val="de-DE" w:eastAsia="ja-JP"/>
        </w:rPr>
        <w:t xml:space="preserve"> 114: 1-192.</w:t>
      </w:r>
    </w:p>
    <w:p w14:paraId="0626FE3B" w14:textId="77777777" w:rsidR="00C96521" w:rsidRPr="00965D7D" w:rsidRDefault="00C96521" w:rsidP="00C96521">
      <w:pPr>
        <w:widowControl/>
        <w:spacing w:line="276" w:lineRule="auto"/>
        <w:rPr>
          <w:rFonts w:eastAsia="MS Mincho" w:cs="Arial"/>
          <w:b/>
          <w:szCs w:val="18"/>
          <w:lang w:val="de-DE" w:eastAsia="ja-JP"/>
        </w:rPr>
      </w:pPr>
    </w:p>
    <w:p w14:paraId="20F3DD21" w14:textId="77777777" w:rsidR="00C96521" w:rsidRPr="00965D7D" w:rsidRDefault="00C96521" w:rsidP="00C96521">
      <w:pPr>
        <w:widowControl/>
        <w:spacing w:line="276" w:lineRule="auto"/>
        <w:rPr>
          <w:rFonts w:eastAsia="MS Mincho"/>
          <w:szCs w:val="18"/>
          <w:lang w:val="de-DE" w:eastAsia="ja-JP"/>
        </w:rPr>
      </w:pPr>
      <w:r w:rsidRPr="00965D7D">
        <w:rPr>
          <w:rFonts w:eastAsia="MS Mincho" w:cs="Arial"/>
          <w:b/>
          <w:szCs w:val="18"/>
          <w:lang w:val="de-DE" w:eastAsia="ja-JP"/>
        </w:rPr>
        <w:t xml:space="preserve">LIECHTENSTEINISCHES LANDESGESETZBLATT (2003) </w:t>
      </w:r>
      <w:r w:rsidRPr="00965D7D">
        <w:rPr>
          <w:rFonts w:eastAsia="MS Mincho" w:cs="Arial"/>
          <w:i/>
          <w:szCs w:val="18"/>
          <w:lang w:val="de-DE" w:eastAsia="ja-JP"/>
        </w:rPr>
        <w:t>Verordnung vom 30. September 2003 über die Hege des Wildes, die Abschussplanung, - durchführung und - kontrolle sowie die Kostenregelung von Massnahmen der Wildschadenverhü- tung (Hegeverordnung; HegeV).</w:t>
      </w:r>
      <w:r w:rsidRPr="00965D7D">
        <w:rPr>
          <w:rFonts w:eastAsia="MS Mincho" w:cs="Arial"/>
          <w:szCs w:val="18"/>
          <w:lang w:val="de-DE" w:eastAsia="ja-JP"/>
        </w:rPr>
        <w:t xml:space="preserve"> </w:t>
      </w:r>
      <w:r w:rsidRPr="00965D7D">
        <w:rPr>
          <w:rFonts w:eastAsia="MS Mincho"/>
          <w:szCs w:val="18"/>
          <w:lang w:val="de-DE" w:eastAsia="ja-JP"/>
        </w:rPr>
        <w:t>https://www.gesetze.li/lilexprod/ifshowpdf.jsp?lgblid=2003198000&amp;version=3&amp;signed=n&amp;tablesel=0</w:t>
      </w:r>
    </w:p>
    <w:p w14:paraId="4676EE3B" w14:textId="21A909EF" w:rsidR="00C96521" w:rsidRPr="00965D7D" w:rsidRDefault="00C96521" w:rsidP="00C96521">
      <w:pPr>
        <w:widowControl/>
        <w:spacing w:line="276" w:lineRule="auto"/>
        <w:rPr>
          <w:rFonts w:eastAsia="MS Mincho" w:cs="Arial"/>
          <w:b/>
          <w:szCs w:val="18"/>
          <w:lang w:val="de-DE" w:eastAsia="ja-JP"/>
        </w:rPr>
      </w:pPr>
      <w:r w:rsidRPr="00965D7D">
        <w:rPr>
          <w:rFonts w:eastAsia="MS Mincho" w:cs="Arial"/>
          <w:szCs w:val="18"/>
          <w:lang w:val="de-DE" w:eastAsia="ja-JP"/>
        </w:rPr>
        <w:t>(last accessed 25 November 2016).</w:t>
      </w:r>
    </w:p>
    <w:p w14:paraId="5B9E2151" w14:textId="77777777" w:rsidR="00C96521" w:rsidRPr="00965D7D" w:rsidRDefault="00C96521" w:rsidP="00C96521">
      <w:pPr>
        <w:widowControl/>
        <w:spacing w:line="276" w:lineRule="auto"/>
        <w:rPr>
          <w:rFonts w:eastAsia="MS Mincho" w:cs="Arial"/>
          <w:b/>
          <w:szCs w:val="18"/>
          <w:lang w:val="de-DE" w:eastAsia="ja-JP"/>
        </w:rPr>
      </w:pPr>
    </w:p>
    <w:p w14:paraId="5C70F458" w14:textId="1B0AD64A" w:rsidR="00C96521" w:rsidRPr="00965D7D" w:rsidRDefault="00C96521" w:rsidP="00C96521">
      <w:pPr>
        <w:widowControl/>
        <w:spacing w:line="276" w:lineRule="auto"/>
        <w:rPr>
          <w:rFonts w:eastAsia="MS Mincho" w:cs="Arial"/>
          <w:szCs w:val="18"/>
          <w:lang w:val="de-DE" w:eastAsia="ja-JP"/>
        </w:rPr>
      </w:pPr>
      <w:r w:rsidRPr="00965D7D">
        <w:rPr>
          <w:rFonts w:eastAsia="MS Mincho" w:cs="Arial"/>
          <w:b/>
          <w:szCs w:val="18"/>
          <w:lang w:val="de-DE" w:eastAsia="ja-JP"/>
        </w:rPr>
        <w:t>LIETUVOS ORNITOLOGŲ DRAUGIJA (2013)</w:t>
      </w:r>
      <w:r w:rsidRPr="00965D7D">
        <w:rPr>
          <w:rFonts w:eastAsia="MS Mincho" w:cs="Arial"/>
          <w:szCs w:val="18"/>
          <w:lang w:val="de-DE" w:eastAsia="ja-JP"/>
        </w:rPr>
        <w:t xml:space="preserve"> </w:t>
      </w:r>
      <w:r w:rsidRPr="00965D7D">
        <w:rPr>
          <w:rFonts w:eastAsia="MS Mincho" w:cs="Arial"/>
          <w:i/>
          <w:szCs w:val="18"/>
          <w:lang w:val="de-DE" w:eastAsia="ja-JP"/>
        </w:rPr>
        <w:t>Paukščių populiacijų gausos pokyčiai Lietuvoje</w:t>
      </w:r>
      <w:r w:rsidRPr="00965D7D">
        <w:rPr>
          <w:rFonts w:eastAsia="MS Mincho" w:cs="Arial"/>
          <w:szCs w:val="18"/>
          <w:lang w:val="de-DE" w:eastAsia="ja-JP"/>
        </w:rPr>
        <w:t>. http://www.virtualusprocesai.lt/ipgs/view.php?kat_id=2 (last accessed 28</w:t>
      </w:r>
      <w:r w:rsidRPr="00965D7D">
        <w:rPr>
          <w:rFonts w:eastAsia="MS Mincho" w:cs="Arial"/>
          <w:szCs w:val="18"/>
          <w:vertAlign w:val="superscript"/>
          <w:lang w:val="de-DE" w:eastAsia="ja-JP"/>
        </w:rPr>
        <w:t xml:space="preserve"> </w:t>
      </w:r>
      <w:r w:rsidRPr="00965D7D">
        <w:rPr>
          <w:rFonts w:eastAsia="MS Mincho" w:cs="Arial"/>
          <w:szCs w:val="18"/>
          <w:lang w:val="de-DE" w:eastAsia="ja-JP"/>
        </w:rPr>
        <w:t>October 2016)</w:t>
      </w:r>
    </w:p>
    <w:p w14:paraId="745ABE97" w14:textId="77777777" w:rsidR="00C96521" w:rsidRPr="00965D7D" w:rsidRDefault="00C96521" w:rsidP="00C96521">
      <w:pPr>
        <w:widowControl/>
        <w:autoSpaceDE/>
        <w:autoSpaceDN/>
        <w:adjustRightInd/>
        <w:spacing w:line="276" w:lineRule="auto"/>
        <w:rPr>
          <w:rFonts w:eastAsia="MS Mincho" w:cs="Arial"/>
          <w:b/>
          <w:szCs w:val="18"/>
          <w:lang w:val="de-DE" w:eastAsia="ja-JP"/>
        </w:rPr>
      </w:pPr>
    </w:p>
    <w:p w14:paraId="584E92E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fr-FR" w:eastAsia="ja-JP"/>
        </w:rPr>
        <w:t xml:space="preserve">LIPPENS CL and WILLE H (1972) </w:t>
      </w:r>
      <w:r w:rsidRPr="00890F11">
        <w:rPr>
          <w:rFonts w:eastAsia="MS Mincho" w:cs="Arial"/>
          <w:i/>
          <w:szCs w:val="18"/>
          <w:lang w:val="fr-FR" w:eastAsia="ja-JP"/>
        </w:rPr>
        <w:t>Atlas des oiseaux de Belgique et d’Europe occidentale</w:t>
      </w:r>
      <w:r w:rsidRPr="00890F11">
        <w:rPr>
          <w:rFonts w:eastAsia="MS Mincho" w:cs="Arial"/>
          <w:szCs w:val="18"/>
          <w:lang w:val="fr-FR" w:eastAsia="ja-JP"/>
        </w:rPr>
        <w:t xml:space="preserve">. </w:t>
      </w:r>
      <w:r w:rsidRPr="00C96521">
        <w:rPr>
          <w:rFonts w:eastAsia="MS Mincho" w:cs="Arial"/>
          <w:szCs w:val="18"/>
          <w:lang w:val="en-GB" w:eastAsia="ja-JP"/>
        </w:rPr>
        <w:t>Editions Lannoo, Tielt.</w:t>
      </w:r>
    </w:p>
    <w:p w14:paraId="59667F0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C2545C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LIPU/SEO/HOS (2015)</w:t>
      </w:r>
      <w:r w:rsidRPr="00C96521">
        <w:rPr>
          <w:rFonts w:eastAsia="MS Mincho" w:cs="Arial"/>
          <w:szCs w:val="18"/>
          <w:lang w:val="en-GB" w:eastAsia="ja-JP"/>
        </w:rPr>
        <w:t xml:space="preserve"> </w:t>
      </w:r>
      <w:r w:rsidRPr="00C96521">
        <w:rPr>
          <w:rFonts w:eastAsia="MS Mincho" w:cs="Arial"/>
          <w:i/>
          <w:szCs w:val="18"/>
          <w:lang w:val="en-GB" w:eastAsia="ja-JP"/>
        </w:rPr>
        <w:t>Leaving is Living – Layman’s Report LIFE Project “A Safe Haven for Wild Birds” (LIFE INF IT 253)</w:t>
      </w:r>
      <w:r w:rsidRPr="00C96521">
        <w:rPr>
          <w:rFonts w:eastAsia="MS Mincho" w:cs="Arial"/>
          <w:szCs w:val="18"/>
          <w:lang w:val="en-GB" w:eastAsia="ja-JP"/>
        </w:rPr>
        <w:t>. Lega Italiana Protezione Uccelli, SEO/BirdLife, Hellenic Ornithological Society, J Walter Thompson Worldwide.</w:t>
      </w:r>
    </w:p>
    <w:p w14:paraId="4CF3C42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EB80D1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LJURI DI, GORYACHKIN SV, KARAVAEVA NA, DENISENKO EA and NEFEDOVA TG (2010) </w:t>
      </w:r>
      <w:r w:rsidRPr="00C96521">
        <w:rPr>
          <w:rFonts w:eastAsia="MS Mincho" w:cs="Arial"/>
          <w:szCs w:val="18"/>
          <w:lang w:val="en-GB" w:eastAsia="ja-JP"/>
        </w:rPr>
        <w:t xml:space="preserve">Dynamics of agricultural lands in Russia in the 20th century and post-farming recovery of vegetation and soils. </w:t>
      </w:r>
      <w:r w:rsidRPr="00C96521">
        <w:rPr>
          <w:rFonts w:eastAsia="MS Mincho" w:cs="Arial"/>
          <w:i/>
          <w:szCs w:val="18"/>
          <w:lang w:val="en-GB" w:eastAsia="ja-JP"/>
        </w:rPr>
        <w:t>GEOS</w:t>
      </w:r>
      <w:r w:rsidRPr="00C96521">
        <w:rPr>
          <w:rFonts w:eastAsia="MS Mincho" w:cs="Arial"/>
          <w:szCs w:val="18"/>
          <w:lang w:val="en-GB" w:eastAsia="ja-JP"/>
        </w:rPr>
        <w:t>, Moscow. [in Russian]</w:t>
      </w:r>
    </w:p>
    <w:p w14:paraId="35DB02CC"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E0724FA" w14:textId="77777777" w:rsidR="00C96521" w:rsidRPr="00965D7D" w:rsidRDefault="00C96521" w:rsidP="00C96521">
      <w:pPr>
        <w:widowControl/>
        <w:autoSpaceDE/>
        <w:autoSpaceDN/>
        <w:adjustRightInd/>
        <w:spacing w:line="276" w:lineRule="auto"/>
        <w:rPr>
          <w:rFonts w:eastAsia="MS Mincho" w:cs="Arial"/>
          <w:b/>
          <w:bCs/>
          <w:szCs w:val="18"/>
          <w:lang w:val="de-DE" w:eastAsia="ja-JP"/>
        </w:rPr>
      </w:pPr>
      <w:r w:rsidRPr="00C96521">
        <w:rPr>
          <w:rFonts w:eastAsia="MS Mincho" w:cs="Arial"/>
          <w:b/>
          <w:szCs w:val="18"/>
          <w:lang w:val="en-GB" w:eastAsia="ja-JP"/>
        </w:rPr>
        <w:t>LOPEZ-ANTIA A, ORTIZ-SANTALIESTRA ME, MOUGEOT F and MATEO R (2013)</w:t>
      </w:r>
      <w:r w:rsidRPr="00C96521">
        <w:rPr>
          <w:rFonts w:eastAsia="MS Mincho" w:cs="Arial"/>
          <w:szCs w:val="18"/>
          <w:lang w:val="en-GB" w:eastAsia="ja-JP"/>
        </w:rPr>
        <w:t xml:space="preserve"> Experimental exposure of red-legged partridges (</w:t>
      </w:r>
      <w:r w:rsidRPr="00C96521">
        <w:rPr>
          <w:rFonts w:eastAsia="MS Mincho" w:cs="Arial"/>
          <w:i/>
          <w:szCs w:val="18"/>
          <w:lang w:val="en-GB" w:eastAsia="ja-JP"/>
        </w:rPr>
        <w:t>Alectoris rufa</w:t>
      </w:r>
      <w:r w:rsidRPr="00C96521">
        <w:rPr>
          <w:rFonts w:eastAsia="MS Mincho" w:cs="Arial"/>
          <w:szCs w:val="18"/>
          <w:lang w:val="en-GB" w:eastAsia="ja-JP"/>
        </w:rPr>
        <w:t xml:space="preserve">) to seeds coated with imidacloprid, thiram and difenoconazole. </w:t>
      </w:r>
      <w:r w:rsidRPr="00965D7D">
        <w:rPr>
          <w:rFonts w:eastAsia="MS Mincho" w:cs="Arial"/>
          <w:i/>
          <w:szCs w:val="18"/>
          <w:lang w:val="de-DE" w:eastAsia="ja-JP"/>
        </w:rPr>
        <w:t>Ecotoxicology</w:t>
      </w:r>
      <w:r w:rsidRPr="00965D7D">
        <w:rPr>
          <w:rFonts w:eastAsia="MS Mincho" w:cs="Arial"/>
          <w:szCs w:val="18"/>
          <w:lang w:val="de-DE" w:eastAsia="ja-JP"/>
        </w:rPr>
        <w:t xml:space="preserve"> 22(1): 125-138.</w:t>
      </w:r>
    </w:p>
    <w:p w14:paraId="63224EA1" w14:textId="77777777" w:rsidR="00C96521" w:rsidRPr="00965D7D" w:rsidRDefault="00C96521" w:rsidP="00C96521">
      <w:pPr>
        <w:widowControl/>
        <w:autoSpaceDE/>
        <w:autoSpaceDN/>
        <w:adjustRightInd/>
        <w:spacing w:line="276" w:lineRule="auto"/>
        <w:rPr>
          <w:rFonts w:eastAsia="MS Mincho" w:cs="Arial"/>
          <w:b/>
          <w:szCs w:val="18"/>
          <w:lang w:val="de-DE" w:eastAsia="ja-JP"/>
        </w:rPr>
      </w:pPr>
    </w:p>
    <w:p w14:paraId="362F5F17" w14:textId="77777777" w:rsidR="00C96521" w:rsidRPr="008C00B8" w:rsidRDefault="00C96521" w:rsidP="00C96521">
      <w:pPr>
        <w:widowControl/>
        <w:autoSpaceDE/>
        <w:autoSpaceDN/>
        <w:adjustRightInd/>
        <w:spacing w:line="276" w:lineRule="auto"/>
        <w:rPr>
          <w:rFonts w:eastAsia="MS Mincho" w:cs="Arial"/>
          <w:szCs w:val="18"/>
          <w:lang w:val="de-DE" w:eastAsia="ja-JP"/>
        </w:rPr>
      </w:pPr>
      <w:r w:rsidRPr="00965D7D">
        <w:rPr>
          <w:rFonts w:eastAsia="MS Mincho" w:cs="Arial"/>
          <w:b/>
          <w:szCs w:val="18"/>
          <w:lang w:val="de-DE" w:eastAsia="ja-JP"/>
        </w:rPr>
        <w:t>LORGÉ P and BIVER G (2010)</w:t>
      </w:r>
      <w:r w:rsidRPr="00965D7D">
        <w:rPr>
          <w:rFonts w:eastAsia="MS Mincho" w:cs="Arial"/>
          <w:szCs w:val="18"/>
          <w:lang w:val="de-DE" w:eastAsia="ja-JP"/>
        </w:rPr>
        <w:t xml:space="preserve"> Die Rote Liste der Brutvögel Luxemburgs – 2009. </w:t>
      </w:r>
      <w:r w:rsidRPr="008C00B8">
        <w:rPr>
          <w:rFonts w:eastAsia="MS Mincho" w:cs="Arial"/>
          <w:i/>
          <w:szCs w:val="18"/>
          <w:lang w:val="de-DE" w:eastAsia="ja-JP"/>
        </w:rPr>
        <w:t>Regulus Wissenschaftliche Berichte</w:t>
      </w:r>
      <w:r w:rsidRPr="008C00B8">
        <w:rPr>
          <w:rFonts w:eastAsia="MS Mincho" w:cs="Arial"/>
          <w:szCs w:val="18"/>
          <w:lang w:val="de-DE" w:eastAsia="ja-JP"/>
        </w:rPr>
        <w:t xml:space="preserve"> 25, 67-72.</w:t>
      </w:r>
    </w:p>
    <w:p w14:paraId="525FBEB6" w14:textId="77777777" w:rsidR="00C96521" w:rsidRPr="008C00B8" w:rsidRDefault="00C96521" w:rsidP="00C96521">
      <w:pPr>
        <w:widowControl/>
        <w:autoSpaceDE/>
        <w:autoSpaceDN/>
        <w:adjustRightInd/>
        <w:spacing w:line="276" w:lineRule="auto"/>
        <w:rPr>
          <w:rFonts w:eastAsia="MS Mincho" w:cs="Arial"/>
          <w:szCs w:val="18"/>
          <w:lang w:val="de-DE" w:eastAsia="ja-JP"/>
        </w:rPr>
      </w:pPr>
    </w:p>
    <w:p w14:paraId="3E241F4A"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965D7D">
        <w:rPr>
          <w:rFonts w:eastAsia="MS Mincho" w:cs="Arial"/>
          <w:b/>
          <w:szCs w:val="18"/>
          <w:lang w:val="de-DE" w:eastAsia="ja-JP"/>
        </w:rPr>
        <w:t>LORGÉ P, BASTIAN M and KLEIN K (2014)</w:t>
      </w:r>
      <w:r w:rsidRPr="00965D7D">
        <w:rPr>
          <w:rFonts w:eastAsia="MS Mincho" w:cs="Arial"/>
          <w:szCs w:val="18"/>
          <w:lang w:val="de-DE" w:eastAsia="ja-JP"/>
        </w:rPr>
        <w:t xml:space="preserve"> Die Rote Liste der Brutvögel Luxemburgs 2014. </w:t>
      </w:r>
      <w:r w:rsidRPr="00890F11">
        <w:rPr>
          <w:rFonts w:eastAsia="MS Mincho" w:cs="Arial"/>
          <w:i/>
          <w:szCs w:val="18"/>
          <w:lang w:val="fr-FR" w:eastAsia="ja-JP"/>
        </w:rPr>
        <w:t>Regulus Wissenschaftliche Berichte</w:t>
      </w:r>
      <w:r w:rsidRPr="00890F11">
        <w:rPr>
          <w:rFonts w:eastAsia="MS Mincho" w:cs="Arial"/>
          <w:szCs w:val="18"/>
          <w:lang w:val="fr-FR" w:eastAsia="ja-JP"/>
        </w:rPr>
        <w:t xml:space="preserve"> 30: 58-65.</w:t>
      </w:r>
    </w:p>
    <w:p w14:paraId="0AD12530"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148C6AF9" w14:textId="77777777" w:rsidR="00C96521" w:rsidRPr="00890F11" w:rsidRDefault="00C96521" w:rsidP="00C96521">
      <w:pPr>
        <w:widowControl/>
        <w:autoSpaceDE/>
        <w:autoSpaceDN/>
        <w:adjustRightInd/>
        <w:spacing w:line="276" w:lineRule="auto"/>
        <w:rPr>
          <w:rFonts w:eastAsia="MS Mincho" w:cs="Arial"/>
          <w:color w:val="FFFFFF"/>
          <w:szCs w:val="18"/>
          <w:lang w:val="fr-FR" w:eastAsia="ja-JP"/>
        </w:rPr>
      </w:pPr>
      <w:r w:rsidRPr="00890F11">
        <w:rPr>
          <w:rFonts w:eastAsia="MS Mincho" w:cs="Arial"/>
          <w:b/>
          <w:szCs w:val="18"/>
          <w:lang w:val="fr-FR" w:eastAsia="ja-JP"/>
        </w:rPr>
        <w:t>LORMÉE H (2013)</w:t>
      </w:r>
      <w:r w:rsidRPr="00890F11">
        <w:rPr>
          <w:rFonts w:eastAsia="MS Mincho" w:cs="Arial"/>
          <w:szCs w:val="18"/>
          <w:lang w:val="fr-FR" w:eastAsia="ja-JP"/>
        </w:rPr>
        <w:t xml:space="preserve"> </w:t>
      </w:r>
      <w:r w:rsidRPr="00890F11">
        <w:rPr>
          <w:rFonts w:eastAsia="MS Mincho" w:cs="Arial"/>
          <w:i/>
          <w:szCs w:val="18"/>
          <w:lang w:val="fr-FR" w:eastAsia="ja-JP"/>
        </w:rPr>
        <w:t>Programme d’études Colombidés – Bilan de la campagne 2012</w:t>
      </w:r>
      <w:r w:rsidRPr="00890F11">
        <w:rPr>
          <w:rFonts w:eastAsia="MS Mincho" w:cs="Arial"/>
          <w:szCs w:val="18"/>
          <w:lang w:val="fr-FR" w:eastAsia="ja-JP"/>
        </w:rPr>
        <w:t>. Office National de la Chasse et de la Faune Sauvage, Villiers-en-Bois.</w:t>
      </w:r>
    </w:p>
    <w:p w14:paraId="69F07F56"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4A51FEE0"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LORMÉE H, BOUTIN J-M, PINAUD D, BIDAULT H and ERAUD C (2016)</w:t>
      </w:r>
      <w:r w:rsidRPr="00C96521">
        <w:rPr>
          <w:rFonts w:eastAsia="MS Mincho" w:cs="Arial"/>
          <w:szCs w:val="18"/>
          <w:lang w:val="en-GB" w:eastAsia="ja-JP"/>
        </w:rPr>
        <w:t xml:space="preserve">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migration routes and wintering areas revealed using satellite telemetry. </w:t>
      </w:r>
      <w:r w:rsidRPr="00C96521">
        <w:rPr>
          <w:rFonts w:eastAsia="MS Mincho" w:cs="Arial"/>
          <w:i/>
          <w:szCs w:val="18"/>
          <w:lang w:val="en-GB" w:eastAsia="ja-JP"/>
        </w:rPr>
        <w:t>Bird Study</w:t>
      </w:r>
      <w:r w:rsidRPr="00C96521">
        <w:rPr>
          <w:rFonts w:eastAsia="MS Mincho" w:cs="Arial"/>
          <w:szCs w:val="18"/>
          <w:lang w:val="en-GB" w:eastAsia="ja-JP"/>
        </w:rPr>
        <w:t xml:space="preserve"> DOI: 10.1080/00063657.2016.1185086</w:t>
      </w:r>
    </w:p>
    <w:p w14:paraId="46ABC22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643FF6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LUOMUS (2016)</w:t>
      </w:r>
      <w:r w:rsidRPr="00C96521">
        <w:rPr>
          <w:rFonts w:eastAsia="MS Mincho" w:cs="Arial"/>
          <w:szCs w:val="18"/>
          <w:lang w:val="en-GB" w:eastAsia="ja-JP"/>
        </w:rPr>
        <w:t xml:space="preserve"> </w:t>
      </w:r>
      <w:r w:rsidRPr="00C96521">
        <w:rPr>
          <w:rFonts w:eastAsia="MS Mincho" w:cs="Arial"/>
          <w:i/>
          <w:szCs w:val="18"/>
          <w:lang w:val="en-GB" w:eastAsia="ja-JP"/>
        </w:rPr>
        <w:t>Russian Bird Atlas 2005-2017</w:t>
      </w:r>
      <w:r w:rsidRPr="00C96521">
        <w:rPr>
          <w:rFonts w:eastAsia="MS Mincho" w:cs="Arial"/>
          <w:szCs w:val="18"/>
          <w:lang w:val="en-GB" w:eastAsia="ja-JP"/>
        </w:rPr>
        <w:t>. http://www.luomus.fi/fi/venajan-lintuatlas-2005-2017 (last accessed 31</w:t>
      </w:r>
      <w:r w:rsidRPr="00C96521">
        <w:rPr>
          <w:rFonts w:eastAsia="MS Mincho" w:cs="Arial"/>
          <w:szCs w:val="18"/>
          <w:vertAlign w:val="superscript"/>
          <w:lang w:val="en-GB" w:eastAsia="ja-JP"/>
        </w:rPr>
        <w:t xml:space="preserve">st </w:t>
      </w:r>
      <w:r w:rsidRPr="00C96521">
        <w:rPr>
          <w:rFonts w:eastAsia="MS Mincho" w:cs="Arial"/>
          <w:szCs w:val="18"/>
          <w:lang w:val="en-GB" w:eastAsia="ja-JP"/>
        </w:rPr>
        <w:t>October 2016)</w:t>
      </w:r>
    </w:p>
    <w:p w14:paraId="39AAC759" w14:textId="77777777" w:rsidR="00C96521" w:rsidRPr="00C96521" w:rsidRDefault="00C96521" w:rsidP="00C96521">
      <w:pPr>
        <w:widowControl/>
        <w:spacing w:line="276" w:lineRule="auto"/>
        <w:rPr>
          <w:rFonts w:eastAsia="MS Mincho" w:cs="Arial"/>
          <w:b/>
          <w:szCs w:val="18"/>
          <w:lang w:val="en-GB" w:eastAsia="ja-JP"/>
        </w:rPr>
      </w:pPr>
    </w:p>
    <w:p w14:paraId="67AE777F" w14:textId="1A02FF49"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LUTZ M (2007)</w:t>
      </w:r>
      <w:r w:rsidRPr="00C96521">
        <w:rPr>
          <w:rFonts w:eastAsia="MS Mincho" w:cs="Arial"/>
          <w:szCs w:val="18"/>
          <w:lang w:val="en-GB" w:eastAsia="ja-JP"/>
        </w:rPr>
        <w:t xml:space="preserve"> </w:t>
      </w:r>
      <w:r w:rsidRPr="00C96521">
        <w:rPr>
          <w:rFonts w:eastAsia="MS Mincho" w:cs="Arial"/>
          <w:i/>
          <w:szCs w:val="18"/>
          <w:lang w:val="en-GB" w:eastAsia="ja-JP"/>
        </w:rPr>
        <w:t xml:space="preserve">Management Plan for </w:t>
      </w:r>
      <w:r w:rsidR="003A3278">
        <w:rPr>
          <w:rFonts w:eastAsia="MS Mincho" w:cs="Arial"/>
          <w:i/>
          <w:szCs w:val="18"/>
          <w:lang w:val="en-GB" w:eastAsia="ja-JP"/>
        </w:rPr>
        <w:t>T</w:t>
      </w:r>
      <w:r w:rsidRPr="00C96521">
        <w:rPr>
          <w:rFonts w:eastAsia="MS Mincho" w:cs="Arial"/>
          <w:i/>
          <w:szCs w:val="18"/>
          <w:lang w:val="en-GB" w:eastAsia="ja-JP"/>
        </w:rPr>
        <w:t>urtle</w:t>
      </w:r>
      <w:r w:rsidR="003A3278">
        <w:rPr>
          <w:rFonts w:eastAsia="MS Mincho" w:cs="Arial"/>
          <w:i/>
          <w:szCs w:val="18"/>
          <w:lang w:val="en-GB" w:eastAsia="ja-JP"/>
        </w:rPr>
        <w:t xml:space="preserve"> D</w:t>
      </w:r>
      <w:r w:rsidRPr="00C96521">
        <w:rPr>
          <w:rFonts w:eastAsia="MS Mincho" w:cs="Arial"/>
          <w:i/>
          <w:szCs w:val="18"/>
          <w:lang w:val="en-GB" w:eastAsia="ja-JP"/>
        </w:rPr>
        <w:t>ove (</w:t>
      </w:r>
      <w:r w:rsidRPr="00C96521">
        <w:rPr>
          <w:rFonts w:eastAsia="MS Mincho" w:cs="Arial"/>
          <w:szCs w:val="18"/>
          <w:lang w:val="en-GB" w:eastAsia="ja-JP"/>
        </w:rPr>
        <w:t>Streptopelia turtur</w:t>
      </w:r>
      <w:r w:rsidRPr="00C96521">
        <w:rPr>
          <w:rFonts w:eastAsia="MS Mincho" w:cs="Arial"/>
          <w:i/>
          <w:szCs w:val="18"/>
          <w:lang w:val="en-GB" w:eastAsia="ja-JP"/>
        </w:rPr>
        <w:t>) 2007-2009</w:t>
      </w:r>
      <w:r w:rsidRPr="00C96521">
        <w:rPr>
          <w:rFonts w:eastAsia="MS Mincho" w:cs="Arial"/>
          <w:szCs w:val="18"/>
          <w:lang w:val="en-GB" w:eastAsia="ja-JP"/>
        </w:rPr>
        <w:t>. European Commission, Technical Report 007-2007.</w:t>
      </w:r>
    </w:p>
    <w:p w14:paraId="2B2B3EFF"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51C79C7" w14:textId="77777777" w:rsidR="00C96521" w:rsidRPr="00890F11" w:rsidRDefault="00C96521" w:rsidP="00C96521">
      <w:pPr>
        <w:widowControl/>
        <w:spacing w:line="276" w:lineRule="auto"/>
        <w:rPr>
          <w:rFonts w:eastAsia="MS Mincho" w:cs="Arial"/>
          <w:szCs w:val="18"/>
          <w:lang w:val="es-ES" w:eastAsia="ja-JP"/>
        </w:rPr>
      </w:pPr>
      <w:r w:rsidRPr="00C96521">
        <w:rPr>
          <w:rFonts w:eastAsia="MS Mincho" w:cs="Arial"/>
          <w:b/>
          <w:szCs w:val="18"/>
          <w:lang w:val="en-GB" w:eastAsia="ja-JP"/>
        </w:rPr>
        <w:t>MACCHIO S, MESSINEO A, LICHERI D and SPINA F (1999)</w:t>
      </w:r>
      <w:r w:rsidRPr="00C96521">
        <w:rPr>
          <w:rFonts w:eastAsia="MS Mincho" w:cs="Arial"/>
          <w:szCs w:val="18"/>
          <w:lang w:val="en-GB" w:eastAsia="ja-JP"/>
        </w:rPr>
        <w:t xml:space="preserve"> Atlante della distribuzione geografica e stagionale degli uccelli inanellati in Italia negli anni 1980-1994. </w:t>
      </w:r>
      <w:r w:rsidRPr="00890F11">
        <w:rPr>
          <w:rFonts w:eastAsia="MS Mincho" w:cs="Arial"/>
          <w:i/>
          <w:szCs w:val="18"/>
          <w:lang w:val="es-ES" w:eastAsia="ja-JP"/>
        </w:rPr>
        <w:t>Biologia e Conservazione della Fauna</w:t>
      </w:r>
      <w:r w:rsidRPr="00890F11">
        <w:rPr>
          <w:rFonts w:eastAsia="MS Mincho" w:cs="Arial"/>
          <w:szCs w:val="18"/>
          <w:lang w:val="es-ES" w:eastAsia="ja-JP"/>
        </w:rPr>
        <w:t xml:space="preserve"> 103: 1-276.</w:t>
      </w:r>
    </w:p>
    <w:p w14:paraId="2078A987"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500C588A" w14:textId="77777777" w:rsidR="00C96521" w:rsidRPr="00890F11" w:rsidRDefault="00C96521" w:rsidP="00C96521">
      <w:pPr>
        <w:widowControl/>
        <w:autoSpaceDE/>
        <w:autoSpaceDN/>
        <w:adjustRightInd/>
        <w:spacing w:line="276" w:lineRule="auto"/>
        <w:rPr>
          <w:rFonts w:eastAsia="MS Mincho" w:cs="Arial"/>
          <w:b/>
          <w:szCs w:val="18"/>
          <w:lang w:val="es-ES" w:eastAsia="ja-JP"/>
        </w:rPr>
      </w:pPr>
      <w:r w:rsidRPr="00890F11">
        <w:rPr>
          <w:rFonts w:eastAsia="MS Mincho" w:cs="Arial"/>
          <w:b/>
          <w:szCs w:val="18"/>
          <w:lang w:val="es-ES" w:eastAsia="ja-JP"/>
        </w:rPr>
        <w:t>MADROÑO A, GONZALEZ C and ATIENZA JC (2004)</w:t>
      </w:r>
      <w:r w:rsidRPr="00890F11">
        <w:rPr>
          <w:rFonts w:eastAsia="MS Mincho" w:cs="Arial"/>
          <w:szCs w:val="18"/>
          <w:lang w:val="es-ES" w:eastAsia="ja-JP"/>
        </w:rPr>
        <w:t xml:space="preserve"> </w:t>
      </w:r>
      <w:r w:rsidRPr="00890F11">
        <w:rPr>
          <w:rFonts w:eastAsia="MS Mincho" w:cs="Arial"/>
          <w:i/>
          <w:szCs w:val="18"/>
          <w:lang w:val="es-ES" w:eastAsia="ja-JP"/>
        </w:rPr>
        <w:t>Libro Rojo de las Aves de España. Dirección General para la Biodiversidad</w:t>
      </w:r>
      <w:r w:rsidRPr="00890F11">
        <w:rPr>
          <w:rFonts w:eastAsia="MS Mincho" w:cs="Arial"/>
          <w:szCs w:val="18"/>
          <w:lang w:val="es-ES" w:eastAsia="ja-JP"/>
        </w:rPr>
        <w:t>. SEO/BirdLife, Madrid.</w:t>
      </w:r>
    </w:p>
    <w:p w14:paraId="04AD7E54"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0ED407FA" w14:textId="77777777" w:rsidR="00C96521" w:rsidRPr="00890F11" w:rsidRDefault="00C96521" w:rsidP="00C96521">
      <w:pPr>
        <w:widowControl/>
        <w:autoSpaceDE/>
        <w:autoSpaceDN/>
        <w:adjustRightInd/>
        <w:spacing w:line="276" w:lineRule="auto"/>
        <w:rPr>
          <w:rFonts w:eastAsia="MS Mincho" w:cs="Arial"/>
          <w:bCs/>
          <w:szCs w:val="18"/>
          <w:lang w:val="es-ES" w:eastAsia="ja-JP"/>
        </w:rPr>
      </w:pPr>
      <w:r w:rsidRPr="00890F11">
        <w:rPr>
          <w:rFonts w:eastAsia="MS Mincho" w:cs="Arial"/>
          <w:b/>
          <w:bCs/>
          <w:szCs w:val="18"/>
          <w:lang w:val="es-ES" w:eastAsia="ja-JP"/>
        </w:rPr>
        <w:t xml:space="preserve">MAPAMA (2016) </w:t>
      </w:r>
      <w:r w:rsidRPr="00890F11">
        <w:rPr>
          <w:rFonts w:eastAsia="MS Mincho" w:cs="Arial"/>
          <w:bCs/>
          <w:i/>
          <w:szCs w:val="18"/>
          <w:lang w:val="es-ES" w:eastAsia="ja-JP"/>
        </w:rPr>
        <w:t xml:space="preserve">Estadística Anual de Caza. </w:t>
      </w:r>
      <w:r w:rsidRPr="00890F11">
        <w:rPr>
          <w:rFonts w:eastAsia="MS Mincho" w:cs="Arial"/>
          <w:bCs/>
          <w:szCs w:val="18"/>
          <w:lang w:val="es-ES" w:eastAsia="ja-JP"/>
        </w:rPr>
        <w:t>Ministerio de Agricultura y Pesca, Alimentación y Medio Ambiente, Madrid.</w:t>
      </w:r>
    </w:p>
    <w:p w14:paraId="7742C2C8" w14:textId="77777777" w:rsidR="00C96521" w:rsidRPr="00890F11" w:rsidRDefault="00C96521" w:rsidP="00C96521">
      <w:pPr>
        <w:widowControl/>
        <w:autoSpaceDE/>
        <w:autoSpaceDN/>
        <w:adjustRightInd/>
        <w:spacing w:line="276" w:lineRule="auto"/>
        <w:rPr>
          <w:rFonts w:eastAsia="MS Mincho" w:cs="Arial"/>
          <w:bCs/>
          <w:szCs w:val="18"/>
          <w:lang w:val="es-ES" w:eastAsia="ja-JP"/>
        </w:rPr>
      </w:pPr>
    </w:p>
    <w:p w14:paraId="57375F00" w14:textId="77777777" w:rsidR="00C96521" w:rsidRPr="00C96521" w:rsidRDefault="00C96521" w:rsidP="00C96521">
      <w:pPr>
        <w:widowControl/>
        <w:autoSpaceDE/>
        <w:autoSpaceDN/>
        <w:adjustRightInd/>
        <w:spacing w:line="276" w:lineRule="auto"/>
        <w:rPr>
          <w:rFonts w:eastAsia="MS Mincho" w:cs="Arial"/>
          <w:bCs/>
          <w:szCs w:val="18"/>
          <w:lang w:val="en-GB" w:eastAsia="ja-JP"/>
        </w:rPr>
      </w:pPr>
      <w:r w:rsidRPr="00C96521">
        <w:rPr>
          <w:rFonts w:eastAsia="MS Mincho" w:cs="Arial"/>
          <w:b/>
          <w:bCs/>
          <w:szCs w:val="18"/>
          <w:lang w:val="en-GB" w:eastAsia="ja-JP"/>
        </w:rPr>
        <w:t>MARCHANT JH, HUDSON R, CARTER SP and WITTINGTON P (1990)</w:t>
      </w:r>
      <w:r w:rsidRPr="00C96521">
        <w:rPr>
          <w:rFonts w:eastAsia="MS Mincho" w:cs="Arial"/>
          <w:bCs/>
          <w:szCs w:val="18"/>
          <w:lang w:val="en-GB" w:eastAsia="ja-JP"/>
        </w:rPr>
        <w:t xml:space="preserve"> </w:t>
      </w:r>
      <w:r w:rsidRPr="00C96521">
        <w:rPr>
          <w:rFonts w:eastAsia="MS Mincho" w:cs="Arial"/>
          <w:bCs/>
          <w:i/>
          <w:szCs w:val="18"/>
          <w:lang w:val="en-GB" w:eastAsia="ja-JP"/>
        </w:rPr>
        <w:t>Population trends in British breeding birds</w:t>
      </w:r>
      <w:r w:rsidRPr="00C96521">
        <w:rPr>
          <w:rFonts w:eastAsia="MS Mincho" w:cs="Arial"/>
          <w:bCs/>
          <w:szCs w:val="18"/>
          <w:lang w:val="en-GB" w:eastAsia="ja-JP"/>
        </w:rPr>
        <w:t>. British Trust for Ornithology, Thetford.</w:t>
      </w:r>
    </w:p>
    <w:p w14:paraId="02447605" w14:textId="77777777" w:rsidR="00C96521" w:rsidRPr="00C96521" w:rsidRDefault="00C96521" w:rsidP="00C96521">
      <w:pPr>
        <w:widowControl/>
        <w:autoSpaceDE/>
        <w:autoSpaceDN/>
        <w:adjustRightInd/>
        <w:spacing w:line="276" w:lineRule="auto"/>
        <w:rPr>
          <w:rFonts w:eastAsia="MS Mincho" w:cs="Arial"/>
          <w:bCs/>
          <w:szCs w:val="18"/>
          <w:lang w:val="en-GB" w:eastAsia="ja-JP"/>
        </w:rPr>
      </w:pPr>
    </w:p>
    <w:p w14:paraId="17704A5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 xml:space="preserve">MARX M, KORNER-NIEVERGELT F and QUILLFELDT P (2016) </w:t>
      </w:r>
      <w:r w:rsidRPr="00C96521">
        <w:rPr>
          <w:rFonts w:eastAsia="MS Mincho" w:cs="Arial"/>
          <w:szCs w:val="18"/>
          <w:lang w:val="en-GB" w:eastAsia="ja-JP"/>
        </w:rPr>
        <w:t xml:space="preserve">Analysis of ring recoveries of European Turtle-doves </w:t>
      </w:r>
      <w:r w:rsidRPr="00965D7D">
        <w:rPr>
          <w:rFonts w:eastAsia="MS Mincho" w:cs="Arial"/>
          <w:i/>
          <w:szCs w:val="18"/>
          <w:lang w:val="en-GB" w:eastAsia="ja-JP"/>
        </w:rPr>
        <w:t>Streptopelia turtur</w:t>
      </w:r>
      <w:r w:rsidRPr="00C96521">
        <w:rPr>
          <w:rFonts w:eastAsia="MS Mincho" w:cs="Arial"/>
          <w:szCs w:val="18"/>
          <w:lang w:val="en-GB" w:eastAsia="ja-JP"/>
        </w:rPr>
        <w:t xml:space="preserve"> - flyways, migration timing and origin areas of hunted birds. </w:t>
      </w:r>
      <w:r w:rsidRPr="00C96521">
        <w:rPr>
          <w:rFonts w:eastAsia="MS Mincho" w:cs="Arial"/>
          <w:i/>
          <w:szCs w:val="18"/>
          <w:lang w:val="en-GB" w:eastAsia="ja-JP"/>
        </w:rPr>
        <w:t>Acta Ornithologica</w:t>
      </w:r>
      <w:r w:rsidRPr="00C96521">
        <w:rPr>
          <w:rFonts w:eastAsia="MS Mincho" w:cs="Arial"/>
          <w:szCs w:val="18"/>
          <w:lang w:val="en-GB" w:eastAsia="ja-JP"/>
        </w:rPr>
        <w:t xml:space="preserve"> 51(1): 55-70.</w:t>
      </w:r>
    </w:p>
    <w:p w14:paraId="49E027F3"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7695EEF"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MASON CF and MACDONALD SM (2000)</w:t>
      </w:r>
      <w:r w:rsidRPr="00C96521">
        <w:rPr>
          <w:rFonts w:eastAsia="MS Mincho" w:cs="Arial"/>
          <w:szCs w:val="18"/>
          <w:lang w:val="en-GB" w:eastAsia="ja-JP"/>
        </w:rPr>
        <w:t xml:space="preserve"> Influence of landscape and land-use on the distribution of breeding birds in farmland in eastern England. </w:t>
      </w:r>
      <w:r w:rsidRPr="00C96521">
        <w:rPr>
          <w:rFonts w:eastAsia="MS Mincho" w:cs="Arial"/>
          <w:i/>
          <w:szCs w:val="18"/>
          <w:lang w:val="en-GB" w:eastAsia="ja-JP"/>
        </w:rPr>
        <w:t>Journal of Zoology</w:t>
      </w:r>
      <w:r w:rsidRPr="00C96521">
        <w:rPr>
          <w:rFonts w:eastAsia="MS Mincho" w:cs="Arial"/>
          <w:szCs w:val="18"/>
          <w:lang w:val="en-GB" w:eastAsia="ja-JP"/>
        </w:rPr>
        <w:t xml:space="preserve"> 251: 339-348.</w:t>
      </w:r>
    </w:p>
    <w:p w14:paraId="606BBF8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09E990C"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C96521">
        <w:rPr>
          <w:rFonts w:eastAsia="MS Mincho" w:cs="Arial"/>
          <w:b/>
          <w:szCs w:val="18"/>
          <w:lang w:val="en-GB" w:eastAsia="ja-JP"/>
        </w:rPr>
        <w:t>MEIRINHO A, LEAL A, MARQUES AT, FAGUNDES AI, SAMPAIO H, COSTA J and LEITAO D (2013)</w:t>
      </w:r>
      <w:r w:rsidRPr="00C96521">
        <w:rPr>
          <w:rFonts w:eastAsia="MS Mincho" w:cs="Arial"/>
          <w:szCs w:val="18"/>
          <w:lang w:val="en-GB" w:eastAsia="ja-JP"/>
        </w:rPr>
        <w:t xml:space="preserve"> </w:t>
      </w:r>
      <w:r w:rsidRPr="00C96521">
        <w:rPr>
          <w:rFonts w:eastAsia="MS Mincho" w:cs="Arial"/>
          <w:i/>
          <w:szCs w:val="18"/>
          <w:lang w:val="en-GB" w:eastAsia="ja-JP"/>
        </w:rPr>
        <w:t>O estado das aves comuns em Portugal 2011: relatório do projeto Censo de Aves Comuns</w:t>
      </w:r>
      <w:r w:rsidRPr="00C96521">
        <w:rPr>
          <w:rFonts w:eastAsia="MS Mincho" w:cs="Arial"/>
          <w:szCs w:val="18"/>
          <w:lang w:val="en-GB" w:eastAsia="ja-JP"/>
        </w:rPr>
        <w:t xml:space="preserve">. </w:t>
      </w:r>
      <w:r w:rsidRPr="00890F11">
        <w:rPr>
          <w:rFonts w:eastAsia="MS Mincho" w:cs="Arial"/>
          <w:szCs w:val="18"/>
          <w:lang w:val="es-ES" w:eastAsia="ja-JP"/>
        </w:rPr>
        <w:t>Sociedade Portuguesa para o Estudo das Aves, Lisboa.</w:t>
      </w:r>
    </w:p>
    <w:p w14:paraId="7F622B63"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7427607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es-ES" w:eastAsia="ja-JP"/>
        </w:rPr>
        <w:t>MESCHINI E and FRUGIS S (1993)</w:t>
      </w:r>
      <w:r w:rsidRPr="00890F11">
        <w:rPr>
          <w:rFonts w:eastAsia="MS Mincho" w:cs="Arial"/>
          <w:szCs w:val="18"/>
          <w:lang w:val="es-ES" w:eastAsia="ja-JP"/>
        </w:rPr>
        <w:t xml:space="preserve"> Atlante degli uccelli nidificanti in Italia. </w:t>
      </w:r>
      <w:r w:rsidRPr="00C96521">
        <w:rPr>
          <w:rFonts w:eastAsia="MS Mincho" w:cs="Arial"/>
          <w:i/>
          <w:szCs w:val="18"/>
          <w:lang w:val="en-GB" w:eastAsia="ja-JP"/>
        </w:rPr>
        <w:t>Supplemento alle Ricerche di Biologia della Selvaggina</w:t>
      </w:r>
      <w:r w:rsidRPr="00C96521">
        <w:rPr>
          <w:rFonts w:eastAsia="MS Mincho" w:cs="Arial"/>
          <w:szCs w:val="18"/>
          <w:lang w:val="en-GB" w:eastAsia="ja-JP"/>
        </w:rPr>
        <w:t xml:space="preserve"> XX: 1-344.</w:t>
      </w:r>
    </w:p>
    <w:p w14:paraId="25AD6810"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87E00C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MIHELIČ T (2013)</w:t>
      </w:r>
      <w:r w:rsidRPr="00C96521">
        <w:rPr>
          <w:rFonts w:eastAsia="MS Mincho" w:cs="Arial"/>
          <w:szCs w:val="18"/>
          <w:lang w:val="en-GB" w:eastAsia="ja-JP"/>
        </w:rPr>
        <w:t xml:space="preserve"> </w:t>
      </w:r>
      <w:r w:rsidRPr="00C96521">
        <w:rPr>
          <w:rFonts w:eastAsia="MS Mincho" w:cs="Arial"/>
          <w:i/>
          <w:szCs w:val="18"/>
          <w:lang w:val="en-GB" w:eastAsia="ja-JP"/>
        </w:rPr>
        <w:t>Web base NOAGS</w:t>
      </w:r>
      <w:r w:rsidRPr="00C96521">
        <w:rPr>
          <w:rFonts w:eastAsia="MS Mincho" w:cs="Arial"/>
          <w:szCs w:val="18"/>
          <w:lang w:val="en-GB" w:eastAsia="ja-JP"/>
        </w:rPr>
        <w:t>. http://www.ptice.si/atlas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64EFEF3C"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63B9CC0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MINDENNAPI MADARAINK MONITORINGJA (2016)</w:t>
      </w:r>
      <w:r w:rsidRPr="00C96521">
        <w:rPr>
          <w:rFonts w:eastAsia="MS Mincho" w:cs="Arial"/>
          <w:szCs w:val="18"/>
          <w:lang w:val="en-GB" w:eastAsia="ja-JP"/>
        </w:rPr>
        <w:t xml:space="preserve"> MMM database. http://mmm.mme.hu/charts/trends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69D60735"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2DF591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MINEAU P and PALMER C (2013) </w:t>
      </w:r>
      <w:r w:rsidRPr="00C96521">
        <w:rPr>
          <w:rFonts w:eastAsia="MS Mincho" w:cs="Arial"/>
          <w:i/>
          <w:szCs w:val="18"/>
          <w:lang w:val="en-GB" w:eastAsia="ja-JP"/>
        </w:rPr>
        <w:t xml:space="preserve">The Impact of the Nation’s Most Widely Used Insecticides on Birds. </w:t>
      </w:r>
      <w:r w:rsidRPr="00C96521">
        <w:rPr>
          <w:rFonts w:eastAsia="MS Mincho" w:cs="Arial"/>
          <w:szCs w:val="18"/>
          <w:lang w:val="en-GB" w:eastAsia="ja-JP"/>
        </w:rPr>
        <w:t>American Bird Conservancy, The Plains. pp 1-97.</w:t>
      </w:r>
    </w:p>
    <w:p w14:paraId="5D69A337"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8A7695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MISCHENKO AL (2004) </w:t>
      </w:r>
      <w:r w:rsidRPr="00C96521">
        <w:rPr>
          <w:rFonts w:eastAsia="MS Mincho" w:cs="Arial"/>
          <w:i/>
          <w:szCs w:val="18"/>
          <w:lang w:val="en-GB" w:eastAsia="ja-JP"/>
        </w:rPr>
        <w:t xml:space="preserve">Estimation of numbers and trends for birds of the European part of Russia (Birds in Europe-II). </w:t>
      </w:r>
      <w:r w:rsidRPr="00C96521">
        <w:rPr>
          <w:rFonts w:eastAsia="MS Mincho" w:cs="Arial"/>
          <w:szCs w:val="18"/>
          <w:lang w:val="en-GB" w:eastAsia="ja-JP"/>
        </w:rPr>
        <w:t>RBCU, Moscow. [in Russian]</w:t>
      </w:r>
    </w:p>
    <w:p w14:paraId="0981322F"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C6EE70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MISCHENKO AL (2015) </w:t>
      </w:r>
      <w:r w:rsidRPr="00C96521">
        <w:rPr>
          <w:rFonts w:eastAsia="MS Mincho" w:cs="Arial"/>
          <w:szCs w:val="18"/>
          <w:lang w:val="en-GB" w:eastAsia="ja-JP"/>
        </w:rPr>
        <w:t xml:space="preserve">Turtle-dove. In: VETKIN YU V, GELTMAN DV, LITVINOVA EM, KONECHNAYA GY and MISCHENKO AL (eds) </w:t>
      </w:r>
      <w:r w:rsidRPr="00C96521">
        <w:rPr>
          <w:rFonts w:eastAsia="MS Mincho" w:cs="Arial"/>
          <w:i/>
          <w:szCs w:val="18"/>
          <w:lang w:val="en-GB" w:eastAsia="ja-JP"/>
        </w:rPr>
        <w:t>Red Data Book of Novgorod Region</w:t>
      </w:r>
      <w:r w:rsidRPr="00C96521">
        <w:rPr>
          <w:rFonts w:eastAsia="MS Mincho" w:cs="Arial"/>
          <w:szCs w:val="18"/>
          <w:lang w:val="en-GB" w:eastAsia="ja-JP"/>
        </w:rPr>
        <w:t>. Diton, St Petersburg. p 128. [in Russian]</w:t>
      </w:r>
    </w:p>
    <w:p w14:paraId="05A2BD7C"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F4BF6C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MISCHENKO AL (ed) (in press)</w:t>
      </w:r>
      <w:r w:rsidRPr="00C96521">
        <w:rPr>
          <w:rFonts w:eastAsia="MS Mincho" w:cs="Arial"/>
          <w:szCs w:val="18"/>
          <w:lang w:val="en-GB" w:eastAsia="ja-JP"/>
        </w:rPr>
        <w:t xml:space="preserve"> </w:t>
      </w:r>
      <w:r w:rsidRPr="00C96521">
        <w:rPr>
          <w:rFonts w:eastAsia="MS Mincho" w:cs="Arial"/>
          <w:i/>
          <w:szCs w:val="18"/>
          <w:lang w:val="en-GB" w:eastAsia="ja-JP"/>
        </w:rPr>
        <w:t>Estimation of numbers and trends for birds of the European part of Russia (European Red List of Birds)</w:t>
      </w:r>
      <w:r w:rsidRPr="00C96521">
        <w:rPr>
          <w:rFonts w:eastAsia="MS Mincho" w:cs="Arial"/>
          <w:szCs w:val="18"/>
          <w:lang w:val="en-GB" w:eastAsia="ja-JP"/>
        </w:rPr>
        <w:t xml:space="preserve">. Birds Russia, Moscow. </w:t>
      </w:r>
    </w:p>
    <w:p w14:paraId="3046AA4D"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200116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MITO2000 (2016)</w:t>
      </w:r>
      <w:r w:rsidRPr="00C96521">
        <w:rPr>
          <w:rFonts w:eastAsia="MS Mincho" w:cs="Arial"/>
          <w:szCs w:val="18"/>
          <w:lang w:val="en-GB" w:eastAsia="ja-JP"/>
        </w:rPr>
        <w:t xml:space="preserve"> </w:t>
      </w:r>
      <w:r w:rsidRPr="00C96521">
        <w:rPr>
          <w:rFonts w:eastAsia="MS Mincho" w:cs="Arial"/>
          <w:i/>
          <w:szCs w:val="18"/>
          <w:lang w:val="en-GB" w:eastAsia="ja-JP"/>
        </w:rPr>
        <w:t>Specie agricole. Monitoraggio Italiano Ornitologico</w:t>
      </w:r>
      <w:r w:rsidRPr="00C96521">
        <w:rPr>
          <w:rFonts w:eastAsia="MS Mincho" w:cs="Arial"/>
          <w:szCs w:val="18"/>
          <w:lang w:val="en-GB" w:eastAsia="ja-JP"/>
        </w:rPr>
        <w:t>. https://mito2000.it/andamenti/specie-target/specie-degli-agroecosistemi/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77A99168"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F3C4AE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MONITORING PTAKOW POLSKI (2015)</w:t>
      </w:r>
      <w:r w:rsidRPr="00C96521">
        <w:rPr>
          <w:rFonts w:eastAsia="MS Mincho" w:cs="Arial"/>
          <w:szCs w:val="18"/>
          <w:lang w:val="en-GB" w:eastAsia="ja-JP"/>
        </w:rPr>
        <w:t xml:space="preserve"> </w:t>
      </w:r>
      <w:r w:rsidRPr="00C96521">
        <w:rPr>
          <w:rFonts w:eastAsia="MS Mincho" w:cs="Arial"/>
          <w:i/>
          <w:szCs w:val="18"/>
          <w:lang w:val="en-GB" w:eastAsia="ja-JP"/>
        </w:rPr>
        <w:t>Streptopelia turtur</w:t>
      </w:r>
      <w:r w:rsidRPr="00C96521">
        <w:rPr>
          <w:rFonts w:eastAsia="MS Mincho" w:cs="Arial"/>
          <w:szCs w:val="18"/>
          <w:lang w:val="en-GB" w:eastAsia="ja-JP"/>
        </w:rPr>
        <w:t xml:space="preserve"> http://monitoringptakow.gios.gov.pl/database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07134197"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8C7E90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MONTENEGRO EPA (2009)</w:t>
      </w:r>
      <w:r w:rsidRPr="00C96521">
        <w:rPr>
          <w:rFonts w:eastAsia="MS Mincho" w:cs="Arial"/>
          <w:szCs w:val="18"/>
          <w:lang w:val="en-GB" w:eastAsia="ja-JP"/>
        </w:rPr>
        <w:t xml:space="preserve"> </w:t>
      </w:r>
      <w:r w:rsidRPr="00C96521">
        <w:rPr>
          <w:rFonts w:eastAsia="MS Mincho" w:cs="Arial"/>
          <w:i/>
          <w:szCs w:val="18"/>
          <w:lang w:val="en-GB" w:eastAsia="ja-JP"/>
        </w:rPr>
        <w:t>Katastar of hunting areas in Montenegro</w:t>
      </w:r>
      <w:r w:rsidRPr="00C96521">
        <w:rPr>
          <w:rFonts w:eastAsia="MS Mincho" w:cs="Arial"/>
          <w:szCs w:val="18"/>
          <w:lang w:val="en-GB" w:eastAsia="ja-JP"/>
        </w:rPr>
        <w:t>. Montenegro EPA, Podgorica.</w:t>
      </w:r>
    </w:p>
    <w:p w14:paraId="784309E7"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EDFDFC0"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10359">
        <w:rPr>
          <w:rFonts w:eastAsia="MS Mincho" w:cs="Arial"/>
          <w:b/>
          <w:szCs w:val="18"/>
          <w:lang w:val="es-ES" w:eastAsia="ja-JP"/>
        </w:rPr>
        <w:t>MONTOYA JM (2009)</w:t>
      </w:r>
      <w:r w:rsidRPr="00810359">
        <w:rPr>
          <w:rFonts w:eastAsia="MS Mincho" w:cs="Arial"/>
          <w:szCs w:val="18"/>
          <w:lang w:val="es-ES" w:eastAsia="ja-JP"/>
        </w:rPr>
        <w:t xml:space="preserve"> </w:t>
      </w:r>
      <w:r w:rsidRPr="00810359">
        <w:rPr>
          <w:rFonts w:eastAsia="MS Mincho" w:cs="Arial"/>
          <w:i/>
          <w:szCs w:val="18"/>
          <w:lang w:val="es-ES" w:eastAsia="ja-JP"/>
        </w:rPr>
        <w:t>Media veda.Codorniz, Tórtola y Palomas</w:t>
      </w:r>
      <w:r w:rsidRPr="00810359">
        <w:rPr>
          <w:rFonts w:eastAsia="MS Mincho" w:cs="Arial"/>
          <w:szCs w:val="18"/>
          <w:lang w:val="es-ES" w:eastAsia="ja-JP"/>
        </w:rPr>
        <w:t xml:space="preserve">. </w:t>
      </w:r>
      <w:r w:rsidRPr="00890F11">
        <w:rPr>
          <w:rFonts w:eastAsia="MS Mincho" w:cs="Arial"/>
          <w:szCs w:val="18"/>
          <w:lang w:val="es-ES" w:eastAsia="ja-JP"/>
        </w:rPr>
        <w:t>Editorial Solitário, Madrid.</w:t>
      </w:r>
    </w:p>
    <w:p w14:paraId="2D9793E8"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2B11E5E0" w14:textId="77777777" w:rsidR="00C96521" w:rsidRPr="00890F11" w:rsidRDefault="00C96521" w:rsidP="00C96521">
      <w:pPr>
        <w:widowControl/>
        <w:spacing w:line="276" w:lineRule="auto"/>
        <w:rPr>
          <w:rFonts w:ascii="MS Shell Dlg 2" w:eastAsia="MS Mincho" w:hAnsi="MS Shell Dlg 2" w:cs="MS Shell Dlg 2"/>
          <w:sz w:val="17"/>
          <w:szCs w:val="17"/>
          <w:lang w:val="es-ES" w:eastAsia="ja-JP"/>
        </w:rPr>
      </w:pPr>
      <w:r w:rsidRPr="00890F11">
        <w:rPr>
          <w:rFonts w:eastAsia="MS Mincho" w:cs="Arial"/>
          <w:b/>
          <w:szCs w:val="18"/>
          <w:lang w:val="es-ES" w:eastAsia="ja-JP"/>
        </w:rPr>
        <w:t>MONTOYA JM and MÉSON M (1994)</w:t>
      </w:r>
      <w:r w:rsidRPr="00890F11">
        <w:rPr>
          <w:rFonts w:eastAsia="MS Mincho" w:cs="Arial"/>
          <w:szCs w:val="18"/>
          <w:lang w:val="es-ES" w:eastAsia="ja-JP"/>
        </w:rPr>
        <w:t xml:space="preserve"> </w:t>
      </w:r>
      <w:r w:rsidRPr="00890F11">
        <w:rPr>
          <w:rFonts w:eastAsia="MS Mincho" w:cs="Arial"/>
          <w:i/>
          <w:szCs w:val="18"/>
          <w:lang w:val="es-ES" w:eastAsia="ja-JP"/>
        </w:rPr>
        <w:t>La tortola y la Codorniz en España. Estado actual de estas especies cinegéticas</w:t>
      </w:r>
      <w:r w:rsidRPr="00890F11">
        <w:rPr>
          <w:rFonts w:eastAsia="MS Mincho" w:cs="Arial"/>
          <w:szCs w:val="18"/>
          <w:lang w:val="es-ES" w:eastAsia="ja-JP"/>
        </w:rPr>
        <w:t>. Federación Española de Caza</w:t>
      </w:r>
    </w:p>
    <w:p w14:paraId="68AC9DDC"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4130F8CF"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 xml:space="preserve">MUNTEANU D (2002) </w:t>
      </w:r>
      <w:r w:rsidRPr="00890F11">
        <w:rPr>
          <w:rFonts w:eastAsia="MS Mincho" w:cs="Arial"/>
          <w:i/>
          <w:szCs w:val="18"/>
          <w:lang w:val="es-ES" w:eastAsia="ja-JP"/>
        </w:rPr>
        <w:t>Atlasul pǎsǎrilor clocitoare din România – Ediţia II</w:t>
      </w:r>
      <w:r w:rsidRPr="00890F11">
        <w:rPr>
          <w:rFonts w:eastAsia="MS Mincho" w:cs="Arial"/>
          <w:szCs w:val="18"/>
          <w:lang w:val="es-ES" w:eastAsia="ja-JP"/>
        </w:rPr>
        <w:t>. Societatea Ornitologicā Românā, Cluj-Napoca.</w:t>
      </w:r>
    </w:p>
    <w:p w14:paraId="0EC5E8A8"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597B2522"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 xml:space="preserve">MUNTEANU D (2009) </w:t>
      </w:r>
      <w:r w:rsidRPr="00890F11">
        <w:rPr>
          <w:rFonts w:eastAsia="MS Mincho" w:cs="Arial"/>
          <w:i/>
          <w:szCs w:val="18"/>
          <w:lang w:val="es-ES" w:eastAsia="ja-JP"/>
        </w:rPr>
        <w:t>Păsări rare, vulnerabile şi periclitate în România</w:t>
      </w:r>
      <w:r w:rsidRPr="00890F11">
        <w:rPr>
          <w:rFonts w:eastAsia="MS Mincho" w:cs="Arial"/>
          <w:szCs w:val="18"/>
          <w:lang w:val="es-ES" w:eastAsia="ja-JP"/>
        </w:rPr>
        <w:t>. Editura Alma Mater, Cluj-Napoca.</w:t>
      </w:r>
    </w:p>
    <w:p w14:paraId="644C7AB7"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650CB7DD"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MUNTEANU A and ZUBCOV N (2010)</w:t>
      </w:r>
      <w:r w:rsidRPr="00890F11">
        <w:rPr>
          <w:rFonts w:eastAsia="MS Mincho" w:cs="Arial"/>
          <w:b/>
          <w:bCs/>
          <w:szCs w:val="18"/>
          <w:lang w:val="es-ES" w:eastAsia="ja-JP"/>
        </w:rPr>
        <w:t xml:space="preserve"> </w:t>
      </w:r>
      <w:r w:rsidRPr="00890F11">
        <w:rPr>
          <w:rFonts w:eastAsia="MS Mincho" w:cs="Arial"/>
          <w:i/>
          <w:szCs w:val="18"/>
          <w:lang w:val="es-ES" w:eastAsia="ja-JP"/>
        </w:rPr>
        <w:t xml:space="preserve">Atlasul păsărilor clocitoare din Republica Moldova. </w:t>
      </w:r>
      <w:r w:rsidRPr="00890F11">
        <w:rPr>
          <w:rFonts w:eastAsia="MS Mincho" w:cs="Arial"/>
          <w:szCs w:val="18"/>
          <w:lang w:val="es-ES" w:eastAsia="ja-JP"/>
        </w:rPr>
        <w:t>Institutul de Zoologie al Academiei de Ştiinţe a Moldovei Societatea Ornitologică din Republica Moldova, Chişinău.</w:t>
      </w:r>
    </w:p>
    <w:p w14:paraId="33F67D04"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1226D33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MURTON R K (1968)</w:t>
      </w:r>
      <w:r w:rsidRPr="00C96521">
        <w:rPr>
          <w:rFonts w:eastAsia="MS Mincho" w:cs="Arial"/>
          <w:bCs/>
          <w:szCs w:val="18"/>
          <w:lang w:val="en-GB" w:eastAsia="ja-JP"/>
        </w:rPr>
        <w:t xml:space="preserve"> </w:t>
      </w:r>
      <w:r w:rsidRPr="00C96521">
        <w:rPr>
          <w:rFonts w:eastAsia="MS Mincho" w:cs="Arial"/>
          <w:szCs w:val="18"/>
          <w:lang w:val="en-GB" w:eastAsia="ja-JP"/>
        </w:rPr>
        <w:t xml:space="preserve">Breeding, migration and survival of Turtle-doves. </w:t>
      </w:r>
      <w:r w:rsidRPr="00C96521">
        <w:rPr>
          <w:rFonts w:eastAsia="MS Mincho" w:cs="Arial"/>
          <w:i/>
          <w:iCs/>
          <w:szCs w:val="18"/>
          <w:lang w:val="en-GB" w:eastAsia="ja-JP"/>
        </w:rPr>
        <w:t xml:space="preserve">British Birds </w:t>
      </w:r>
      <w:r w:rsidRPr="00C96521">
        <w:rPr>
          <w:rFonts w:eastAsia="MS Mincho" w:cs="Arial"/>
          <w:szCs w:val="18"/>
          <w:lang w:val="en-GB" w:eastAsia="ja-JP"/>
        </w:rPr>
        <w:t>61(5): 193-212.</w:t>
      </w:r>
    </w:p>
    <w:p w14:paraId="76822A9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AA7D5F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THE N2K GROUP (2014)</w:t>
      </w:r>
      <w:r w:rsidRPr="00C96521">
        <w:rPr>
          <w:rFonts w:eastAsia="MS Mincho" w:cs="Arial"/>
          <w:szCs w:val="18"/>
          <w:lang w:val="en-GB" w:eastAsia="ja-JP"/>
        </w:rPr>
        <w:t xml:space="preserve"> </w:t>
      </w:r>
      <w:r w:rsidRPr="00C96521">
        <w:rPr>
          <w:rFonts w:eastAsia="MS Mincho" w:cs="Arial"/>
          <w:i/>
          <w:szCs w:val="18"/>
          <w:lang w:val="en-GB" w:eastAsia="ja-JP"/>
        </w:rPr>
        <w:t>Implementation review for 13 Management Plans for birds</w:t>
      </w:r>
      <w:r w:rsidRPr="00C96521">
        <w:rPr>
          <w:rFonts w:eastAsia="MS Mincho" w:cs="Arial"/>
          <w:szCs w:val="18"/>
          <w:lang w:val="en-GB" w:eastAsia="ja-JP"/>
        </w:rPr>
        <w:t>. Prepared for the European Commission, Directorate General Environment, B3 Unit in the framework of the Service Contract N° 070307/2012/635359/SER/B2.</w:t>
      </w:r>
    </w:p>
    <w:p w14:paraId="13C93889"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98A895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NAMROUQA H (2016)</w:t>
      </w:r>
      <w:r w:rsidRPr="00C96521">
        <w:rPr>
          <w:rFonts w:eastAsia="MS Mincho" w:cs="Arial"/>
          <w:szCs w:val="18"/>
          <w:lang w:val="en-GB" w:eastAsia="ja-JP"/>
        </w:rPr>
        <w:t xml:space="preserve"> Nature society says hunting turtle-doves prohibited. </w:t>
      </w:r>
      <w:r w:rsidRPr="00C96521">
        <w:rPr>
          <w:rFonts w:eastAsia="MS Mincho" w:cs="Arial"/>
          <w:i/>
          <w:szCs w:val="18"/>
          <w:lang w:val="en-GB" w:eastAsia="ja-JP"/>
        </w:rPr>
        <w:t>The Jordan Times</w:t>
      </w:r>
      <w:r w:rsidRPr="00C96521">
        <w:rPr>
          <w:rFonts w:eastAsia="MS Mincho" w:cs="Arial"/>
          <w:szCs w:val="18"/>
          <w:lang w:val="en-GB" w:eastAsia="ja-JP"/>
        </w:rPr>
        <w:t xml:space="preserve"> 05/07/2016. http://www.jordantimes.com/news/local/nature-society-says-hunting-turtle-doves-prohibited (last accessed 12th December 2016).</w:t>
      </w:r>
    </w:p>
    <w:p w14:paraId="42C43AA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D0A12C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NARDELLI R, ANDREOTTI A, BIANCHI E, BRAMBILLA M, BRECCIAROLI B, CELADA C, DUPRÉ E, GUSTIN M, LONGONI V, PIRRELLO S, SPINA F, VOLPONI S and SERRA l (2015)</w:t>
      </w:r>
      <w:r w:rsidRPr="00C96521">
        <w:rPr>
          <w:rFonts w:eastAsia="MS Mincho" w:cs="Arial"/>
          <w:szCs w:val="18"/>
          <w:lang w:val="en-GB" w:eastAsia="ja-JP"/>
        </w:rPr>
        <w:t xml:space="preserve"> </w:t>
      </w:r>
      <w:r w:rsidRPr="00C96521">
        <w:rPr>
          <w:rFonts w:eastAsia="MS Mincho" w:cs="Arial"/>
          <w:i/>
          <w:szCs w:val="18"/>
          <w:lang w:val="en-GB" w:eastAsia="ja-JP"/>
        </w:rPr>
        <w:t xml:space="preserve">Rapporto sull'applicazione della Direttiva 147/2009/CE in Italia: dimensione, distribuzione e trend delle popolazioni di uccelli (2008-2012). Report Series 219. </w:t>
      </w:r>
      <w:r w:rsidRPr="00C96521">
        <w:rPr>
          <w:rFonts w:eastAsia="MS Mincho" w:cs="Arial"/>
          <w:szCs w:val="18"/>
          <w:lang w:val="en-GB" w:eastAsia="ja-JP"/>
        </w:rPr>
        <w:t>European Commission, ISPRA.</w:t>
      </w:r>
      <w:r w:rsidRPr="00C96521">
        <w:rPr>
          <w:rFonts w:eastAsia="MS Mincho" w:cs="Arial"/>
          <w:i/>
          <w:szCs w:val="18"/>
          <w:lang w:val="en-GB" w:eastAsia="ja-JP"/>
        </w:rPr>
        <w:t xml:space="preserve"> </w:t>
      </w:r>
    </w:p>
    <w:p w14:paraId="067EF912"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025D16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NEWSON SE, MORAN NJ, MUSGROVE AJ, PEARCE-HIGGINS JW, GILLINGS S, ATKINSON PW, MILLER R, GRANTHAM MJ and BAILLIE SR (2016)</w:t>
      </w:r>
      <w:r w:rsidRPr="00C96521">
        <w:rPr>
          <w:rFonts w:eastAsia="MS Mincho" w:cs="Arial"/>
          <w:szCs w:val="18"/>
          <w:lang w:val="en-GB" w:eastAsia="ja-JP"/>
        </w:rPr>
        <w:t xml:space="preserve"> Long-term changes in the migration phenology of UK breeding birds detected by large-scale citizen science recording schemes. </w:t>
      </w:r>
      <w:r w:rsidRPr="00C96521">
        <w:rPr>
          <w:rFonts w:eastAsia="MS Mincho" w:cs="Arial"/>
          <w:i/>
          <w:szCs w:val="18"/>
          <w:lang w:val="en-GB" w:eastAsia="ja-JP"/>
        </w:rPr>
        <w:t>Ibis</w:t>
      </w:r>
      <w:r w:rsidRPr="00C96521">
        <w:rPr>
          <w:rFonts w:eastAsia="MS Mincho" w:cs="Arial"/>
          <w:szCs w:val="18"/>
          <w:lang w:val="en-GB" w:eastAsia="ja-JP"/>
        </w:rPr>
        <w:t xml:space="preserve"> 158(3): 481-495.</w:t>
      </w:r>
    </w:p>
    <w:p w14:paraId="55E00AAD"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F06850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NIEL C and LEBRETON JD (2005)</w:t>
      </w:r>
      <w:r w:rsidRPr="00C96521">
        <w:rPr>
          <w:rFonts w:eastAsia="MS Mincho" w:cs="Arial"/>
          <w:szCs w:val="18"/>
          <w:lang w:val="en-GB" w:eastAsia="ja-JP"/>
        </w:rPr>
        <w:t xml:space="preserve"> Using demographic invariants to detect overharvested bird populations from incomplete data. </w:t>
      </w:r>
      <w:r w:rsidRPr="00C96521">
        <w:rPr>
          <w:rFonts w:eastAsia="MS Mincho" w:cs="Arial"/>
          <w:i/>
          <w:szCs w:val="18"/>
          <w:lang w:val="en-GB" w:eastAsia="ja-JP"/>
        </w:rPr>
        <w:t>Conservation Biology</w:t>
      </w:r>
      <w:r w:rsidRPr="00C96521">
        <w:rPr>
          <w:rFonts w:eastAsia="MS Mincho" w:cs="Arial"/>
          <w:szCs w:val="18"/>
          <w:lang w:val="en-GB" w:eastAsia="ja-JP"/>
        </w:rPr>
        <w:t xml:space="preserve"> 19(3) : 826–835.</w:t>
      </w:r>
    </w:p>
    <w:p w14:paraId="082988BA"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C6F09B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color w:val="000000"/>
          <w:szCs w:val="18"/>
          <w:shd w:val="clear" w:color="auto" w:fill="FFFFFF"/>
          <w:lang w:val="en-GB" w:eastAsia="ja-JP"/>
        </w:rPr>
        <w:t>NYEGAARD T, MELTOFTE H, TOFFT J and GRELL M (</w:t>
      </w:r>
      <w:r w:rsidRPr="00C96521">
        <w:rPr>
          <w:rFonts w:eastAsia="MS Mincho" w:cs="Arial"/>
          <w:b/>
          <w:szCs w:val="18"/>
          <w:lang w:val="en-GB" w:eastAsia="ja-JP"/>
        </w:rPr>
        <w:t>2014)</w:t>
      </w:r>
      <w:r w:rsidRPr="00C96521">
        <w:rPr>
          <w:rFonts w:eastAsia="MS Mincho" w:cs="Arial"/>
          <w:szCs w:val="18"/>
          <w:lang w:val="en-GB" w:eastAsia="ja-JP"/>
        </w:rPr>
        <w:t xml:space="preserve"> Truede og sjældne ynglefugle i Danmark 1998-2012. </w:t>
      </w:r>
      <w:r w:rsidRPr="00C96521">
        <w:rPr>
          <w:rFonts w:eastAsia="MS Mincho" w:cs="Arial"/>
          <w:i/>
          <w:szCs w:val="18"/>
          <w:lang w:val="en-GB" w:eastAsia="ja-JP"/>
        </w:rPr>
        <w:t>DOFT (Journal of the Danish Ornithological Society)</w:t>
      </w:r>
      <w:r w:rsidRPr="00C96521">
        <w:rPr>
          <w:rFonts w:eastAsia="MS Mincho" w:cs="Arial"/>
          <w:szCs w:val="18"/>
          <w:lang w:val="en-GB" w:eastAsia="ja-JP"/>
        </w:rPr>
        <w:t xml:space="preserve"> 108: 1-144.</w:t>
      </w:r>
    </w:p>
    <w:p w14:paraId="0AD533B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02C97DE"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color w:val="000000"/>
          <w:szCs w:val="18"/>
          <w:shd w:val="clear" w:color="auto" w:fill="FFFFFF"/>
          <w:lang w:val="en-GB" w:eastAsia="ja-JP"/>
        </w:rPr>
        <w:t xml:space="preserve">OCKENDON N, JOHNSTON A and BAILLIE SR (2014) </w:t>
      </w:r>
      <w:r w:rsidRPr="00C96521">
        <w:rPr>
          <w:rFonts w:eastAsia="MS Mincho" w:cs="Arial"/>
          <w:szCs w:val="18"/>
          <w:lang w:val="en-GB" w:eastAsia="ja-JP"/>
        </w:rPr>
        <w:t xml:space="preserve">Rainfall on wintering grounds affects population change in many species of Afro-Palaearctic migrants. </w:t>
      </w:r>
      <w:r w:rsidRPr="00C96521">
        <w:rPr>
          <w:rFonts w:eastAsia="MS Mincho" w:cs="Arial"/>
          <w:i/>
          <w:szCs w:val="18"/>
          <w:lang w:val="en-GB" w:eastAsia="ja-JP"/>
        </w:rPr>
        <w:t>Journal of Ornithology</w:t>
      </w:r>
      <w:r w:rsidRPr="00C96521">
        <w:rPr>
          <w:rFonts w:eastAsia="MS Mincho" w:cs="Arial"/>
          <w:szCs w:val="18"/>
          <w:lang w:val="en-GB" w:eastAsia="ja-JP"/>
        </w:rPr>
        <w:t xml:space="preserve"> 155(4): 905-917.</w:t>
      </w:r>
    </w:p>
    <w:p w14:paraId="39CAEA9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895FBD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color w:val="000000"/>
          <w:szCs w:val="18"/>
          <w:shd w:val="clear" w:color="auto" w:fill="FFFFFF"/>
          <w:lang w:val="en-GB" w:eastAsia="ja-JP"/>
        </w:rPr>
        <w:lastRenderedPageBreak/>
        <w:t>PANAYIDES P (2005)</w:t>
      </w:r>
      <w:r w:rsidRPr="00C96521">
        <w:rPr>
          <w:rFonts w:eastAsia="MS Mincho" w:cs="Arial"/>
          <w:szCs w:val="18"/>
          <w:lang w:val="en-GB" w:eastAsia="ja-JP"/>
        </w:rPr>
        <w:t xml:space="preserve"> Six aspects of land use and development activity that result in adverse effects to Cypriot wildlife resources. </w:t>
      </w:r>
      <w:r w:rsidRPr="00C96521">
        <w:rPr>
          <w:rFonts w:eastAsia="MS Mincho" w:cs="Arial"/>
          <w:i/>
          <w:szCs w:val="18"/>
          <w:lang w:val="en-GB" w:eastAsia="ja-JP"/>
        </w:rPr>
        <w:t>Proceedings of the XXVth International Congress of the International Union of Game Biologists – IUGB and the IXth International Symposium Perdix</w:t>
      </w:r>
      <w:r w:rsidRPr="00C96521">
        <w:rPr>
          <w:rFonts w:eastAsia="MS Mincho" w:cs="Arial"/>
          <w:szCs w:val="18"/>
          <w:lang w:val="en-GB" w:eastAsia="ja-JP"/>
        </w:rPr>
        <w:t xml:space="preserve"> 2: 182-196.</w:t>
      </w:r>
    </w:p>
    <w:p w14:paraId="6CEA68C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7C26AB0"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PATRIKEEV M (2004)</w:t>
      </w:r>
      <w:r w:rsidRPr="00C96521">
        <w:rPr>
          <w:rFonts w:eastAsia="MS Mincho" w:cs="Arial"/>
          <w:szCs w:val="18"/>
          <w:lang w:val="en-GB" w:eastAsia="ja-JP"/>
        </w:rPr>
        <w:t xml:space="preserve"> </w:t>
      </w:r>
      <w:r w:rsidRPr="00C96521">
        <w:rPr>
          <w:rFonts w:eastAsia="MS Mincho" w:cs="Arial"/>
          <w:i/>
          <w:szCs w:val="18"/>
          <w:lang w:val="en-GB" w:eastAsia="ja-JP"/>
        </w:rPr>
        <w:t>The Birds of Azerbaijan 1999-2003 Edition</w:t>
      </w:r>
      <w:r w:rsidRPr="00C96521">
        <w:rPr>
          <w:rFonts w:eastAsia="MS Mincho" w:cs="Arial"/>
          <w:szCs w:val="18"/>
          <w:lang w:val="en-GB" w:eastAsia="ja-JP"/>
        </w:rPr>
        <w:t>. Pensoft Publishers, Sofia-Moscow.</w:t>
      </w:r>
    </w:p>
    <w:p w14:paraId="7883DE64"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75F7974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PARSLOW JLF (1967)</w:t>
      </w:r>
      <w:r w:rsidRPr="00C96521">
        <w:rPr>
          <w:rFonts w:eastAsia="MS Mincho" w:cs="Arial"/>
          <w:bCs/>
          <w:szCs w:val="18"/>
          <w:lang w:val="en-GB" w:eastAsia="ja-JP"/>
        </w:rPr>
        <w:t xml:space="preserve"> </w:t>
      </w:r>
      <w:r w:rsidRPr="00C96521">
        <w:rPr>
          <w:rFonts w:eastAsia="MS Mincho" w:cs="Arial"/>
          <w:szCs w:val="18"/>
          <w:lang w:val="en-GB" w:eastAsia="ja-JP"/>
        </w:rPr>
        <w:t xml:space="preserve">Changes in status among breeding birds in Britain and Ireland. </w:t>
      </w:r>
      <w:r w:rsidRPr="00C96521">
        <w:rPr>
          <w:rFonts w:eastAsia="MS Mincho" w:cs="Arial"/>
          <w:i/>
          <w:szCs w:val="18"/>
          <w:lang w:val="en-GB" w:eastAsia="ja-JP"/>
        </w:rPr>
        <w:t>British Birds</w:t>
      </w:r>
      <w:r w:rsidRPr="00C96521">
        <w:rPr>
          <w:rFonts w:eastAsia="MS Mincho" w:cs="Arial"/>
          <w:szCs w:val="18"/>
          <w:lang w:val="en-GB" w:eastAsia="ja-JP"/>
        </w:rPr>
        <w:t xml:space="preserve"> 60: 177-202.</w:t>
      </w:r>
    </w:p>
    <w:p w14:paraId="3673E08E"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67A6601" w14:textId="77777777" w:rsidR="00C96521" w:rsidRPr="00890F11" w:rsidRDefault="00C96521" w:rsidP="00C96521">
      <w:pPr>
        <w:widowControl/>
        <w:spacing w:line="276" w:lineRule="auto"/>
        <w:rPr>
          <w:rFonts w:eastAsia="Calibri" w:cs="Arial"/>
          <w:color w:val="000000"/>
          <w:szCs w:val="18"/>
          <w:lang w:val="es-ES"/>
        </w:rPr>
      </w:pPr>
      <w:r w:rsidRPr="00C96521">
        <w:rPr>
          <w:rFonts w:eastAsia="Calibri" w:cs="Arial"/>
          <w:b/>
          <w:color w:val="000000"/>
          <w:szCs w:val="18"/>
          <w:lang w:val="en-GB"/>
        </w:rPr>
        <w:t>PERLMAN Y, HAVIV E, MAYROSE A, LABINGER Z, KIAT Y, VINE G, STEINITZ O and ALON D (2016)</w:t>
      </w:r>
      <w:r w:rsidRPr="00C96521">
        <w:rPr>
          <w:rFonts w:eastAsia="Calibri" w:cs="Arial"/>
          <w:color w:val="000000"/>
          <w:szCs w:val="18"/>
          <w:lang w:val="en-GB"/>
        </w:rPr>
        <w:t xml:space="preserve"> </w:t>
      </w:r>
      <w:r w:rsidRPr="00C96521">
        <w:rPr>
          <w:rFonts w:eastAsia="Calibri" w:cs="Arial"/>
          <w:i/>
          <w:color w:val="000000"/>
          <w:szCs w:val="18"/>
          <w:lang w:val="en-GB"/>
        </w:rPr>
        <w:t>European Turtle-dove (</w:t>
      </w:r>
      <w:r w:rsidRPr="00C96521">
        <w:rPr>
          <w:rFonts w:eastAsia="Calibri" w:cs="Arial"/>
          <w:color w:val="000000"/>
          <w:szCs w:val="18"/>
          <w:lang w:val="en-GB"/>
        </w:rPr>
        <w:t>Streptopelia turtur</w:t>
      </w:r>
      <w:r w:rsidRPr="00C96521">
        <w:rPr>
          <w:rFonts w:eastAsia="Calibri" w:cs="Arial"/>
          <w:i/>
          <w:color w:val="000000"/>
          <w:szCs w:val="18"/>
          <w:lang w:val="en-GB"/>
        </w:rPr>
        <w:t>) in Israel – status and trends, May 2016</w:t>
      </w:r>
      <w:r w:rsidRPr="00C96521">
        <w:rPr>
          <w:rFonts w:eastAsia="Calibri" w:cs="Arial"/>
          <w:color w:val="000000"/>
          <w:szCs w:val="18"/>
          <w:lang w:val="en-GB"/>
        </w:rPr>
        <w:t xml:space="preserve">. </w:t>
      </w:r>
      <w:r w:rsidRPr="00890F11">
        <w:rPr>
          <w:rFonts w:eastAsia="Calibri" w:cs="Arial"/>
          <w:color w:val="000000"/>
          <w:szCs w:val="18"/>
          <w:lang w:val="es-ES"/>
        </w:rPr>
        <w:t>Unpublished.</w:t>
      </w:r>
    </w:p>
    <w:p w14:paraId="70A7F39A"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76394078"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PETROVICI M (2015)</w:t>
      </w:r>
      <w:r w:rsidRPr="00890F11">
        <w:rPr>
          <w:rFonts w:eastAsia="MS Mincho" w:cs="Arial"/>
          <w:szCs w:val="18"/>
          <w:lang w:val="es-ES" w:eastAsia="ja-JP"/>
        </w:rPr>
        <w:t xml:space="preserve"> </w:t>
      </w:r>
      <w:r w:rsidRPr="00890F11">
        <w:rPr>
          <w:rFonts w:eastAsia="MS Mincho" w:cs="Arial"/>
          <w:i/>
          <w:szCs w:val="18"/>
          <w:lang w:val="es-ES" w:eastAsia="ja-JP"/>
        </w:rPr>
        <w:t>Atlas al speciilor de păsări de interes comunitar din România</w:t>
      </w:r>
      <w:r w:rsidRPr="00890F11">
        <w:rPr>
          <w:rFonts w:eastAsia="MS Mincho" w:cs="Arial"/>
          <w:szCs w:val="18"/>
          <w:lang w:val="es-ES" w:eastAsia="ja-JP"/>
        </w:rPr>
        <w:t xml:space="preserve">. Societatea Ornitologică Română/BirdLife International și Asociația pentru Protecția Păsărilor și a Naturii </w:t>
      </w:r>
      <w:r w:rsidRPr="00890F11">
        <w:rPr>
          <w:rFonts w:eastAsia="MS Mincho" w:cs="Arial"/>
          <w:i/>
          <w:szCs w:val="18"/>
          <w:lang w:val="es-ES" w:eastAsia="ja-JP"/>
        </w:rPr>
        <w:t>Grupul Milvus</w:t>
      </w:r>
      <w:r w:rsidRPr="00890F11">
        <w:rPr>
          <w:rFonts w:eastAsia="MS Mincho" w:cs="Arial"/>
          <w:szCs w:val="18"/>
          <w:lang w:val="es-ES" w:eastAsia="ja-JP"/>
        </w:rPr>
        <w:t>, Bucharest.</w:t>
      </w:r>
    </w:p>
    <w:p w14:paraId="0D6B4098"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6699CA94" w14:textId="77777777" w:rsidR="00C96521" w:rsidRPr="00C96521" w:rsidRDefault="00C96521" w:rsidP="00C96521">
      <w:pPr>
        <w:widowControl/>
        <w:autoSpaceDE/>
        <w:autoSpaceDN/>
        <w:adjustRightInd/>
        <w:spacing w:line="276" w:lineRule="auto"/>
        <w:rPr>
          <w:rFonts w:eastAsia="MS Mincho" w:cs="Arial"/>
          <w:i/>
          <w:szCs w:val="18"/>
          <w:lang w:val="en-GB" w:eastAsia="ja-JP"/>
        </w:rPr>
      </w:pPr>
      <w:r w:rsidRPr="00C96521">
        <w:rPr>
          <w:rFonts w:eastAsia="MS Mincho" w:cs="Arial"/>
          <w:b/>
          <w:szCs w:val="18"/>
          <w:lang w:val="en-GB" w:eastAsia="ja-JP"/>
        </w:rPr>
        <w:t>PREOBRAZHENSKAYA ES (2009)</w:t>
      </w:r>
      <w:r w:rsidRPr="00C96521">
        <w:rPr>
          <w:rFonts w:eastAsia="MS Mincho" w:cs="Arial"/>
          <w:i/>
          <w:szCs w:val="18"/>
          <w:lang w:val="en-GB" w:eastAsia="ja-JP"/>
        </w:rPr>
        <w:t xml:space="preserve"> </w:t>
      </w:r>
      <w:r w:rsidRPr="00C96521">
        <w:rPr>
          <w:rFonts w:eastAsia="MS Mincho" w:cs="Arial"/>
          <w:szCs w:val="18"/>
          <w:lang w:val="en-GB" w:eastAsia="ja-JP"/>
        </w:rPr>
        <w:t xml:space="preserve">Numbers of some rare bird species in Unzha taiga and their changes in 1978-2009. </w:t>
      </w:r>
      <w:r w:rsidRPr="00C96521">
        <w:rPr>
          <w:rFonts w:eastAsia="MS Mincho" w:cs="Arial"/>
          <w:i/>
          <w:szCs w:val="18"/>
          <w:lang w:val="en-GB" w:eastAsia="ja-JP"/>
        </w:rPr>
        <w:t>Rare bird species of Non-Chernozem Centre of Russia. Proc. of IVth Conference</w:t>
      </w:r>
      <w:r w:rsidRPr="00C96521">
        <w:rPr>
          <w:rFonts w:eastAsia="MS Mincho" w:cs="Arial"/>
          <w:szCs w:val="18"/>
          <w:lang w:val="en-GB" w:eastAsia="ja-JP"/>
        </w:rPr>
        <w:t>. Moscow. pp 43-49. [in Russian]</w:t>
      </w:r>
    </w:p>
    <w:p w14:paraId="34FD74EB"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7A7B3D73"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C96521">
        <w:rPr>
          <w:rFonts w:eastAsia="MS Mincho" w:cs="Arial"/>
          <w:b/>
          <w:szCs w:val="18"/>
          <w:lang w:val="en-GB" w:eastAsia="ja-JP"/>
        </w:rPr>
        <w:t>PRIEDNIEKS J, STRAZDS M, STRAZDS A and PETRINS A (1989)</w:t>
      </w:r>
      <w:r w:rsidRPr="00C96521">
        <w:rPr>
          <w:rFonts w:eastAsia="MS Mincho" w:cs="Arial"/>
          <w:szCs w:val="18"/>
          <w:lang w:val="en-GB" w:eastAsia="ja-JP"/>
        </w:rPr>
        <w:t xml:space="preserve"> </w:t>
      </w:r>
      <w:r w:rsidRPr="00C96521">
        <w:rPr>
          <w:rFonts w:eastAsia="MS Mincho" w:cs="Arial"/>
          <w:i/>
          <w:szCs w:val="18"/>
          <w:lang w:val="en-GB" w:eastAsia="ja-JP"/>
        </w:rPr>
        <w:t>Latvijas Ligzdojošo Putnu Atlants 1980-1984</w:t>
      </w:r>
      <w:r w:rsidRPr="00C96521">
        <w:rPr>
          <w:rFonts w:eastAsia="MS Mincho" w:cs="Arial"/>
          <w:szCs w:val="18"/>
          <w:lang w:val="en-GB" w:eastAsia="ja-JP"/>
        </w:rPr>
        <w:t xml:space="preserve">. </w:t>
      </w:r>
      <w:r w:rsidRPr="00890F11">
        <w:rPr>
          <w:rFonts w:eastAsia="MS Mincho" w:cs="Arial"/>
          <w:szCs w:val="18"/>
          <w:lang w:val="es-ES" w:eastAsia="ja-JP"/>
        </w:rPr>
        <w:t>Rīga Zinātne, Riga.</w:t>
      </w:r>
    </w:p>
    <w:p w14:paraId="64F15C10"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1A65B23F"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bCs/>
          <w:szCs w:val="18"/>
          <w:lang w:val="es-ES" w:eastAsia="ja-JP"/>
        </w:rPr>
        <w:t>PURROY F (1997)</w:t>
      </w:r>
      <w:r w:rsidRPr="00890F11">
        <w:rPr>
          <w:rFonts w:eastAsia="MS Mincho" w:cs="Arial"/>
          <w:bCs/>
          <w:szCs w:val="18"/>
          <w:lang w:val="es-ES" w:eastAsia="ja-JP"/>
        </w:rPr>
        <w:t xml:space="preserve"> </w:t>
      </w:r>
      <w:r w:rsidRPr="00890F11">
        <w:rPr>
          <w:rFonts w:eastAsia="MS Mincho" w:cs="Arial"/>
          <w:i/>
          <w:szCs w:val="18"/>
          <w:lang w:val="es-ES" w:eastAsia="ja-JP"/>
        </w:rPr>
        <w:t>Atlas de las aves de España (1975/1995</w:t>
      </w:r>
      <w:r w:rsidRPr="00890F11">
        <w:rPr>
          <w:rFonts w:eastAsia="MS Mincho" w:cs="Arial"/>
          <w:szCs w:val="18"/>
          <w:lang w:val="es-ES" w:eastAsia="ja-JP"/>
        </w:rPr>
        <w:t>). SEO/LYNX Edicions, Barcelona.</w:t>
      </w:r>
    </w:p>
    <w:p w14:paraId="4A73EBF5"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5C30045F" w14:textId="77777777" w:rsidR="00C96521" w:rsidRPr="00965D7D" w:rsidRDefault="00C96521" w:rsidP="00C96521">
      <w:pPr>
        <w:widowControl/>
        <w:autoSpaceDE/>
        <w:autoSpaceDN/>
        <w:adjustRightInd/>
        <w:spacing w:line="276" w:lineRule="auto"/>
        <w:rPr>
          <w:rFonts w:eastAsia="MS Mincho" w:cs="Arial"/>
          <w:szCs w:val="18"/>
          <w:lang w:val="de-DE" w:eastAsia="ja-JP"/>
        </w:rPr>
      </w:pPr>
      <w:r w:rsidRPr="00890F11">
        <w:rPr>
          <w:rFonts w:eastAsia="MS Mincho" w:cs="Arial"/>
          <w:b/>
          <w:szCs w:val="18"/>
          <w:lang w:val="es-ES" w:eastAsia="ja-JP"/>
        </w:rPr>
        <w:t>PUZOVIĆ S, SIMIC D, SAVELJIĆ D, GERGELJ J, TUCAKOV M, STONJNIĆ N, HULO I, HAM I, VIZI O, SCIBAN M, RUZIC M, VUCANOVIC M and JOVANOVIC T (2003)</w:t>
      </w:r>
      <w:r w:rsidRPr="00890F11">
        <w:rPr>
          <w:rFonts w:eastAsia="MS Mincho" w:cs="Arial"/>
          <w:szCs w:val="18"/>
          <w:lang w:val="es-ES" w:eastAsia="ja-JP"/>
        </w:rPr>
        <w:t xml:space="preserve"> Birds of Serbia and Montenegro - size of nesting populations and trends: 1990-2002. </w:t>
      </w:r>
      <w:r w:rsidRPr="00965D7D">
        <w:rPr>
          <w:rFonts w:eastAsia="MS Mincho" w:cs="Arial"/>
          <w:i/>
          <w:szCs w:val="18"/>
          <w:lang w:val="de-DE" w:eastAsia="ja-JP"/>
        </w:rPr>
        <w:t>Ciconia</w:t>
      </w:r>
      <w:r w:rsidRPr="00965D7D">
        <w:rPr>
          <w:rFonts w:eastAsia="MS Mincho" w:cs="Arial"/>
          <w:szCs w:val="18"/>
          <w:lang w:val="de-DE" w:eastAsia="ja-JP"/>
        </w:rPr>
        <w:t> 12: 36-120.</w:t>
      </w:r>
    </w:p>
    <w:p w14:paraId="39249FB5" w14:textId="77777777" w:rsidR="00C96521" w:rsidRPr="00965D7D" w:rsidRDefault="00C96521" w:rsidP="00C96521">
      <w:pPr>
        <w:widowControl/>
        <w:autoSpaceDE/>
        <w:autoSpaceDN/>
        <w:adjustRightInd/>
        <w:spacing w:line="276" w:lineRule="auto"/>
        <w:rPr>
          <w:rFonts w:eastAsia="MS Mincho" w:cs="Arial"/>
          <w:szCs w:val="18"/>
          <w:lang w:val="de-DE" w:eastAsia="ja-JP"/>
        </w:rPr>
      </w:pPr>
    </w:p>
    <w:p w14:paraId="4D0FAB8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965D7D">
        <w:rPr>
          <w:rFonts w:eastAsia="MS Mincho" w:cs="Arial"/>
          <w:b/>
          <w:szCs w:val="18"/>
          <w:lang w:val="de-DE" w:eastAsia="ja-JP"/>
        </w:rPr>
        <w:t xml:space="preserve">QUILLFELDT P, KLEEMAN L and MARX M (2014) </w:t>
      </w:r>
      <w:r w:rsidRPr="00965D7D">
        <w:rPr>
          <w:rFonts w:eastAsia="MS Mincho" w:cs="Arial"/>
          <w:szCs w:val="18"/>
          <w:lang w:val="de-DE" w:eastAsia="ja-JP"/>
        </w:rPr>
        <w:t xml:space="preserve">Hessen, Deutschland, Europa: Turteltauben im Fokus. </w:t>
      </w:r>
      <w:r w:rsidRPr="00C96521">
        <w:rPr>
          <w:rFonts w:eastAsia="MS Mincho" w:cs="Arial"/>
          <w:i/>
          <w:szCs w:val="18"/>
          <w:lang w:val="en-GB" w:eastAsia="ja-JP"/>
        </w:rPr>
        <w:t>Der Falke</w:t>
      </w:r>
      <w:r w:rsidRPr="00C96521">
        <w:rPr>
          <w:rFonts w:eastAsia="MS Mincho" w:cs="Arial"/>
          <w:szCs w:val="18"/>
          <w:lang w:val="en-GB" w:eastAsia="ja-JP"/>
        </w:rPr>
        <w:t xml:space="preserve"> 61 (2): 32-33.</w:t>
      </w:r>
    </w:p>
    <w:p w14:paraId="6D338260"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6C1D892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RAINE AF (2007)</w:t>
      </w:r>
      <w:r w:rsidRPr="00C96521">
        <w:rPr>
          <w:rFonts w:eastAsia="MS Mincho" w:cs="Arial"/>
          <w:szCs w:val="18"/>
          <w:lang w:val="en-GB" w:eastAsia="ja-JP"/>
        </w:rPr>
        <w:t xml:space="preserve"> </w:t>
      </w:r>
      <w:r w:rsidRPr="00C96521">
        <w:rPr>
          <w:rFonts w:eastAsia="MS Mincho" w:cs="Arial"/>
          <w:i/>
          <w:szCs w:val="18"/>
          <w:lang w:val="en-GB" w:eastAsia="ja-JP"/>
        </w:rPr>
        <w:t>The international impact of hunting and trapping in the Maltese islands</w:t>
      </w:r>
      <w:r w:rsidRPr="00C96521">
        <w:rPr>
          <w:rFonts w:eastAsia="MS Mincho" w:cs="Arial"/>
          <w:szCs w:val="18"/>
          <w:lang w:val="en-GB" w:eastAsia="ja-JP"/>
        </w:rPr>
        <w:t>. BirdLife Malta, Valleta.</w:t>
      </w:r>
    </w:p>
    <w:p w14:paraId="44233C6A"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16D17E9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RAINE A, SULTANA J and GILLINGS S (2009)</w:t>
      </w:r>
      <w:r w:rsidRPr="00C96521">
        <w:rPr>
          <w:rFonts w:eastAsia="MS Mincho" w:cs="Arial"/>
          <w:szCs w:val="18"/>
          <w:lang w:val="en-GB" w:eastAsia="ja-JP"/>
        </w:rPr>
        <w:t xml:space="preserve"> </w:t>
      </w:r>
      <w:r w:rsidRPr="00C96521">
        <w:rPr>
          <w:rFonts w:eastAsia="MS Mincho" w:cs="Arial"/>
          <w:i/>
          <w:szCs w:val="18"/>
          <w:lang w:val="en-GB" w:eastAsia="ja-JP"/>
        </w:rPr>
        <w:t>Malta Breeding Bird Atlas 2008</w:t>
      </w:r>
      <w:r w:rsidRPr="00C96521">
        <w:rPr>
          <w:rFonts w:eastAsia="MS Mincho" w:cs="Arial"/>
          <w:szCs w:val="18"/>
          <w:lang w:val="en-GB" w:eastAsia="ja-JP"/>
        </w:rPr>
        <w:t>. BirdLife Malta, Valleta.</w:t>
      </w:r>
    </w:p>
    <w:p w14:paraId="7DF2E0D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9A789F7"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REIF J, VORISEK P, STASTNY K and BEJCEK V (2006)</w:t>
      </w:r>
      <w:r w:rsidRPr="00C96521">
        <w:rPr>
          <w:rFonts w:eastAsia="MS Mincho" w:cs="Arial"/>
          <w:szCs w:val="18"/>
          <w:lang w:val="en-GB" w:eastAsia="ja-JP"/>
        </w:rPr>
        <w:t xml:space="preserve"> Trendy početnosti ptáků v České republice v letech 1982–2005. </w:t>
      </w:r>
      <w:r w:rsidRPr="00890F11">
        <w:rPr>
          <w:rFonts w:eastAsia="MS Mincho" w:cs="Arial"/>
          <w:i/>
          <w:szCs w:val="18"/>
          <w:lang w:val="fr-FR" w:eastAsia="ja-JP"/>
        </w:rPr>
        <w:t>Sylvia</w:t>
      </w:r>
      <w:r w:rsidRPr="00890F11">
        <w:rPr>
          <w:rFonts w:eastAsia="MS Mincho" w:cs="Arial"/>
          <w:szCs w:val="18"/>
          <w:lang w:val="fr-FR" w:eastAsia="ja-JP"/>
        </w:rPr>
        <w:t xml:space="preserve"> 42: 22-37.</w:t>
      </w:r>
    </w:p>
    <w:p w14:paraId="5B64B30D"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4135F042"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890F11">
        <w:rPr>
          <w:rFonts w:eastAsia="MS Mincho" w:cs="Arial"/>
          <w:b/>
          <w:szCs w:val="18"/>
          <w:lang w:val="fr-FR" w:eastAsia="ja-JP"/>
        </w:rPr>
        <w:t xml:space="preserve">RETE RURALE NAZIONALE and LIPU (2015) </w:t>
      </w:r>
      <w:r w:rsidRPr="00890F11">
        <w:rPr>
          <w:rFonts w:eastAsia="MS Mincho" w:cs="Arial"/>
          <w:i/>
          <w:szCs w:val="18"/>
          <w:lang w:val="fr-FR" w:eastAsia="ja-JP"/>
        </w:rPr>
        <w:t xml:space="preserve">Uccelli comuni in Italia. </w:t>
      </w:r>
      <w:r w:rsidRPr="00C96521">
        <w:rPr>
          <w:rFonts w:eastAsia="MS Mincho" w:cs="Arial"/>
          <w:i/>
          <w:szCs w:val="18"/>
          <w:lang w:val="en-GB" w:eastAsia="ja-JP"/>
        </w:rPr>
        <w:t>Aggiornamento degli andamenti di popolazione e del Farmland Bird Index per la Rete Rurale Nazionale dal 2000 al 2014.</w:t>
      </w:r>
      <w:r w:rsidRPr="00C96521">
        <w:rPr>
          <w:rFonts w:eastAsia="MS Mincho" w:cs="Arial"/>
          <w:szCs w:val="18"/>
          <w:lang w:val="en-GB" w:eastAsia="ja-JP"/>
        </w:rPr>
        <w:t xml:space="preserve"> http://www.reterurale.it/flex/cm/pages/ServeBLOB.php/L/IT/IDPagina/15032 (last accessed 28</w:t>
      </w:r>
      <w:r w:rsidRPr="00C96521">
        <w:rPr>
          <w:rFonts w:eastAsia="MS Mincho" w:cs="Arial"/>
          <w:szCs w:val="18"/>
          <w:vertAlign w:val="superscript"/>
          <w:lang w:val="en-GB" w:eastAsia="ja-JP"/>
        </w:rPr>
        <w:t>th</w:t>
      </w:r>
      <w:r w:rsidRPr="00C96521">
        <w:rPr>
          <w:rFonts w:eastAsia="MS Mincho" w:cs="Arial"/>
          <w:szCs w:val="18"/>
          <w:lang w:val="en-GB" w:eastAsia="ja-JP"/>
        </w:rPr>
        <w:t xml:space="preserve"> March 2017.</w:t>
      </w:r>
    </w:p>
    <w:p w14:paraId="4D4EFB74"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6A11650F"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r w:rsidRPr="00C96521">
        <w:rPr>
          <w:rFonts w:eastAsia="MS Mincho" w:cs="Arial"/>
          <w:b/>
          <w:bCs/>
          <w:szCs w:val="18"/>
          <w:lang w:val="en-GB" w:eastAsia="ja-JP"/>
        </w:rPr>
        <w:t xml:space="preserve">ROBINSON RA (2016) </w:t>
      </w:r>
      <w:r w:rsidRPr="00C96521">
        <w:rPr>
          <w:rFonts w:eastAsia="MS Mincho" w:cs="Arial"/>
          <w:i/>
          <w:szCs w:val="18"/>
          <w:lang w:val="en-GB" w:eastAsia="ja-JP"/>
        </w:rPr>
        <w:t>BirdFacts: profiles of birds occurring in Britain &amp; Ireland (BTO Research Report 407).</w:t>
      </w:r>
      <w:r w:rsidRPr="00C96521">
        <w:rPr>
          <w:rFonts w:eastAsia="MS Mincho" w:cs="Arial"/>
          <w:szCs w:val="18"/>
          <w:lang w:val="en-GB" w:eastAsia="ja-JP"/>
        </w:rPr>
        <w:t xml:space="preserve"> BTO, Thetford. http://www.bto.org/birdfact] (last accessed 4</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385EDB13"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A072D96"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C96521">
        <w:rPr>
          <w:rFonts w:eastAsia="MS Mincho" w:cs="Arial"/>
          <w:b/>
          <w:szCs w:val="18"/>
          <w:lang w:val="en-GB" w:eastAsia="ja-JP"/>
        </w:rPr>
        <w:t>ROBINSON RA, LAWSON B, TOMS MP, PECK KM, KIRKWOOD JK, CHANTRY J, CLATWORTHY IR, EVANS AD, HUGHES LA, HUTCHINSON OC, JOHN SK, PENNYCOTT TW, PERKINS MW, ROWLEY PS, SIMPSON VR, TYLER KM and CUNNINGHAM AA (2010)</w:t>
      </w:r>
      <w:r w:rsidRPr="00C96521">
        <w:rPr>
          <w:rFonts w:eastAsia="MS Mincho" w:cs="Arial"/>
          <w:szCs w:val="18"/>
          <w:lang w:val="en-GB" w:eastAsia="ja-JP"/>
        </w:rPr>
        <w:t xml:space="preserve"> Emerging infectious disease leads to rapid population declines of common British birds. </w:t>
      </w:r>
      <w:r w:rsidRPr="00890F11">
        <w:rPr>
          <w:rFonts w:eastAsia="MS Mincho" w:cs="Arial"/>
          <w:i/>
          <w:szCs w:val="18"/>
          <w:lang w:val="es-ES" w:eastAsia="ja-JP"/>
        </w:rPr>
        <w:t>PLoS ONE</w:t>
      </w:r>
      <w:r w:rsidRPr="00890F11">
        <w:rPr>
          <w:rFonts w:eastAsia="MS Mincho" w:cs="Arial"/>
          <w:szCs w:val="18"/>
          <w:lang w:val="es-ES" w:eastAsia="ja-JP"/>
        </w:rPr>
        <w:t xml:space="preserve"> 5 (8) DOI: 10.1371/journal.pone.0012215.</w:t>
      </w:r>
    </w:p>
    <w:p w14:paraId="706CAA7B" w14:textId="77777777" w:rsidR="00C96521" w:rsidRPr="00890F11" w:rsidRDefault="00C96521" w:rsidP="00C96521">
      <w:pPr>
        <w:widowControl/>
        <w:autoSpaceDE/>
        <w:autoSpaceDN/>
        <w:adjustRightInd/>
        <w:spacing w:line="276" w:lineRule="auto"/>
        <w:rPr>
          <w:rFonts w:eastAsia="MS Mincho" w:cs="Arial"/>
          <w:bCs/>
          <w:szCs w:val="18"/>
          <w:lang w:val="es-ES" w:eastAsia="ja-JP"/>
        </w:rPr>
      </w:pPr>
    </w:p>
    <w:p w14:paraId="13D52C78" w14:textId="77777777" w:rsidR="00C96521" w:rsidRPr="00890F11" w:rsidRDefault="00C96521" w:rsidP="00C96521">
      <w:pPr>
        <w:widowControl/>
        <w:autoSpaceDE/>
        <w:autoSpaceDN/>
        <w:adjustRightInd/>
        <w:spacing w:line="276" w:lineRule="auto"/>
        <w:rPr>
          <w:rFonts w:eastAsia="MS Mincho" w:cs="Arial"/>
          <w:bCs/>
          <w:szCs w:val="18"/>
          <w:lang w:val="es-ES" w:eastAsia="ja-JP"/>
        </w:rPr>
      </w:pPr>
      <w:r w:rsidRPr="00890F11">
        <w:rPr>
          <w:rFonts w:eastAsia="MS Mincho" w:cs="Arial"/>
          <w:b/>
          <w:bCs/>
          <w:szCs w:val="18"/>
          <w:lang w:val="es-ES" w:eastAsia="ja-JP"/>
        </w:rPr>
        <w:t>ROCHA CAMARERO G and HIDALGO DE TRUCIOS SJ (1998)</w:t>
      </w:r>
      <w:r w:rsidRPr="00890F11">
        <w:rPr>
          <w:rFonts w:eastAsia="MS Mincho" w:cs="Arial"/>
          <w:bCs/>
          <w:szCs w:val="18"/>
          <w:lang w:val="es-ES" w:eastAsia="ja-JP"/>
        </w:rPr>
        <w:t xml:space="preserve"> Distribución y abundancia de la Tórtola Turca </w:t>
      </w:r>
      <w:r w:rsidRPr="00890F11">
        <w:rPr>
          <w:rFonts w:eastAsia="MS Mincho" w:cs="Arial"/>
          <w:bCs/>
          <w:i/>
          <w:szCs w:val="18"/>
          <w:lang w:val="es-ES" w:eastAsia="ja-JP"/>
        </w:rPr>
        <w:t>Streptopelia decaocto</w:t>
      </w:r>
      <w:r w:rsidRPr="00890F11">
        <w:rPr>
          <w:rFonts w:eastAsia="MS Mincho" w:cs="Arial"/>
          <w:bCs/>
          <w:szCs w:val="18"/>
          <w:lang w:val="es-ES" w:eastAsia="ja-JP"/>
        </w:rPr>
        <w:t xml:space="preserve"> en Extremadura (SO de España). </w:t>
      </w:r>
      <w:hyperlink r:id="rId58" w:tgtFrame="_parent" w:history="1">
        <w:r w:rsidRPr="00890F11">
          <w:rPr>
            <w:rFonts w:eastAsia="MS Mincho" w:cs="Arial"/>
            <w:bCs/>
            <w:i/>
            <w:szCs w:val="18"/>
            <w:lang w:val="es-ES" w:eastAsia="ja-JP"/>
          </w:rPr>
          <w:t>Butlletí del Grup Català d'Anellament</w:t>
        </w:r>
      </w:hyperlink>
      <w:r w:rsidRPr="00890F11">
        <w:rPr>
          <w:rFonts w:eastAsia="MS Mincho" w:cs="Arial"/>
          <w:bCs/>
          <w:szCs w:val="18"/>
          <w:lang w:val="es-ES" w:eastAsia="ja-JP"/>
        </w:rPr>
        <w:t xml:space="preserve"> 15:1-8.</w:t>
      </w:r>
    </w:p>
    <w:p w14:paraId="7417ADC4" w14:textId="77777777" w:rsidR="00C96521" w:rsidRPr="00890F11" w:rsidRDefault="00C96521" w:rsidP="00C96521">
      <w:pPr>
        <w:widowControl/>
        <w:autoSpaceDE/>
        <w:autoSpaceDN/>
        <w:adjustRightInd/>
        <w:spacing w:line="276" w:lineRule="auto"/>
        <w:rPr>
          <w:rFonts w:eastAsia="MS Mincho" w:cs="Arial"/>
          <w:bCs/>
          <w:szCs w:val="18"/>
          <w:lang w:val="es-ES" w:eastAsia="ja-JP"/>
        </w:rPr>
      </w:pPr>
    </w:p>
    <w:p w14:paraId="4B721E8E" w14:textId="77777777" w:rsidR="00C96521" w:rsidRPr="00965D7D"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es-ES" w:eastAsia="ja-JP"/>
        </w:rPr>
        <w:t>ROCHA CAMARERO G and HIDALGO DE TRUCIOS SJ (2000)</w:t>
      </w:r>
      <w:r w:rsidRPr="00890F11">
        <w:rPr>
          <w:rFonts w:eastAsia="MS Mincho" w:cs="Arial"/>
          <w:bCs/>
          <w:szCs w:val="18"/>
          <w:lang w:val="es-ES" w:eastAsia="ja-JP"/>
        </w:rPr>
        <w:t xml:space="preserve"> </w:t>
      </w:r>
      <w:r w:rsidRPr="00890F11">
        <w:rPr>
          <w:rFonts w:eastAsia="MS Mincho" w:cs="Arial"/>
          <w:bCs/>
          <w:i/>
          <w:szCs w:val="18"/>
          <w:lang w:val="es-ES" w:eastAsia="ja-JP"/>
        </w:rPr>
        <w:t xml:space="preserve">Ecología de la tórtola turca </w:t>
      </w:r>
      <w:r w:rsidRPr="00890F11">
        <w:rPr>
          <w:rFonts w:eastAsia="MS Mincho" w:cs="Arial"/>
          <w:i/>
          <w:iCs/>
          <w:szCs w:val="18"/>
          <w:lang w:val="es-ES" w:eastAsia="ja-JP"/>
        </w:rPr>
        <w:t>(</w:t>
      </w:r>
      <w:r w:rsidRPr="00890F11">
        <w:rPr>
          <w:rFonts w:eastAsia="MS Mincho" w:cs="Arial"/>
          <w:iCs/>
          <w:szCs w:val="18"/>
          <w:lang w:val="es-ES" w:eastAsia="ja-JP"/>
        </w:rPr>
        <w:t>Streptopelia decaocto</w:t>
      </w:r>
      <w:r w:rsidRPr="00890F11">
        <w:rPr>
          <w:rFonts w:eastAsia="MS Mincho" w:cs="Arial"/>
          <w:i/>
          <w:iCs/>
          <w:szCs w:val="18"/>
          <w:lang w:val="es-ES" w:eastAsia="ja-JP"/>
        </w:rPr>
        <w:t>)</w:t>
      </w:r>
      <w:r w:rsidRPr="00890F11">
        <w:rPr>
          <w:rFonts w:eastAsia="MS Mincho" w:cs="Arial"/>
          <w:szCs w:val="18"/>
          <w:lang w:val="es-ES" w:eastAsia="ja-JP"/>
        </w:rPr>
        <w:t xml:space="preserve">. </w:t>
      </w:r>
      <w:r w:rsidRPr="00965D7D">
        <w:rPr>
          <w:rFonts w:eastAsia="MS Mincho" w:cs="Arial"/>
          <w:szCs w:val="18"/>
          <w:lang w:val="fr-FR" w:eastAsia="ja-JP"/>
        </w:rPr>
        <w:t>Servicio de Publicaciones de la Universidad de Extremadura, Cáceres.</w:t>
      </w:r>
    </w:p>
    <w:p w14:paraId="740B0C38" w14:textId="77777777" w:rsidR="00C96521" w:rsidRPr="00965D7D" w:rsidRDefault="00C96521" w:rsidP="00C96521">
      <w:pPr>
        <w:widowControl/>
        <w:autoSpaceDE/>
        <w:autoSpaceDN/>
        <w:adjustRightInd/>
        <w:spacing w:line="276" w:lineRule="auto"/>
        <w:rPr>
          <w:rFonts w:eastAsia="MS Mincho" w:cs="Arial"/>
          <w:szCs w:val="18"/>
          <w:lang w:val="fr-FR" w:eastAsia="ja-JP"/>
        </w:rPr>
      </w:pPr>
    </w:p>
    <w:p w14:paraId="66E0A9FE"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10359">
        <w:rPr>
          <w:rFonts w:eastAsia="MS Mincho" w:cs="Arial"/>
          <w:b/>
          <w:bCs/>
          <w:szCs w:val="18"/>
          <w:lang w:val="es-ES" w:eastAsia="ja-JP"/>
        </w:rPr>
        <w:t>ROCHA CAMARERO G and HIDALGO DE TRUCIOS S J (2001a)</w:t>
      </w:r>
      <w:r w:rsidRPr="00810359">
        <w:rPr>
          <w:rFonts w:eastAsia="MS Mincho" w:cs="Arial"/>
          <w:bCs/>
          <w:szCs w:val="18"/>
          <w:lang w:val="es-ES" w:eastAsia="ja-JP"/>
        </w:rPr>
        <w:t xml:space="preserve"> Incidencia del uso de reclamos alimenticios sobre la </w:t>
      </w:r>
      <w:r w:rsidRPr="00810359">
        <w:rPr>
          <w:rFonts w:eastAsia="MS Mincho" w:cs="Arial"/>
          <w:bCs/>
          <w:i/>
          <w:szCs w:val="18"/>
          <w:lang w:val="es-ES" w:eastAsia="ja-JP"/>
        </w:rPr>
        <w:t>tórtola comùn.</w:t>
      </w:r>
      <w:r w:rsidRPr="00810359">
        <w:rPr>
          <w:rFonts w:eastAsia="MS Mincho" w:cs="Arial"/>
          <w:szCs w:val="18"/>
          <w:lang w:val="es-ES" w:eastAsia="ja-JP"/>
        </w:rPr>
        <w:t xml:space="preserve"> Biologia y gestion de columbidos silvestres. II Cologuio Internacional – 14-15 Deciembre 2000 – Donostia-San Sebastian. </w:t>
      </w:r>
      <w:r w:rsidRPr="00890F11">
        <w:rPr>
          <w:rFonts w:eastAsia="MS Mincho" w:cs="Arial"/>
          <w:szCs w:val="18"/>
          <w:lang w:val="fr-FR" w:eastAsia="ja-JP"/>
        </w:rPr>
        <w:t>Naturzale. Cuadernos de Ciencias Naturales 16 : 147-155.</w:t>
      </w:r>
    </w:p>
    <w:p w14:paraId="53E6539B"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46225573"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fr-FR" w:eastAsia="ja-JP"/>
        </w:rPr>
        <w:lastRenderedPageBreak/>
        <w:t>ROCHA CAMARERO G and HIDALGO DE TRUCIOS SJ (2001b)</w:t>
      </w:r>
      <w:r w:rsidRPr="00890F11">
        <w:rPr>
          <w:rFonts w:eastAsia="MS Mincho" w:cs="Arial"/>
          <w:szCs w:val="18"/>
          <w:lang w:val="fr-FR" w:eastAsia="ja-JP"/>
        </w:rPr>
        <w:t xml:space="preserve"> La Tourterelle Turque </w:t>
      </w:r>
      <w:r w:rsidRPr="00890F11">
        <w:rPr>
          <w:rFonts w:eastAsia="MS Mincho" w:cs="Arial"/>
          <w:i/>
          <w:szCs w:val="18"/>
          <w:lang w:val="fr-FR" w:eastAsia="ja-JP"/>
        </w:rPr>
        <w:t>Streptopelia decaocto</w:t>
      </w:r>
      <w:r w:rsidRPr="00890F11">
        <w:rPr>
          <w:rFonts w:eastAsia="MS Mincho" w:cs="Arial"/>
          <w:szCs w:val="18"/>
          <w:lang w:val="fr-FR" w:eastAsia="ja-JP"/>
        </w:rPr>
        <w:t xml:space="preserve"> en Estrémadure, en Espagne: sa distribution, son expansion et son incidence sur la Tourterelle des bois. </w:t>
      </w:r>
      <w:r w:rsidRPr="00890F11">
        <w:rPr>
          <w:rFonts w:eastAsia="MS Mincho" w:cs="Arial"/>
          <w:i/>
          <w:szCs w:val="18"/>
          <w:lang w:val="es-ES" w:eastAsia="ja-JP"/>
        </w:rPr>
        <w:t>Faune Sauvage</w:t>
      </w:r>
      <w:r w:rsidRPr="00890F11">
        <w:rPr>
          <w:rFonts w:eastAsia="MS Mincho" w:cs="Arial"/>
          <w:szCs w:val="18"/>
          <w:lang w:val="es-ES" w:eastAsia="ja-JP"/>
        </w:rPr>
        <w:t xml:space="preserve"> 253: 66-68.</w:t>
      </w:r>
    </w:p>
    <w:p w14:paraId="2E34E516"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3E453B55"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bCs/>
          <w:szCs w:val="18"/>
          <w:lang w:val="es-ES" w:eastAsia="ja-JP"/>
        </w:rPr>
        <w:t>ROCHA CAMARERO G and HIDALGO DE TRUCIOS S J (2002a)</w:t>
      </w:r>
      <w:r w:rsidRPr="00890F11">
        <w:rPr>
          <w:rFonts w:eastAsia="MS Mincho" w:cs="Arial"/>
          <w:bCs/>
          <w:szCs w:val="18"/>
          <w:lang w:val="es-ES" w:eastAsia="ja-JP"/>
        </w:rPr>
        <w:t xml:space="preserve"> </w:t>
      </w:r>
      <w:r w:rsidRPr="00890F11">
        <w:rPr>
          <w:rFonts w:eastAsia="MS Mincho" w:cs="Arial"/>
          <w:bCs/>
          <w:i/>
          <w:szCs w:val="18"/>
          <w:lang w:val="es-ES" w:eastAsia="ja-JP"/>
        </w:rPr>
        <w:t xml:space="preserve">La tórtola común </w:t>
      </w:r>
      <w:r w:rsidRPr="00890F11">
        <w:rPr>
          <w:rFonts w:eastAsia="MS Mincho" w:cs="Arial"/>
          <w:i/>
          <w:iCs/>
          <w:szCs w:val="18"/>
          <w:lang w:val="es-ES" w:eastAsia="ja-JP"/>
        </w:rPr>
        <w:t>(</w:t>
      </w:r>
      <w:r w:rsidRPr="00890F11">
        <w:rPr>
          <w:rFonts w:eastAsia="MS Mincho" w:cs="Arial"/>
          <w:iCs/>
          <w:szCs w:val="18"/>
          <w:lang w:val="es-ES" w:eastAsia="ja-JP"/>
        </w:rPr>
        <w:t>Streptopelia turtur</w:t>
      </w:r>
      <w:r w:rsidRPr="00890F11">
        <w:rPr>
          <w:rFonts w:eastAsia="MS Mincho" w:cs="Arial"/>
          <w:i/>
          <w:iCs/>
          <w:szCs w:val="18"/>
          <w:lang w:val="es-ES" w:eastAsia="ja-JP"/>
        </w:rPr>
        <w:t xml:space="preserve">). Análisis de los factores que afectan a su status. </w:t>
      </w:r>
      <w:r w:rsidRPr="00890F11">
        <w:rPr>
          <w:rFonts w:eastAsia="MS Mincho" w:cs="Arial"/>
          <w:szCs w:val="18"/>
          <w:lang w:val="es-ES" w:eastAsia="ja-JP"/>
        </w:rPr>
        <w:t>Servicio de Publicaciones de la Universidad de Extremadura, Cáceres.</w:t>
      </w:r>
    </w:p>
    <w:p w14:paraId="01020A84"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465A2D3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ROCHA CAMARERO G and HIDALGO DE TRUCIOS SJ (2002b</w:t>
      </w:r>
      <w:r w:rsidRPr="00C96521">
        <w:rPr>
          <w:rFonts w:eastAsia="MS Mincho" w:cs="Arial"/>
          <w:bCs/>
          <w:szCs w:val="18"/>
          <w:lang w:val="en-GB" w:eastAsia="ja-JP"/>
        </w:rPr>
        <w:t xml:space="preserve">) </w:t>
      </w:r>
      <w:r w:rsidRPr="00C96521">
        <w:rPr>
          <w:rFonts w:eastAsia="MS Mincho" w:cs="Arial"/>
          <w:szCs w:val="18"/>
          <w:lang w:val="en-GB" w:eastAsia="ja-JP"/>
        </w:rPr>
        <w:t xml:space="preserve">Examining the spread of the Collared Dove in Europe. Colonization patterns in the west of the Iberian Peninsula. </w:t>
      </w:r>
      <w:r w:rsidRPr="00C96521">
        <w:rPr>
          <w:rFonts w:eastAsia="MS Mincho" w:cs="Arial"/>
          <w:i/>
          <w:iCs/>
          <w:szCs w:val="18"/>
          <w:lang w:val="en-GB" w:eastAsia="ja-JP"/>
        </w:rPr>
        <w:t>Bird Study</w:t>
      </w:r>
      <w:r w:rsidRPr="00C96521">
        <w:rPr>
          <w:rFonts w:eastAsia="MS Mincho" w:cs="Arial"/>
          <w:szCs w:val="18"/>
          <w:lang w:val="en-GB" w:eastAsia="ja-JP"/>
        </w:rPr>
        <w:t xml:space="preserve"> 489: 11-16.</w:t>
      </w:r>
    </w:p>
    <w:p w14:paraId="0C865B5A"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96B30A3" w14:textId="77777777" w:rsidR="00C96521" w:rsidRPr="008C00B8"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es-ES" w:eastAsia="ja-JP"/>
        </w:rPr>
        <w:t>ROCHA CAMARERO G and HIDALGO DE TRUCIOS SJ (2004a)</w:t>
      </w:r>
      <w:r w:rsidRPr="00890F11">
        <w:rPr>
          <w:rFonts w:eastAsia="MS Mincho" w:cs="Arial"/>
          <w:szCs w:val="18"/>
          <w:lang w:val="es-ES" w:eastAsia="ja-JP"/>
        </w:rPr>
        <w:t xml:space="preserve"> La Investigación científica al servicio de una gestión eficaz: el ejemplo de los estudios sobre la Tórtola Común en Extremadura. </w:t>
      </w:r>
      <w:r w:rsidRPr="008C00B8">
        <w:rPr>
          <w:rFonts w:eastAsia="MS Mincho" w:cs="Arial"/>
          <w:i/>
          <w:szCs w:val="18"/>
          <w:lang w:val="fr-FR" w:eastAsia="ja-JP"/>
        </w:rPr>
        <w:t xml:space="preserve">Foresta </w:t>
      </w:r>
      <w:r w:rsidRPr="008C00B8">
        <w:rPr>
          <w:rFonts w:eastAsia="MS Mincho" w:cs="Arial"/>
          <w:szCs w:val="18"/>
          <w:lang w:val="fr-FR" w:eastAsia="ja-JP"/>
        </w:rPr>
        <w:t>27: 76-81.</w:t>
      </w:r>
    </w:p>
    <w:p w14:paraId="4035A5BF" w14:textId="77777777" w:rsidR="00C96521" w:rsidRPr="008C00B8" w:rsidRDefault="00C96521" w:rsidP="00C96521">
      <w:pPr>
        <w:widowControl/>
        <w:autoSpaceDE/>
        <w:autoSpaceDN/>
        <w:adjustRightInd/>
        <w:spacing w:line="276" w:lineRule="auto"/>
        <w:rPr>
          <w:rFonts w:eastAsia="MS Mincho" w:cs="Arial"/>
          <w:szCs w:val="18"/>
          <w:lang w:val="fr-FR" w:eastAsia="ja-JP"/>
        </w:rPr>
      </w:pPr>
    </w:p>
    <w:p w14:paraId="652463A1"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10359">
        <w:rPr>
          <w:rFonts w:eastAsia="MS Mincho" w:cs="Arial"/>
          <w:b/>
          <w:szCs w:val="18"/>
          <w:lang w:val="es-ES" w:eastAsia="ja-JP"/>
        </w:rPr>
        <w:t>ROCHA CAMARERO G and HIDALGO DE TRUCIOS SJ (2004b)</w:t>
      </w:r>
      <w:r w:rsidRPr="00810359">
        <w:rPr>
          <w:rFonts w:eastAsia="MS Mincho" w:cs="Arial"/>
          <w:szCs w:val="18"/>
          <w:lang w:val="es-ES" w:eastAsia="ja-JP"/>
        </w:rPr>
        <w:t xml:space="preserve"> La Tórtola Turca, ¿especie cazable?. </w:t>
      </w:r>
      <w:r w:rsidRPr="00890F11">
        <w:rPr>
          <w:rFonts w:eastAsia="MS Mincho" w:cs="Arial"/>
          <w:szCs w:val="18"/>
          <w:lang w:val="es-ES" w:eastAsia="ja-JP"/>
        </w:rPr>
        <w:t xml:space="preserve">In: CENTRO de DESARROLLO RURAL CAMPIÑA SUR (ed) </w:t>
      </w:r>
      <w:r w:rsidRPr="00890F11">
        <w:rPr>
          <w:rFonts w:eastAsia="MS Mincho" w:cs="Arial"/>
          <w:i/>
          <w:szCs w:val="18"/>
          <w:lang w:val="es-ES" w:eastAsia="ja-JP"/>
        </w:rPr>
        <w:t>Gestion cinegética y desarrollo rural</w:t>
      </w:r>
      <w:r w:rsidRPr="00890F11">
        <w:rPr>
          <w:rFonts w:eastAsia="MS Mincho" w:cs="Arial"/>
          <w:szCs w:val="18"/>
          <w:lang w:val="es-ES" w:eastAsia="ja-JP"/>
        </w:rPr>
        <w:t>. pp143-152.</w:t>
      </w:r>
    </w:p>
    <w:p w14:paraId="400F1020"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1CEA6009" w14:textId="77777777" w:rsidR="00C96521" w:rsidRPr="008C00B8" w:rsidRDefault="00C96521" w:rsidP="00C96521">
      <w:pPr>
        <w:widowControl/>
        <w:spacing w:line="276" w:lineRule="auto"/>
        <w:rPr>
          <w:rFonts w:eastAsia="MS Mincho" w:cs="Arial"/>
          <w:szCs w:val="18"/>
          <w:lang w:val="fr-FR" w:eastAsia="ja-JP"/>
        </w:rPr>
      </w:pPr>
      <w:r w:rsidRPr="00C96521">
        <w:rPr>
          <w:rFonts w:eastAsia="MS Mincho" w:cs="Arial"/>
          <w:b/>
          <w:szCs w:val="18"/>
          <w:lang w:val="en-GB" w:eastAsia="ja-JP"/>
        </w:rPr>
        <w:t>ROCHA G and QUILLFELDT P (2015)</w:t>
      </w:r>
      <w:r w:rsidRPr="00C96521">
        <w:rPr>
          <w:rFonts w:eastAsia="MS Mincho" w:cs="Arial"/>
          <w:szCs w:val="18"/>
          <w:lang w:val="en-GB" w:eastAsia="ja-JP"/>
        </w:rPr>
        <w:t xml:space="preserve"> Effect of supplementary food on age ratios of European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L.). </w:t>
      </w:r>
      <w:r w:rsidRPr="008C00B8">
        <w:rPr>
          <w:rFonts w:eastAsia="MS Mincho" w:cs="Arial"/>
          <w:i/>
          <w:szCs w:val="18"/>
          <w:lang w:val="fr-FR" w:eastAsia="ja-JP"/>
        </w:rPr>
        <w:t>Animal Biodiversity and Conservation</w:t>
      </w:r>
      <w:r w:rsidRPr="008C00B8">
        <w:rPr>
          <w:rFonts w:eastAsia="MS Mincho" w:cs="Arial"/>
          <w:szCs w:val="18"/>
          <w:lang w:val="fr-FR" w:eastAsia="ja-JP"/>
        </w:rPr>
        <w:t xml:space="preserve"> 38(1): 11–21.</w:t>
      </w:r>
    </w:p>
    <w:p w14:paraId="66730CE3" w14:textId="77777777" w:rsidR="00C96521" w:rsidRPr="008C00B8" w:rsidRDefault="00C96521" w:rsidP="00C96521">
      <w:pPr>
        <w:widowControl/>
        <w:autoSpaceDE/>
        <w:autoSpaceDN/>
        <w:adjustRightInd/>
        <w:spacing w:line="276" w:lineRule="auto"/>
        <w:rPr>
          <w:rFonts w:eastAsia="MS Mincho" w:cs="Arial"/>
          <w:b/>
          <w:szCs w:val="18"/>
          <w:lang w:val="fr-FR" w:eastAsia="ja-JP"/>
        </w:rPr>
      </w:pPr>
    </w:p>
    <w:p w14:paraId="66C2559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10359">
        <w:rPr>
          <w:rFonts w:eastAsia="MS Mincho" w:cs="Arial"/>
          <w:b/>
          <w:szCs w:val="18"/>
          <w:lang w:val="fr-FR" w:eastAsia="ja-JP"/>
        </w:rPr>
        <w:t>ROUX D, LORMÉE H, ERAUD C and BOUTIN J-M (2011)</w:t>
      </w:r>
      <w:r w:rsidRPr="00810359">
        <w:rPr>
          <w:rFonts w:eastAsia="MS Mincho" w:cs="Arial"/>
          <w:szCs w:val="18"/>
          <w:lang w:val="fr-FR" w:eastAsia="ja-JP"/>
        </w:rPr>
        <w:t xml:space="preserve"> Les populations de colombidés nichant et hivernant en France : tendances d’évolution des espèces les plus communes. </w:t>
      </w:r>
      <w:r w:rsidRPr="00C96521">
        <w:rPr>
          <w:rFonts w:eastAsia="MS Mincho" w:cs="Arial"/>
          <w:szCs w:val="18"/>
          <w:lang w:val="en-GB" w:eastAsia="ja-JP"/>
        </w:rPr>
        <w:t>Faune Sauvage 293: 4.</w:t>
      </w:r>
    </w:p>
    <w:p w14:paraId="4859E4EF"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BB07A51"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 xml:space="preserve">ROUXEL R (2000) </w:t>
      </w:r>
      <w:r w:rsidRPr="00C96521">
        <w:rPr>
          <w:rFonts w:eastAsia="MS Mincho" w:cs="Arial"/>
          <w:szCs w:val="18"/>
          <w:lang w:val="en-GB" w:eastAsia="ja-JP"/>
        </w:rPr>
        <w:t>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A review of bibliographical data from the eastern Europe. </w:t>
      </w:r>
      <w:r w:rsidRPr="00C96521">
        <w:rPr>
          <w:rFonts w:eastAsia="MS Mincho" w:cs="Arial"/>
          <w:i/>
          <w:szCs w:val="18"/>
          <w:lang w:val="en-GB" w:eastAsia="ja-JP"/>
        </w:rPr>
        <w:t>OMPO Newsletter</w:t>
      </w:r>
      <w:r w:rsidRPr="00C96521">
        <w:rPr>
          <w:rFonts w:eastAsia="MS Mincho" w:cs="Arial"/>
          <w:szCs w:val="18"/>
          <w:lang w:val="en-GB" w:eastAsia="ja-JP"/>
        </w:rPr>
        <w:t xml:space="preserve"> 22: 5-18.</w:t>
      </w:r>
    </w:p>
    <w:p w14:paraId="7C5158ED"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7CD84B1"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RSPB (2016)</w:t>
      </w:r>
      <w:r w:rsidRPr="00C96521">
        <w:rPr>
          <w:rFonts w:eastAsia="MS Mincho" w:cs="Arial"/>
          <w:szCs w:val="18"/>
          <w:lang w:val="en-GB" w:eastAsia="ja-JP"/>
        </w:rPr>
        <w:t xml:space="preserve"> </w:t>
      </w:r>
      <w:r w:rsidRPr="00C96521">
        <w:rPr>
          <w:rFonts w:eastAsia="MS Mincho" w:cs="Arial"/>
          <w:i/>
          <w:szCs w:val="18"/>
          <w:lang w:val="en-GB" w:eastAsia="ja-JP"/>
        </w:rPr>
        <w:t>What we’ve learnt from Titan the satellite tagged turtle-dove</w:t>
      </w:r>
      <w:r w:rsidRPr="00C96521">
        <w:rPr>
          <w:rFonts w:eastAsia="MS Mincho" w:cs="Arial"/>
          <w:szCs w:val="18"/>
          <w:lang w:val="en-GB" w:eastAsia="ja-JP"/>
        </w:rPr>
        <w:t xml:space="preserve">. </w:t>
      </w:r>
      <w:hyperlink r:id="rId59" w:history="1">
        <w:r w:rsidRPr="00C96521">
          <w:rPr>
            <w:rFonts w:eastAsia="MS Mincho" w:cs="Arial"/>
            <w:szCs w:val="18"/>
            <w:lang w:val="en-GB" w:eastAsia="ja-JP"/>
          </w:rPr>
          <w:t>http://www.rspb.org.uk/community/ourwork/b/biodiversity/archive/2016/08/30/what-we-ve-learnt-from-titan-the-satellite-tagged-turtle-dove.aspx</w:t>
        </w:r>
      </w:hyperlink>
      <w:r w:rsidRPr="00C96521">
        <w:rPr>
          <w:rFonts w:eastAsia="MS Mincho" w:cs="Arial"/>
          <w:szCs w:val="18"/>
          <w:lang w:val="en-GB" w:eastAsia="ja-JP"/>
        </w:rPr>
        <w:t xml:space="preserve"> (last accessed 1</w:t>
      </w:r>
      <w:r w:rsidRPr="00C96521">
        <w:rPr>
          <w:rFonts w:eastAsia="MS Mincho" w:cs="Arial"/>
          <w:szCs w:val="18"/>
          <w:vertAlign w:val="superscript"/>
          <w:lang w:val="en-GB" w:eastAsia="ja-JP"/>
        </w:rPr>
        <w:t>st</w:t>
      </w:r>
      <w:r w:rsidRPr="00C96521">
        <w:rPr>
          <w:rFonts w:eastAsia="MS Mincho" w:cs="Arial"/>
          <w:szCs w:val="18"/>
          <w:lang w:val="en-GB" w:eastAsia="ja-JP"/>
        </w:rPr>
        <w:t xml:space="preserve"> September 2016).</w:t>
      </w:r>
    </w:p>
    <w:p w14:paraId="0268593D"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83431F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RUCNER D (1998)</w:t>
      </w:r>
      <w:r w:rsidRPr="00C96521">
        <w:rPr>
          <w:rFonts w:eastAsia="MS Mincho" w:cs="Arial"/>
          <w:szCs w:val="18"/>
          <w:lang w:val="en-GB" w:eastAsia="ja-JP"/>
        </w:rPr>
        <w:t xml:space="preserve"> </w:t>
      </w:r>
      <w:r w:rsidRPr="00C96521">
        <w:rPr>
          <w:rFonts w:eastAsia="MS Mincho" w:cs="Arial"/>
          <w:i/>
          <w:szCs w:val="18"/>
          <w:lang w:val="en-GB" w:eastAsia="ja-JP"/>
        </w:rPr>
        <w:t>Ptice hrvatske obale Jadrana</w:t>
      </w:r>
      <w:r w:rsidRPr="00C96521">
        <w:rPr>
          <w:rFonts w:eastAsia="MS Mincho" w:cs="Arial"/>
          <w:szCs w:val="18"/>
          <w:lang w:val="en-GB" w:eastAsia="ja-JP"/>
        </w:rPr>
        <w:t>. Hrvatski prirodoslovni muzej, Ministarstvo razvitka i obnove, Zagreb.</w:t>
      </w:r>
    </w:p>
    <w:p w14:paraId="056D51B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DE4651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es-ES" w:eastAsia="ja-JP"/>
        </w:rPr>
        <w:t>RUCNER D and RUCNER R (1972)</w:t>
      </w:r>
      <w:r w:rsidRPr="00890F11">
        <w:rPr>
          <w:rFonts w:eastAsia="MS Mincho" w:cs="Arial"/>
          <w:szCs w:val="18"/>
          <w:lang w:val="es-ES" w:eastAsia="ja-JP"/>
        </w:rPr>
        <w:t xml:space="preserve"> Prilog poznavanju napučenosti ptica u biotopima Baranje. </w:t>
      </w:r>
      <w:r w:rsidRPr="00C96521">
        <w:rPr>
          <w:rFonts w:eastAsia="MS Mincho" w:cs="Arial"/>
          <w:i/>
          <w:szCs w:val="18"/>
          <w:lang w:val="en-GB" w:eastAsia="ja-JP"/>
        </w:rPr>
        <w:t>Larus</w:t>
      </w:r>
      <w:r w:rsidRPr="00C96521">
        <w:rPr>
          <w:rFonts w:eastAsia="MS Mincho" w:cs="Arial"/>
          <w:szCs w:val="18"/>
          <w:lang w:val="en-GB" w:eastAsia="ja-JP"/>
        </w:rPr>
        <w:t xml:space="preserve"> 24: 31-64.</w:t>
      </w:r>
    </w:p>
    <w:p w14:paraId="4E07297A"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3CF0C69" w14:textId="77777777" w:rsidR="00C96521" w:rsidRPr="008C00B8" w:rsidRDefault="00C96521" w:rsidP="00C96521">
      <w:pPr>
        <w:widowControl/>
        <w:autoSpaceDE/>
        <w:autoSpaceDN/>
        <w:adjustRightInd/>
        <w:spacing w:line="276" w:lineRule="auto"/>
        <w:rPr>
          <w:rFonts w:eastAsia="MS Mincho" w:cs="Arial"/>
          <w:szCs w:val="18"/>
          <w:lang w:val="de-DE" w:eastAsia="ja-JP"/>
        </w:rPr>
      </w:pPr>
      <w:r w:rsidRPr="00C96521">
        <w:rPr>
          <w:rFonts w:eastAsia="MS Mincho" w:cs="Arial"/>
          <w:b/>
          <w:szCs w:val="18"/>
          <w:lang w:val="en-GB" w:eastAsia="ja-JP"/>
        </w:rPr>
        <w:t xml:space="preserve">SÁENZ DE BURUAGA M, ONRUBIA A, FERNANDEZ-GARCÍA JM, CAMPOS MA, CANALES F and UNAMUNO JM (2012) </w:t>
      </w:r>
      <w:r w:rsidRPr="00C96521">
        <w:rPr>
          <w:rFonts w:eastAsia="MS Mincho" w:cs="Arial"/>
          <w:szCs w:val="18"/>
          <w:lang w:val="en-GB" w:eastAsia="ja-JP"/>
        </w:rPr>
        <w:t xml:space="preserve">Breeding habitat use and conservation status of the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in northern Spain. </w:t>
      </w:r>
      <w:r w:rsidRPr="008C00B8">
        <w:rPr>
          <w:rFonts w:eastAsia="MS Mincho" w:cs="Arial"/>
          <w:i/>
          <w:szCs w:val="18"/>
          <w:lang w:val="de-DE" w:eastAsia="ja-JP"/>
        </w:rPr>
        <w:t>Ardeola</w:t>
      </w:r>
      <w:r w:rsidRPr="008C00B8">
        <w:rPr>
          <w:rFonts w:eastAsia="MS Mincho" w:cs="Arial"/>
          <w:szCs w:val="18"/>
          <w:lang w:val="de-DE" w:eastAsia="ja-JP"/>
        </w:rPr>
        <w:t xml:space="preserve"> 59(2): 291-300.</w:t>
      </w:r>
    </w:p>
    <w:p w14:paraId="391BB884" w14:textId="77777777" w:rsidR="00C96521" w:rsidRPr="008C00B8" w:rsidRDefault="00C96521" w:rsidP="00C96521">
      <w:pPr>
        <w:widowControl/>
        <w:autoSpaceDE/>
        <w:autoSpaceDN/>
        <w:adjustRightInd/>
        <w:spacing w:line="276" w:lineRule="auto"/>
        <w:rPr>
          <w:rFonts w:eastAsia="MS Mincho" w:cs="Arial"/>
          <w:b/>
          <w:szCs w:val="18"/>
          <w:lang w:val="de-DE" w:eastAsia="ja-JP"/>
        </w:rPr>
      </w:pPr>
    </w:p>
    <w:p w14:paraId="77826569" w14:textId="77777777" w:rsidR="00C96521" w:rsidRPr="008C00B8" w:rsidRDefault="00C96521" w:rsidP="00C96521">
      <w:pPr>
        <w:widowControl/>
        <w:autoSpaceDE/>
        <w:autoSpaceDN/>
        <w:adjustRightInd/>
        <w:spacing w:line="276" w:lineRule="auto"/>
        <w:rPr>
          <w:rFonts w:eastAsia="MS Mincho" w:cs="Arial"/>
          <w:szCs w:val="18"/>
          <w:lang w:val="de-DE" w:eastAsia="ja-JP"/>
        </w:rPr>
      </w:pPr>
      <w:r w:rsidRPr="008C00B8">
        <w:rPr>
          <w:rFonts w:eastAsia="MS Mincho" w:cs="Arial"/>
          <w:b/>
          <w:szCs w:val="18"/>
          <w:lang w:val="de-DE" w:eastAsia="ja-JP"/>
        </w:rPr>
        <w:t>SCHMID H, LUDER R, NAEF-DAENZER B, GRAF R and ZBINDEN N (1998)</w:t>
      </w:r>
      <w:r w:rsidRPr="008C00B8">
        <w:rPr>
          <w:rFonts w:eastAsia="MS Mincho" w:cs="Arial"/>
          <w:szCs w:val="18"/>
          <w:lang w:val="de-DE" w:eastAsia="ja-JP"/>
        </w:rPr>
        <w:t xml:space="preserve"> </w:t>
      </w:r>
      <w:r w:rsidRPr="008C00B8">
        <w:rPr>
          <w:rFonts w:eastAsia="MS Mincho" w:cs="Arial"/>
          <w:i/>
          <w:szCs w:val="18"/>
          <w:lang w:val="de-DE" w:eastAsia="ja-JP"/>
        </w:rPr>
        <w:t>Schweizer Brutvogelatlas</w:t>
      </w:r>
      <w:r w:rsidRPr="008C00B8">
        <w:rPr>
          <w:rFonts w:eastAsia="MS Mincho" w:cs="Arial"/>
          <w:szCs w:val="18"/>
          <w:lang w:val="de-DE" w:eastAsia="ja-JP"/>
        </w:rPr>
        <w:t>. Schweizerische Vogelwarte, Sempach.</w:t>
      </w:r>
    </w:p>
    <w:p w14:paraId="60795598" w14:textId="77777777" w:rsidR="00C96521" w:rsidRPr="008C00B8" w:rsidRDefault="00C96521" w:rsidP="00C96521">
      <w:pPr>
        <w:widowControl/>
        <w:autoSpaceDE/>
        <w:autoSpaceDN/>
        <w:adjustRightInd/>
        <w:spacing w:line="276" w:lineRule="auto"/>
        <w:rPr>
          <w:rFonts w:eastAsia="MS Mincho" w:cs="Arial"/>
          <w:szCs w:val="18"/>
          <w:lang w:val="de-DE" w:eastAsia="ja-JP"/>
        </w:rPr>
      </w:pPr>
    </w:p>
    <w:p w14:paraId="29D58A2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C00B8">
        <w:rPr>
          <w:rFonts w:eastAsia="MS Mincho" w:cs="Arial"/>
          <w:b/>
          <w:szCs w:val="18"/>
          <w:lang w:val="de-DE" w:eastAsia="ja-JP"/>
        </w:rPr>
        <w:t>SCHMID H, BURKHARDT M, KELLER V, KNAUS P, VOLET B and ZBINDEN N (2001)</w:t>
      </w:r>
      <w:r w:rsidRPr="008C00B8">
        <w:rPr>
          <w:rFonts w:eastAsia="MS Mincho" w:cs="Arial"/>
          <w:szCs w:val="18"/>
          <w:lang w:val="de-DE" w:eastAsia="ja-JP"/>
        </w:rPr>
        <w:t xml:space="preserve"> </w:t>
      </w:r>
      <w:r w:rsidRPr="008C00B8">
        <w:rPr>
          <w:rFonts w:eastAsia="MS Mincho" w:cs="Arial"/>
          <w:i/>
          <w:szCs w:val="18"/>
          <w:lang w:val="de-DE" w:eastAsia="ja-JP"/>
        </w:rPr>
        <w:t xml:space="preserve">Die Entwicklung der Vogelwelt in der Schweiz. </w:t>
      </w:r>
      <w:r w:rsidRPr="00C96521">
        <w:rPr>
          <w:rFonts w:eastAsia="MS Mincho" w:cs="Arial"/>
          <w:i/>
          <w:szCs w:val="18"/>
          <w:lang w:val="en-GB" w:eastAsia="ja-JP"/>
        </w:rPr>
        <w:t>Avifauna Report Sempach</w:t>
      </w:r>
      <w:r w:rsidRPr="00C96521">
        <w:rPr>
          <w:rFonts w:eastAsia="MS Mincho" w:cs="Arial"/>
          <w:szCs w:val="18"/>
          <w:lang w:val="en-GB" w:eastAsia="ja-JP"/>
        </w:rPr>
        <w:t>. Schweizersische Vogelwarte, Sempach.</w:t>
      </w:r>
    </w:p>
    <w:p w14:paraId="0021BD28" w14:textId="77777777" w:rsidR="00C96521" w:rsidRPr="00C96521" w:rsidRDefault="00C96521" w:rsidP="00C96521">
      <w:pPr>
        <w:widowControl/>
        <w:spacing w:line="276" w:lineRule="auto"/>
        <w:rPr>
          <w:rFonts w:eastAsia="MS Mincho" w:cs="Arial"/>
          <w:b/>
          <w:szCs w:val="18"/>
          <w:lang w:val="en-GB" w:eastAsia="ja-JP"/>
        </w:rPr>
      </w:pPr>
    </w:p>
    <w:p w14:paraId="296269D8"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SCHULZ J, PADDING P and MILLSPAUGH J (2006)</w:t>
      </w:r>
      <w:r w:rsidRPr="00C96521">
        <w:rPr>
          <w:rFonts w:eastAsia="MS Mincho" w:cs="Arial"/>
          <w:szCs w:val="18"/>
          <w:lang w:val="en-GB" w:eastAsia="ja-JP"/>
        </w:rPr>
        <w:t xml:space="preserve"> Will Mourning Dove crippling rates increase with nontoxic-shot regulations? </w:t>
      </w:r>
      <w:r w:rsidRPr="00C96521">
        <w:rPr>
          <w:rFonts w:eastAsia="MS Mincho" w:cs="Arial"/>
          <w:i/>
          <w:szCs w:val="18"/>
          <w:lang w:val="en-GB" w:eastAsia="ja-JP"/>
        </w:rPr>
        <w:t>Wildlife Society Bulletin</w:t>
      </w:r>
      <w:r w:rsidRPr="00C96521">
        <w:rPr>
          <w:rFonts w:eastAsia="MS Mincho" w:cs="Arial"/>
          <w:szCs w:val="18"/>
          <w:lang w:val="en-GB" w:eastAsia="ja-JP"/>
        </w:rPr>
        <w:t xml:space="preserve"> 34(3): 861-865.</w:t>
      </w:r>
    </w:p>
    <w:p w14:paraId="3F8353C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C32702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SEO/BIRDLIFE (2016a)</w:t>
      </w:r>
      <w:r w:rsidRPr="00C96521">
        <w:rPr>
          <w:rFonts w:eastAsia="MS Mincho" w:cs="Arial"/>
          <w:szCs w:val="18"/>
          <w:lang w:val="en-GB" w:eastAsia="ja-JP"/>
        </w:rPr>
        <w:t xml:space="preserve"> </w:t>
      </w:r>
      <w:r w:rsidRPr="00C96521">
        <w:rPr>
          <w:rFonts w:eastAsia="MS Mincho" w:cs="Arial"/>
          <w:i/>
          <w:szCs w:val="18"/>
          <w:lang w:val="en-GB" w:eastAsia="ja-JP"/>
        </w:rPr>
        <w:t xml:space="preserve">Analysis of environmental correlates of Turtle-dove </w:t>
      </w:r>
      <w:r w:rsidRPr="00C96521">
        <w:rPr>
          <w:rFonts w:eastAsia="MS Mincho" w:cs="Arial"/>
          <w:szCs w:val="18"/>
          <w:lang w:val="en-GB" w:eastAsia="ja-JP"/>
        </w:rPr>
        <w:t>Streptopelia turtur</w:t>
      </w:r>
      <w:r w:rsidRPr="00C96521">
        <w:rPr>
          <w:rFonts w:eastAsia="MS Mincho" w:cs="Arial"/>
          <w:i/>
          <w:szCs w:val="18"/>
          <w:lang w:val="en-GB" w:eastAsia="ja-JP"/>
        </w:rPr>
        <w:t xml:space="preserve"> abundance in Spain using data from SACRE</w:t>
      </w:r>
      <w:r w:rsidRPr="00C96521">
        <w:rPr>
          <w:rFonts w:eastAsia="MS Mincho" w:cs="Arial"/>
          <w:szCs w:val="18"/>
          <w:lang w:val="en-GB" w:eastAsia="ja-JP"/>
        </w:rPr>
        <w:t>.</w:t>
      </w:r>
    </w:p>
    <w:p w14:paraId="260681F5"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2B4676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bCs/>
          <w:szCs w:val="18"/>
          <w:lang w:val="es-ES" w:eastAsia="ja-JP"/>
        </w:rPr>
        <w:t>SEO/BIRDLIFE (2016b)</w:t>
      </w:r>
      <w:r w:rsidRPr="00890F11">
        <w:rPr>
          <w:rFonts w:eastAsia="MS Mincho" w:cs="Arial"/>
          <w:szCs w:val="18"/>
          <w:lang w:val="es-ES" w:eastAsia="ja-JP"/>
        </w:rPr>
        <w:t xml:space="preserve"> </w:t>
      </w:r>
      <w:r w:rsidRPr="00890F11">
        <w:rPr>
          <w:rFonts w:eastAsia="MS Mincho" w:cs="Arial"/>
          <w:i/>
          <w:iCs/>
          <w:szCs w:val="18"/>
          <w:lang w:val="es-ES" w:eastAsia="ja-JP"/>
        </w:rPr>
        <w:t>Programas de Seguimiento y grupos de trabajo de SEO/BirdLife 2015</w:t>
      </w:r>
      <w:r w:rsidRPr="00890F11">
        <w:rPr>
          <w:rFonts w:eastAsia="MS Mincho" w:cs="Arial"/>
          <w:szCs w:val="18"/>
          <w:lang w:val="es-ES" w:eastAsia="ja-JP"/>
        </w:rPr>
        <w:t xml:space="preserve">. </w:t>
      </w:r>
      <w:r w:rsidRPr="00C96521">
        <w:rPr>
          <w:rFonts w:eastAsia="MS Mincho" w:cs="Arial"/>
          <w:szCs w:val="18"/>
          <w:lang w:val="en-GB" w:eastAsia="ja-JP"/>
        </w:rPr>
        <w:t>SEO/BirdLife, Madrid.</w:t>
      </w:r>
    </w:p>
    <w:p w14:paraId="3DEF9443"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B17B0D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SHARROCK JTR (1976)</w:t>
      </w:r>
      <w:r w:rsidRPr="00C96521">
        <w:rPr>
          <w:rFonts w:eastAsia="MS Mincho" w:cs="Arial"/>
          <w:bCs/>
          <w:szCs w:val="18"/>
          <w:lang w:val="en-GB" w:eastAsia="ja-JP"/>
        </w:rPr>
        <w:t xml:space="preserve"> </w:t>
      </w:r>
      <w:r w:rsidRPr="00C96521">
        <w:rPr>
          <w:rFonts w:eastAsia="MS Mincho" w:cs="Arial"/>
          <w:i/>
          <w:szCs w:val="18"/>
          <w:lang w:val="en-GB" w:eastAsia="ja-JP"/>
        </w:rPr>
        <w:t>The atlas of breeding birds in Britain and Ireland</w:t>
      </w:r>
      <w:r w:rsidRPr="00C96521">
        <w:rPr>
          <w:rFonts w:eastAsia="MS Mincho" w:cs="Arial"/>
          <w:szCs w:val="18"/>
          <w:lang w:val="en-GB" w:eastAsia="ja-JP"/>
        </w:rPr>
        <w:t>. British Trust for Ornithology, Thetford.</w:t>
      </w:r>
    </w:p>
    <w:p w14:paraId="46E92F62"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ACB8A4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SHEEHAN DK, WOTTON S, DUNN JC and MORRIS TJ (2014)</w:t>
      </w:r>
      <w:r w:rsidRPr="00C96521">
        <w:rPr>
          <w:rFonts w:eastAsia="MS Mincho" w:cs="Arial"/>
          <w:szCs w:val="18"/>
          <w:lang w:val="en-GB" w:eastAsia="ja-JP"/>
        </w:rPr>
        <w:t xml:space="preserve"> Ähnliches Schicksal: Wandertaube damals –</w:t>
      </w:r>
    </w:p>
    <w:p w14:paraId="6D85CC0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szCs w:val="18"/>
          <w:lang w:val="en-GB" w:eastAsia="ja-JP"/>
        </w:rPr>
        <w:t xml:space="preserve">Turteltaube heute. </w:t>
      </w:r>
      <w:r w:rsidRPr="00C96521">
        <w:rPr>
          <w:rFonts w:eastAsia="MS Mincho" w:cs="Arial"/>
          <w:i/>
          <w:szCs w:val="18"/>
          <w:lang w:val="en-GB" w:eastAsia="ja-JP"/>
        </w:rPr>
        <w:t>Der Falke</w:t>
      </w:r>
      <w:r w:rsidRPr="00C96521">
        <w:rPr>
          <w:rFonts w:eastAsia="MS Mincho" w:cs="Arial"/>
          <w:szCs w:val="18"/>
          <w:lang w:val="en-GB" w:eastAsia="ja-JP"/>
        </w:rPr>
        <w:t xml:space="preserve"> 61(2): 28-31.</w:t>
      </w:r>
    </w:p>
    <w:p w14:paraId="40F0B50E"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D5EC0CF" w14:textId="77777777" w:rsidR="00C96521" w:rsidRPr="00C96521" w:rsidRDefault="00C96521" w:rsidP="00C96521">
      <w:pPr>
        <w:widowControl/>
        <w:spacing w:line="276" w:lineRule="auto"/>
        <w:rPr>
          <w:rFonts w:eastAsia="Calibri" w:cs="Arial"/>
          <w:color w:val="000000"/>
          <w:szCs w:val="18"/>
          <w:lang w:val="en-GB"/>
        </w:rPr>
      </w:pPr>
      <w:r w:rsidRPr="00C96521">
        <w:rPr>
          <w:rFonts w:eastAsia="Calibri" w:cs="Arial"/>
          <w:b/>
          <w:color w:val="000000"/>
          <w:szCs w:val="18"/>
          <w:lang w:val="en-GB"/>
        </w:rPr>
        <w:t>SHIRIHAI H (1996)</w:t>
      </w:r>
      <w:r w:rsidRPr="00C96521">
        <w:rPr>
          <w:rFonts w:eastAsia="Calibri" w:cs="Arial"/>
          <w:color w:val="000000"/>
          <w:szCs w:val="18"/>
          <w:lang w:val="en-GB"/>
        </w:rPr>
        <w:t xml:space="preserve"> </w:t>
      </w:r>
      <w:r w:rsidRPr="00C96521">
        <w:rPr>
          <w:rFonts w:eastAsia="Calibri" w:cs="Arial"/>
          <w:i/>
          <w:iCs/>
          <w:color w:val="000000"/>
          <w:szCs w:val="18"/>
          <w:lang w:val="en-GB"/>
        </w:rPr>
        <w:t>The Birds of Israel</w:t>
      </w:r>
      <w:r w:rsidRPr="00C96521">
        <w:rPr>
          <w:rFonts w:eastAsia="Calibri" w:cs="Arial"/>
          <w:color w:val="000000"/>
          <w:szCs w:val="18"/>
          <w:lang w:val="en-GB"/>
        </w:rPr>
        <w:t>. Academic Press, London.</w:t>
      </w:r>
    </w:p>
    <w:p w14:paraId="6717C686"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1627F04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lastRenderedPageBreak/>
        <w:t>SIKORA A, ROHDE Z, GROMADZKI M, NEUBAUER G and CHYLARECKI P (2007)</w:t>
      </w:r>
      <w:r w:rsidRPr="00C96521">
        <w:rPr>
          <w:rFonts w:eastAsia="MS Mincho" w:cs="Arial"/>
          <w:szCs w:val="18"/>
          <w:lang w:val="en-GB" w:eastAsia="ja-JP"/>
        </w:rPr>
        <w:t xml:space="preserve"> </w:t>
      </w:r>
      <w:r w:rsidRPr="00C96521">
        <w:rPr>
          <w:rFonts w:eastAsia="MS Mincho" w:cs="Arial"/>
          <w:i/>
          <w:szCs w:val="18"/>
          <w:lang w:val="en-GB" w:eastAsia="ja-JP"/>
        </w:rPr>
        <w:t>Atlas rozmieszczenia ptaków lęgowych Polski 1985-2004 – The atlas of breeding birds in Poland 1985-2004</w:t>
      </w:r>
      <w:r w:rsidRPr="00C96521">
        <w:rPr>
          <w:rFonts w:eastAsia="MS Mincho" w:cs="Arial"/>
          <w:szCs w:val="18"/>
          <w:lang w:val="en-GB" w:eastAsia="ja-JP"/>
        </w:rPr>
        <w:t>. Bogucki Wydawnictwo Naukowe, Poznań.</w:t>
      </w:r>
    </w:p>
    <w:p w14:paraId="153A89D9"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01C71570" w14:textId="77777777" w:rsidR="00C96521" w:rsidRPr="00C96521" w:rsidRDefault="00C96521" w:rsidP="00C96521">
      <w:pPr>
        <w:widowControl/>
        <w:spacing w:line="276" w:lineRule="auto"/>
        <w:rPr>
          <w:rFonts w:eastAsia="MS Mincho" w:cs="Arial"/>
          <w:b/>
          <w:szCs w:val="18"/>
          <w:lang w:val="en-GB" w:eastAsia="ja-JP"/>
        </w:rPr>
      </w:pPr>
      <w:r w:rsidRPr="00C96521">
        <w:rPr>
          <w:rFonts w:eastAsia="MS Mincho" w:cs="Arial"/>
          <w:b/>
          <w:szCs w:val="18"/>
          <w:lang w:val="en-GB" w:eastAsia="ja-JP"/>
        </w:rPr>
        <w:t xml:space="preserve">SIRIWARDENA GM, BAILLIE SR, CRICK HQP, WILSON JD and GATES S (2000) </w:t>
      </w:r>
      <w:r w:rsidRPr="00C96521">
        <w:rPr>
          <w:rFonts w:eastAsia="MS Mincho" w:cs="Arial"/>
          <w:szCs w:val="18"/>
          <w:lang w:val="en-GB" w:eastAsia="ja-JP"/>
        </w:rPr>
        <w:t xml:space="preserve">The demography of lowland farmland birds. In: </w:t>
      </w:r>
      <w:r w:rsidRPr="00C96521">
        <w:rPr>
          <w:rFonts w:eastAsia="MS Mincho" w:cs="Arial"/>
          <w:i/>
          <w:szCs w:val="18"/>
          <w:lang w:val="en-GB" w:eastAsia="ja-JP"/>
        </w:rPr>
        <w:t xml:space="preserve">Ecology and Conservation of Lowland Farmland Birds. Procedings of the 1999 BOU Species Conference. </w:t>
      </w:r>
      <w:r w:rsidRPr="00C96521">
        <w:rPr>
          <w:rFonts w:eastAsia="MS Mincho" w:cs="Arial"/>
          <w:szCs w:val="18"/>
          <w:lang w:val="en-GB" w:eastAsia="ja-JP"/>
        </w:rPr>
        <w:t>BTO, Thetford. pp 117-133.</w:t>
      </w:r>
    </w:p>
    <w:p w14:paraId="4D8E27BA" w14:textId="77777777" w:rsidR="00C96521" w:rsidRPr="00C96521" w:rsidRDefault="00C96521" w:rsidP="00C96521">
      <w:pPr>
        <w:widowControl/>
        <w:spacing w:line="276" w:lineRule="auto"/>
        <w:rPr>
          <w:rFonts w:eastAsia="MS Mincho" w:cs="Arial"/>
          <w:b/>
          <w:szCs w:val="18"/>
          <w:lang w:val="en-GB" w:eastAsia="ja-JP"/>
        </w:rPr>
      </w:pPr>
    </w:p>
    <w:p w14:paraId="6196F3B2"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SLABEYOVÁ K, RIDZOÑ J and KROPIL R (2009)</w:t>
      </w:r>
      <w:r w:rsidRPr="00C96521">
        <w:rPr>
          <w:rFonts w:eastAsia="MS Mincho" w:cs="Arial"/>
          <w:szCs w:val="18"/>
          <w:lang w:val="en-GB" w:eastAsia="ja-JP"/>
        </w:rPr>
        <w:t xml:space="preserve"> Trendy početnosti bežných druhov vtákov na Slovensku v rokoch 2005–2009. Trends in common birds abundance in Slovakia during 2005–2009. </w:t>
      </w:r>
      <w:r w:rsidRPr="00C96521">
        <w:rPr>
          <w:rFonts w:eastAsia="MS Mincho" w:cs="Arial"/>
          <w:i/>
          <w:szCs w:val="18"/>
          <w:lang w:val="en-GB" w:eastAsia="ja-JP"/>
        </w:rPr>
        <w:t>Tichodroma</w:t>
      </w:r>
      <w:r w:rsidRPr="00C96521">
        <w:rPr>
          <w:rFonts w:eastAsia="MS Mincho" w:cs="Arial"/>
          <w:szCs w:val="18"/>
          <w:lang w:val="en-GB" w:eastAsia="ja-JP"/>
        </w:rPr>
        <w:t xml:space="preserve"> 21: 1-13.</w:t>
      </w:r>
    </w:p>
    <w:p w14:paraId="770FDE6F"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6D5424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SNOW DW and PERRINS CM (1998)</w:t>
      </w:r>
      <w:r w:rsidRPr="00C96521">
        <w:rPr>
          <w:rFonts w:eastAsia="MS Mincho" w:cs="Arial"/>
          <w:bCs/>
          <w:szCs w:val="18"/>
          <w:lang w:val="en-GB" w:eastAsia="ja-JP"/>
        </w:rPr>
        <w:t xml:space="preserve"> </w:t>
      </w:r>
      <w:r w:rsidRPr="00C96521">
        <w:rPr>
          <w:rFonts w:eastAsia="MS Mincho" w:cs="Arial"/>
          <w:i/>
          <w:szCs w:val="18"/>
          <w:lang w:val="en-GB" w:eastAsia="ja-JP"/>
        </w:rPr>
        <w:t>The Birds of the Western Palearctic. Concise Edition Vol. 1 Non-passerines.</w:t>
      </w:r>
      <w:r w:rsidRPr="00C96521">
        <w:rPr>
          <w:rFonts w:eastAsia="MS Mincho" w:cs="Arial"/>
          <w:szCs w:val="18"/>
          <w:lang w:val="en-GB" w:eastAsia="ja-JP"/>
        </w:rPr>
        <w:t xml:space="preserve"> Oxford University Press, Oxford. pp 856-859.</w:t>
      </w:r>
    </w:p>
    <w:p w14:paraId="2E5D9F73" w14:textId="77777777" w:rsidR="00C96521" w:rsidRPr="00C96521" w:rsidRDefault="00C96521" w:rsidP="00C96521">
      <w:pPr>
        <w:widowControl/>
        <w:spacing w:line="276" w:lineRule="auto"/>
        <w:rPr>
          <w:rFonts w:eastAsia="MS Mincho" w:cs="Arial"/>
          <w:b/>
          <w:szCs w:val="18"/>
          <w:lang w:val="en-GB" w:eastAsia="ja-JP"/>
        </w:rPr>
      </w:pPr>
    </w:p>
    <w:p w14:paraId="58BAD4F2"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bCs/>
          <w:szCs w:val="18"/>
          <w:lang w:val="en-GB" w:eastAsia="ja-JP"/>
        </w:rPr>
        <w:t>SORRENTI M and TRAMONTANA D (2016)</w:t>
      </w:r>
      <w:r w:rsidRPr="00C96521">
        <w:rPr>
          <w:rFonts w:eastAsia="MS Mincho" w:cs="Arial"/>
          <w:b/>
          <w:szCs w:val="18"/>
          <w:lang w:val="en-GB" w:eastAsia="ja-JP"/>
        </w:rPr>
        <w:t xml:space="preserve"> </w:t>
      </w:r>
      <w:r w:rsidRPr="00C96521">
        <w:rPr>
          <w:rFonts w:eastAsia="MS Mincho" w:cs="Arial"/>
          <w:i/>
          <w:szCs w:val="18"/>
          <w:lang w:val="en-GB" w:eastAsia="ja-JP"/>
        </w:rPr>
        <w:t xml:space="preserve">Estimate of turtle-dove </w:t>
      </w:r>
      <w:r w:rsidRPr="00C96521">
        <w:rPr>
          <w:rFonts w:eastAsia="MS Mincho" w:cs="Arial"/>
          <w:szCs w:val="18"/>
          <w:lang w:val="en-GB" w:eastAsia="ja-JP"/>
        </w:rPr>
        <w:t>Streptopelia turtur</w:t>
      </w:r>
      <w:r w:rsidRPr="00C96521">
        <w:rPr>
          <w:rFonts w:eastAsia="MS Mincho" w:cs="Arial"/>
          <w:i/>
          <w:szCs w:val="18"/>
          <w:lang w:val="en-GB" w:eastAsia="ja-JP"/>
        </w:rPr>
        <w:t xml:space="preserve"> harvest in Italy</w:t>
      </w:r>
      <w:r w:rsidRPr="00C96521">
        <w:rPr>
          <w:rFonts w:eastAsia="MS Mincho" w:cs="Arial"/>
          <w:szCs w:val="18"/>
          <w:lang w:val="en-GB" w:eastAsia="ja-JP"/>
        </w:rPr>
        <w:t>. Federazione Italiana della Caccia – Ufficio Avifauna Migratoria.</w:t>
      </w:r>
    </w:p>
    <w:p w14:paraId="12881D69" w14:textId="77777777" w:rsidR="00C96521" w:rsidRPr="00C96521" w:rsidRDefault="00C96521" w:rsidP="00C96521">
      <w:pPr>
        <w:widowControl/>
        <w:spacing w:line="276" w:lineRule="auto"/>
        <w:rPr>
          <w:rFonts w:eastAsia="MS Mincho" w:cs="Arial"/>
          <w:szCs w:val="18"/>
          <w:lang w:val="en-GB" w:eastAsia="ja-JP"/>
        </w:rPr>
      </w:pPr>
    </w:p>
    <w:p w14:paraId="0ADD024A"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SOTNIKOV VN (2002)</w:t>
      </w:r>
      <w:r w:rsidRPr="00C96521">
        <w:rPr>
          <w:rFonts w:eastAsia="MS Mincho" w:cs="Arial"/>
          <w:i/>
          <w:szCs w:val="18"/>
          <w:lang w:val="en-GB" w:eastAsia="ja-JP"/>
        </w:rPr>
        <w:t xml:space="preserve"> Birds of Kirov Region and adjacent territories. Non-passeriformes. Vol. 2 (2).</w:t>
      </w:r>
      <w:r w:rsidRPr="00C96521">
        <w:rPr>
          <w:rFonts w:eastAsia="MS Mincho" w:cs="Arial"/>
          <w:szCs w:val="18"/>
          <w:lang w:val="en-GB" w:eastAsia="ja-JP"/>
        </w:rPr>
        <w:t xml:space="preserve"> Triada-S, Kirov. [in Russian]</w:t>
      </w:r>
    </w:p>
    <w:p w14:paraId="5BAD8CC0"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BFD809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SOVON (2002)</w:t>
      </w:r>
      <w:r w:rsidRPr="00C96521">
        <w:rPr>
          <w:rFonts w:eastAsia="MS Mincho" w:cs="Arial"/>
          <w:szCs w:val="18"/>
          <w:lang w:val="en-GB" w:eastAsia="ja-JP"/>
        </w:rPr>
        <w:t xml:space="preserve"> </w:t>
      </w:r>
      <w:r w:rsidRPr="00C96521">
        <w:rPr>
          <w:rFonts w:eastAsia="MS Mincho" w:cs="Arial"/>
          <w:i/>
          <w:szCs w:val="18"/>
          <w:lang w:val="en-GB" w:eastAsia="ja-JP"/>
        </w:rPr>
        <w:t>Atlas van de Nederlandse broedvogels 1998-2000</w:t>
      </w:r>
      <w:r w:rsidRPr="00C96521">
        <w:rPr>
          <w:rFonts w:eastAsia="MS Mincho" w:cs="Arial"/>
          <w:szCs w:val="18"/>
          <w:lang w:val="en-GB" w:eastAsia="ja-JP"/>
        </w:rPr>
        <w:t>. Verspreiding, aantallen, verandering (Nederlandse Fauna 5). Nationaal Natuurhistorisch Museum Naturalis, KNNV Uitgeverij and EIS-Nederland, Leiden.</w:t>
      </w:r>
    </w:p>
    <w:p w14:paraId="373BB8DD" w14:textId="77777777" w:rsidR="00C96521" w:rsidRPr="00C96521" w:rsidRDefault="00C96521" w:rsidP="00C96521">
      <w:pPr>
        <w:widowControl/>
        <w:spacing w:line="276" w:lineRule="auto"/>
        <w:rPr>
          <w:rFonts w:eastAsia="MS Mincho" w:cs="Arial"/>
          <w:b/>
          <w:szCs w:val="18"/>
          <w:lang w:val="en-GB" w:eastAsia="ja-JP"/>
        </w:rPr>
      </w:pPr>
    </w:p>
    <w:p w14:paraId="092FC81C" w14:textId="77777777" w:rsidR="00C96521" w:rsidRPr="00890F11" w:rsidRDefault="00C96521" w:rsidP="00C96521">
      <w:pPr>
        <w:widowControl/>
        <w:spacing w:line="276" w:lineRule="auto"/>
        <w:rPr>
          <w:rFonts w:eastAsia="MS Mincho" w:cs="Arial"/>
          <w:szCs w:val="18"/>
          <w:lang w:val="es-ES" w:eastAsia="ja-JP"/>
        </w:rPr>
      </w:pPr>
      <w:r w:rsidRPr="00C96521">
        <w:rPr>
          <w:rFonts w:eastAsia="MS Mincho" w:cs="Arial"/>
          <w:b/>
          <w:szCs w:val="18"/>
          <w:lang w:val="en-GB" w:eastAsia="ja-JP"/>
        </w:rPr>
        <w:t>SPINA F and VOLPONI S (2008)</w:t>
      </w:r>
      <w:r w:rsidRPr="00C96521">
        <w:rPr>
          <w:rFonts w:eastAsia="MS Mincho" w:cs="Arial"/>
          <w:szCs w:val="18"/>
          <w:lang w:val="en-GB" w:eastAsia="ja-JP"/>
        </w:rPr>
        <w:t xml:space="preserve"> La tortola selvatica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8C00B8">
        <w:rPr>
          <w:rFonts w:eastAsia="MS Mincho" w:cs="Arial"/>
          <w:szCs w:val="18"/>
          <w:lang w:val="fr-FR" w:eastAsia="ja-JP"/>
        </w:rPr>
        <w:t xml:space="preserve">In: </w:t>
      </w:r>
      <w:r w:rsidRPr="008C00B8">
        <w:rPr>
          <w:rFonts w:eastAsia="MS Mincho" w:cs="Arial"/>
          <w:i/>
          <w:szCs w:val="18"/>
          <w:lang w:val="fr-FR" w:eastAsia="ja-JP"/>
        </w:rPr>
        <w:t>Atlante della migrazione degli Uccelli in Italia. 1. Non-Passeriformi</w:t>
      </w:r>
      <w:r w:rsidRPr="008C00B8">
        <w:rPr>
          <w:rFonts w:eastAsia="MS Mincho" w:cs="Arial"/>
          <w:szCs w:val="18"/>
          <w:lang w:val="fr-FR" w:eastAsia="ja-JP"/>
        </w:rPr>
        <w:t xml:space="preserve">. </w:t>
      </w:r>
      <w:r w:rsidRPr="00890F11">
        <w:rPr>
          <w:rFonts w:eastAsia="MS Mincho" w:cs="Arial"/>
          <w:szCs w:val="18"/>
          <w:lang w:val="es-ES" w:eastAsia="ja-JP"/>
        </w:rPr>
        <w:t>Ministero dell’Ambiente e della Tutela del Territorio e del Mare, Istituto Superiore per la Protezione e la Ricera Ambientale (ISPRA), Tipografia SCR, Roma.</w:t>
      </w:r>
    </w:p>
    <w:p w14:paraId="091C9B23" w14:textId="77777777" w:rsidR="00C96521" w:rsidRPr="00890F11" w:rsidRDefault="00C96521" w:rsidP="00C96521">
      <w:pPr>
        <w:widowControl/>
        <w:spacing w:line="276" w:lineRule="auto"/>
        <w:rPr>
          <w:rFonts w:eastAsia="MS Mincho" w:cs="Arial"/>
          <w:b/>
          <w:szCs w:val="18"/>
          <w:lang w:val="es-ES" w:eastAsia="ja-JP"/>
        </w:rPr>
      </w:pPr>
    </w:p>
    <w:p w14:paraId="297853B3" w14:textId="77777777" w:rsidR="00C96521" w:rsidRPr="00890F11" w:rsidRDefault="00C96521" w:rsidP="00C96521">
      <w:pPr>
        <w:widowControl/>
        <w:spacing w:line="276" w:lineRule="auto"/>
        <w:rPr>
          <w:rFonts w:eastAsia="MS Mincho" w:cs="Arial"/>
          <w:szCs w:val="18"/>
          <w:lang w:val="es-ES" w:eastAsia="ja-JP"/>
        </w:rPr>
      </w:pPr>
      <w:r w:rsidRPr="00890F11">
        <w:rPr>
          <w:rFonts w:eastAsia="MS Mincho" w:cs="Arial"/>
          <w:b/>
          <w:szCs w:val="18"/>
          <w:lang w:val="es-ES" w:eastAsia="ja-JP"/>
        </w:rPr>
        <w:t>ŠTASTNÝ K, BEJČEK V and HUDEC K (1997)</w:t>
      </w:r>
      <w:r w:rsidRPr="00890F11">
        <w:rPr>
          <w:rFonts w:eastAsia="MS Mincho" w:cs="Arial"/>
          <w:szCs w:val="18"/>
          <w:lang w:val="es-ES" w:eastAsia="ja-JP"/>
        </w:rPr>
        <w:t xml:space="preserve"> </w:t>
      </w:r>
      <w:r w:rsidRPr="00890F11">
        <w:rPr>
          <w:rFonts w:eastAsia="MS Mincho" w:cs="Arial"/>
          <w:i/>
          <w:szCs w:val="18"/>
          <w:lang w:val="es-ES" w:eastAsia="ja-JP"/>
        </w:rPr>
        <w:t>Atlas hnízdního rozšíření ptáků v České republice 1985-1989</w:t>
      </w:r>
      <w:r w:rsidRPr="00890F11">
        <w:rPr>
          <w:rFonts w:eastAsia="MS Mincho" w:cs="Arial"/>
          <w:szCs w:val="18"/>
          <w:lang w:val="es-ES" w:eastAsia="ja-JP"/>
        </w:rPr>
        <w:t>. Nakladatelství a vydavatelství, Prague.</w:t>
      </w:r>
    </w:p>
    <w:p w14:paraId="082FC688"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2BE0145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es-ES" w:eastAsia="ja-JP"/>
        </w:rPr>
        <w:t>ŠTASTNÝ K, BEJČEK V and HUDEC K (2006)</w:t>
      </w:r>
      <w:r w:rsidRPr="00890F11">
        <w:rPr>
          <w:rFonts w:eastAsia="MS Mincho" w:cs="Arial"/>
          <w:szCs w:val="18"/>
          <w:lang w:val="es-ES" w:eastAsia="ja-JP"/>
        </w:rPr>
        <w:t xml:space="preserve"> </w:t>
      </w:r>
      <w:r w:rsidRPr="00890F11">
        <w:rPr>
          <w:rFonts w:eastAsia="MS Mincho" w:cs="Arial"/>
          <w:i/>
          <w:szCs w:val="18"/>
          <w:lang w:val="es-ES" w:eastAsia="ja-JP"/>
        </w:rPr>
        <w:t>Atlas hnízdního rozšíření ptáků v České republice 2001-2003</w:t>
      </w:r>
      <w:r w:rsidRPr="00890F11">
        <w:rPr>
          <w:rFonts w:eastAsia="MS Mincho" w:cs="Arial"/>
          <w:szCs w:val="18"/>
          <w:lang w:val="es-ES" w:eastAsia="ja-JP"/>
        </w:rPr>
        <w:t xml:space="preserve">. </w:t>
      </w:r>
      <w:r w:rsidRPr="00C96521">
        <w:rPr>
          <w:rFonts w:eastAsia="MS Mincho" w:cs="Arial"/>
          <w:szCs w:val="18"/>
          <w:lang w:val="en-GB" w:eastAsia="ja-JP"/>
        </w:rPr>
        <w:t>Aventinum, Prague.</w:t>
      </w:r>
    </w:p>
    <w:p w14:paraId="4E792BA4" w14:textId="77777777" w:rsidR="00C96521" w:rsidRPr="00C96521" w:rsidRDefault="00C96521" w:rsidP="00C96521">
      <w:pPr>
        <w:widowControl/>
        <w:spacing w:line="276" w:lineRule="auto"/>
        <w:rPr>
          <w:rFonts w:eastAsia="MS Mincho" w:cs="Arial"/>
          <w:szCs w:val="18"/>
          <w:lang w:val="en-GB" w:eastAsia="ja-JP"/>
        </w:rPr>
      </w:pPr>
    </w:p>
    <w:p w14:paraId="198C0AD9"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 xml:space="preserve">STOCKDALE JE, DUNN JE, GOODMAN SJ, MORRIS AJ, SHEEHAN DK, GRICE PV and HAMER KC (2015) </w:t>
      </w:r>
      <w:r w:rsidRPr="00C96521">
        <w:rPr>
          <w:rFonts w:eastAsia="MS Mincho" w:cs="Arial"/>
          <w:szCs w:val="18"/>
          <w:lang w:val="en-GB" w:eastAsia="ja-JP"/>
        </w:rPr>
        <w:t xml:space="preserve">The protozoan parasite </w:t>
      </w:r>
      <w:r w:rsidRPr="00C96521">
        <w:rPr>
          <w:rFonts w:eastAsia="MS Mincho" w:cs="Arial"/>
          <w:i/>
          <w:szCs w:val="18"/>
          <w:lang w:val="en-GB" w:eastAsia="ja-JP"/>
        </w:rPr>
        <w:t>Trichomonas gallinae</w:t>
      </w:r>
      <w:r w:rsidRPr="00C96521">
        <w:rPr>
          <w:rFonts w:eastAsia="MS Mincho" w:cs="Arial"/>
          <w:szCs w:val="18"/>
          <w:lang w:val="en-GB" w:eastAsia="ja-JP"/>
        </w:rPr>
        <w:t xml:space="preserve"> causes adult and nestling mortality in a declining population of European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Parasitology</w:t>
      </w:r>
      <w:r w:rsidRPr="00C96521">
        <w:rPr>
          <w:rFonts w:eastAsia="MS Mincho" w:cs="Arial"/>
          <w:szCs w:val="18"/>
          <w:lang w:val="en-GB" w:eastAsia="ja-JP"/>
        </w:rPr>
        <w:t xml:space="preserve"> 142(3): 490-498.</w:t>
      </w:r>
    </w:p>
    <w:p w14:paraId="2C88D943"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19039C2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SULTANA J, BORG JJ, GAUCI C and FALZO V (2011)</w:t>
      </w:r>
      <w:r w:rsidRPr="00C96521">
        <w:rPr>
          <w:rFonts w:eastAsia="MS Mincho" w:cs="Arial"/>
          <w:szCs w:val="18"/>
          <w:lang w:val="en-GB" w:eastAsia="ja-JP"/>
        </w:rPr>
        <w:t xml:space="preserve"> </w:t>
      </w:r>
      <w:r w:rsidRPr="00C96521">
        <w:rPr>
          <w:rFonts w:eastAsia="MS Mincho" w:cs="Arial"/>
          <w:i/>
          <w:szCs w:val="18"/>
          <w:lang w:val="en-GB" w:eastAsia="ja-JP"/>
        </w:rPr>
        <w:t>The Breeding Birds of Malta</w:t>
      </w:r>
      <w:r w:rsidRPr="00C96521">
        <w:rPr>
          <w:rFonts w:eastAsia="MS Mincho" w:cs="Arial"/>
          <w:szCs w:val="18"/>
          <w:lang w:val="en-GB" w:eastAsia="ja-JP"/>
        </w:rPr>
        <w:t xml:space="preserve">. BirdLife Malta, </w:t>
      </w:r>
      <w:r w:rsidRPr="00C96521">
        <w:rPr>
          <w:rFonts w:eastAsia="MS Mincho" w:cs="Arial"/>
          <w:bCs/>
          <w:szCs w:val="18"/>
          <w:lang w:val="en-GB" w:eastAsia="ja-JP"/>
        </w:rPr>
        <w:t>Ta’ Xbiex.</w:t>
      </w:r>
    </w:p>
    <w:p w14:paraId="3A8B7D6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457D44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SZÉP T, NAGY K, NAGY ZS and HALMOS G (2012)</w:t>
      </w:r>
      <w:r w:rsidRPr="00C96521">
        <w:rPr>
          <w:rFonts w:eastAsia="MS Mincho" w:cs="Arial"/>
          <w:szCs w:val="18"/>
          <w:lang w:val="en-GB" w:eastAsia="ja-JP"/>
        </w:rPr>
        <w:t xml:space="preserve"> Population trends of common breeding and wintering birds in Hungary, decline of long-distance migrant and farmland birds during 1999-2012. </w:t>
      </w:r>
      <w:r w:rsidRPr="00C96521">
        <w:rPr>
          <w:rFonts w:eastAsia="MS Mincho" w:cs="Arial"/>
          <w:i/>
          <w:szCs w:val="18"/>
          <w:lang w:val="en-GB" w:eastAsia="ja-JP"/>
        </w:rPr>
        <w:t>Ornis Hungarica</w:t>
      </w:r>
      <w:r w:rsidRPr="00C96521">
        <w:rPr>
          <w:rFonts w:eastAsia="MS Mincho" w:cs="Arial"/>
          <w:szCs w:val="18"/>
          <w:lang w:val="en-GB" w:eastAsia="ja-JP"/>
        </w:rPr>
        <w:t xml:space="preserve"> 20(2): 13-63.</w:t>
      </w:r>
    </w:p>
    <w:p w14:paraId="08788B08"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137A6B74" w14:textId="4C8AE29D"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TEUFELBAUER N and FRÜHAUF J (2016)</w:t>
      </w:r>
      <w:r w:rsidRPr="00C96521">
        <w:rPr>
          <w:rFonts w:eastAsia="MS Mincho" w:cs="Arial"/>
          <w:szCs w:val="18"/>
          <w:lang w:val="en-GB" w:eastAsia="ja-JP"/>
        </w:rPr>
        <w:t xml:space="preserve"> Developing a </w:t>
      </w:r>
      <w:r w:rsidR="00526B63">
        <w:rPr>
          <w:rFonts w:eastAsia="MS Mincho" w:cs="Arial"/>
          <w:szCs w:val="18"/>
          <w:lang w:val="en-GB" w:eastAsia="ja-JP"/>
        </w:rPr>
        <w:t>N</w:t>
      </w:r>
      <w:r w:rsidRPr="00C96521">
        <w:rPr>
          <w:rFonts w:eastAsia="MS Mincho" w:cs="Arial"/>
          <w:szCs w:val="18"/>
          <w:lang w:val="en-GB" w:eastAsia="ja-JP"/>
        </w:rPr>
        <w:t xml:space="preserve">ational Farmland Bird Index for Austria, </w:t>
      </w:r>
      <w:r w:rsidRPr="00C96521">
        <w:rPr>
          <w:rFonts w:eastAsia="MS Mincho" w:cs="Arial"/>
          <w:i/>
          <w:szCs w:val="18"/>
          <w:lang w:val="en-GB" w:eastAsia="ja-JP"/>
        </w:rPr>
        <w:t>Bird Census News</w:t>
      </w:r>
      <w:r w:rsidRPr="00C96521">
        <w:rPr>
          <w:rFonts w:eastAsia="MS Mincho" w:cs="Arial"/>
          <w:szCs w:val="18"/>
          <w:lang w:val="en-GB" w:eastAsia="ja-JP"/>
        </w:rPr>
        <w:t xml:space="preserve"> 23(1-2): 87-97.</w:t>
      </w:r>
    </w:p>
    <w:p w14:paraId="5A7907CC"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02D01F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965D7D">
        <w:rPr>
          <w:rFonts w:eastAsia="MS Mincho" w:cs="Arial"/>
          <w:b/>
          <w:szCs w:val="18"/>
          <w:lang w:val="de-DE" w:eastAsia="ja-JP"/>
        </w:rPr>
        <w:t>TEUFELBAUER N and SEAMAN B (2016)</w:t>
      </w:r>
      <w:r w:rsidRPr="00965D7D">
        <w:rPr>
          <w:rFonts w:eastAsia="MS Mincho" w:cs="Arial"/>
          <w:szCs w:val="18"/>
          <w:lang w:val="de-DE" w:eastAsia="ja-JP"/>
        </w:rPr>
        <w:t xml:space="preserve"> </w:t>
      </w:r>
      <w:r w:rsidRPr="00965D7D">
        <w:rPr>
          <w:rFonts w:eastAsia="MS Mincho" w:cs="Arial"/>
          <w:i/>
          <w:szCs w:val="18"/>
          <w:lang w:val="de-DE" w:eastAsia="ja-JP"/>
        </w:rPr>
        <w:t>Monitoring der Brutvögel Österreichs Bericht über die Saison 2015</w:t>
      </w:r>
      <w:r w:rsidRPr="00965D7D">
        <w:rPr>
          <w:rFonts w:eastAsia="MS Mincho" w:cs="Arial"/>
          <w:szCs w:val="18"/>
          <w:lang w:val="de-DE" w:eastAsia="ja-JP"/>
        </w:rPr>
        <w:t xml:space="preserve">. </w:t>
      </w:r>
      <w:r w:rsidRPr="00C96521">
        <w:rPr>
          <w:rFonts w:eastAsia="MS Mincho" w:cs="Arial"/>
          <w:szCs w:val="18"/>
          <w:lang w:val="en-GB" w:eastAsia="ja-JP"/>
        </w:rPr>
        <w:t>BirdLife Österreich, Vienna.</w:t>
      </w:r>
    </w:p>
    <w:p w14:paraId="09B126F1"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6C2FA6AB" w14:textId="5D8E42F4"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TRAFFIC (2008) </w:t>
      </w:r>
      <w:r w:rsidRPr="00C96521">
        <w:rPr>
          <w:rFonts w:eastAsia="MS Mincho" w:cs="Arial"/>
          <w:i/>
          <w:szCs w:val="18"/>
          <w:lang w:val="en-GB" w:eastAsia="ja-JP"/>
        </w:rPr>
        <w:t xml:space="preserve">The illegal trade in wild birds for food through South-east and Central Europe. </w:t>
      </w:r>
      <w:hyperlink r:id="rId60" w:history="1">
        <w:r w:rsidRPr="00C96521">
          <w:rPr>
            <w:rFonts w:eastAsia="MS Mincho" w:cs="Arial"/>
            <w:szCs w:val="18"/>
            <w:lang w:val="en-GB" w:eastAsia="ja-JP"/>
          </w:rPr>
          <w:t>http://www.trafficj.org/publication/08_Illigal_trade_in_wild_birds.pdf</w:t>
        </w:r>
      </w:hyperlink>
      <w:r w:rsidRPr="00C96521">
        <w:rPr>
          <w:rFonts w:eastAsia="MS Mincho" w:cs="Arial"/>
          <w:szCs w:val="18"/>
          <w:lang w:val="en-GB" w:eastAsia="ja-JP"/>
        </w:rPr>
        <w:t xml:space="preserve"> (last accessed 25 November 2016)</w:t>
      </w:r>
    </w:p>
    <w:p w14:paraId="7B19D405"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8E7C538" w14:textId="2272530A" w:rsidR="00C96521" w:rsidRPr="00C96521" w:rsidRDefault="00C96521" w:rsidP="00C96521">
      <w:pPr>
        <w:widowControl/>
        <w:autoSpaceDE/>
        <w:autoSpaceDN/>
        <w:adjustRightInd/>
        <w:spacing w:line="276" w:lineRule="auto"/>
        <w:rPr>
          <w:rFonts w:eastAsia="MS Mincho" w:cs="Arial"/>
          <w:i/>
          <w:szCs w:val="18"/>
          <w:lang w:val="en-GB" w:eastAsia="ja-JP"/>
        </w:rPr>
      </w:pPr>
      <w:r w:rsidRPr="00C96521">
        <w:rPr>
          <w:rFonts w:eastAsia="MS Mincho" w:cs="Arial"/>
          <w:b/>
          <w:szCs w:val="18"/>
          <w:lang w:val="en-GB" w:eastAsia="ja-JP"/>
        </w:rPr>
        <w:t xml:space="preserve">TRAVEL IN MOLDOVA (undated) </w:t>
      </w:r>
      <w:r w:rsidRPr="00C96521">
        <w:rPr>
          <w:rFonts w:eastAsia="MS Mincho" w:cs="Arial"/>
          <w:szCs w:val="18"/>
          <w:lang w:val="en-GB" w:eastAsia="ja-JP"/>
        </w:rPr>
        <w:t xml:space="preserve">Hunting tourism in Moldova. </w:t>
      </w:r>
      <w:r w:rsidRPr="00C96521">
        <w:rPr>
          <w:rFonts w:eastAsia="MS Mincho"/>
          <w:szCs w:val="18"/>
          <w:lang w:val="en-GB" w:eastAsia="ja-JP"/>
        </w:rPr>
        <w:t>http://www.travelinmoldova.com/index.php?page=hunting</w:t>
      </w:r>
      <w:r w:rsidRPr="00C96521">
        <w:rPr>
          <w:rFonts w:eastAsia="MS Mincho" w:cs="Arial"/>
          <w:szCs w:val="18"/>
          <w:lang w:val="en-GB" w:eastAsia="ja-JP"/>
        </w:rPr>
        <w:t xml:space="preserve"> (last accessed 25 November 2016)</w:t>
      </w:r>
    </w:p>
    <w:p w14:paraId="5E85C37E" w14:textId="77777777" w:rsidR="00C96521" w:rsidRPr="00C96521" w:rsidRDefault="00C96521" w:rsidP="00C96521">
      <w:pPr>
        <w:widowControl/>
        <w:autoSpaceDE/>
        <w:autoSpaceDN/>
        <w:adjustRightInd/>
        <w:spacing w:line="276" w:lineRule="auto"/>
        <w:rPr>
          <w:rFonts w:eastAsia="MS Mincho" w:cs="Arial"/>
          <w:i/>
          <w:szCs w:val="18"/>
          <w:lang w:val="en-GB" w:eastAsia="ja-JP"/>
        </w:rPr>
      </w:pPr>
    </w:p>
    <w:p w14:paraId="4CA9A3E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TUCKER GM (1996)</w:t>
      </w:r>
      <w:r w:rsidRPr="00C96521">
        <w:rPr>
          <w:rFonts w:eastAsia="MS Mincho" w:cs="Arial"/>
          <w:bCs/>
          <w:szCs w:val="18"/>
          <w:lang w:val="en-GB" w:eastAsia="ja-JP"/>
        </w:rPr>
        <w:t xml:space="preserve"> </w:t>
      </w:r>
      <w:r w:rsidRPr="00C96521">
        <w:rPr>
          <w:rFonts w:eastAsia="MS Mincho" w:cs="Arial"/>
          <w:i/>
          <w:szCs w:val="18"/>
          <w:lang w:val="en-GB" w:eastAsia="ja-JP"/>
        </w:rPr>
        <w:t>Investigation on the conservation measures taken by member states for bird species of annex II of the council directive 79/409/EEC which have an unfavourable conservation status</w:t>
      </w:r>
      <w:r w:rsidRPr="00C96521">
        <w:rPr>
          <w:rFonts w:eastAsia="MS Mincho" w:cs="Arial"/>
          <w:szCs w:val="18"/>
          <w:lang w:val="en-GB" w:eastAsia="ja-JP"/>
        </w:rPr>
        <w:t xml:space="preserve">. Ecoscope Applied Ecologists, Final report for European Commission DG XI. pp 170-175. </w:t>
      </w:r>
    </w:p>
    <w:p w14:paraId="230264D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DE31FE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TUTIŠ V, KRALJ J, RADOVIĆ D, ĆIKOVIĆ D and BARIŠIĆ S (2013) </w:t>
      </w:r>
      <w:r w:rsidRPr="00C96521">
        <w:rPr>
          <w:rFonts w:eastAsia="MS Mincho" w:cs="Arial"/>
          <w:i/>
          <w:szCs w:val="18"/>
          <w:lang w:val="en-GB" w:eastAsia="ja-JP"/>
        </w:rPr>
        <w:t xml:space="preserve">Crvena knjiga ugroženih ptica Hrvatsk. </w:t>
      </w:r>
      <w:r w:rsidRPr="00C96521">
        <w:rPr>
          <w:rFonts w:eastAsia="MS Mincho" w:cs="Arial"/>
          <w:szCs w:val="18"/>
          <w:lang w:val="en-GB" w:eastAsia="ja-JP"/>
        </w:rPr>
        <w:t>Ministarstvo zaštite okoliša i prirode i Državni zavod za zaštitu prirode, Zagreb.</w:t>
      </w:r>
    </w:p>
    <w:p w14:paraId="7D4B1F8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604821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fr-FR" w:eastAsia="ja-JP"/>
        </w:rPr>
        <w:t>UICN FRANCE, MNHN, LPO, SEOF and ONCFS (2016)</w:t>
      </w:r>
      <w:r w:rsidRPr="00890F11">
        <w:rPr>
          <w:rFonts w:eastAsia="MS Mincho" w:cs="Arial"/>
          <w:szCs w:val="18"/>
          <w:lang w:val="fr-FR" w:eastAsia="ja-JP"/>
        </w:rPr>
        <w:t xml:space="preserve"> </w:t>
      </w:r>
      <w:r w:rsidRPr="00890F11">
        <w:rPr>
          <w:rFonts w:eastAsia="MS Mincho" w:cs="Arial"/>
          <w:i/>
          <w:szCs w:val="18"/>
          <w:lang w:val="fr-FR" w:eastAsia="ja-JP"/>
        </w:rPr>
        <w:t>La liste rouge des espèces menacées en France - Chapitre Oiseaux de France métropolitaine</w:t>
      </w:r>
      <w:r w:rsidRPr="00890F11">
        <w:rPr>
          <w:rFonts w:eastAsia="MS Mincho" w:cs="Arial"/>
          <w:szCs w:val="18"/>
          <w:lang w:val="fr-FR" w:eastAsia="ja-JP"/>
        </w:rPr>
        <w:t xml:space="preserve">. </w:t>
      </w:r>
      <w:r w:rsidRPr="00C96521">
        <w:rPr>
          <w:rFonts w:eastAsia="MS Mincho" w:cs="Arial"/>
          <w:szCs w:val="18"/>
          <w:lang w:val="en-GB" w:eastAsia="ja-JP"/>
        </w:rPr>
        <w:t>Paris, France.</w:t>
      </w:r>
    </w:p>
    <w:p w14:paraId="36005BE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6D20D00" w14:textId="53F46A82" w:rsidR="00C96521" w:rsidRPr="00C96521" w:rsidRDefault="00C96521" w:rsidP="00C96521">
      <w:pPr>
        <w:widowControl/>
        <w:autoSpaceDE/>
        <w:autoSpaceDN/>
        <w:adjustRightInd/>
        <w:spacing w:line="276" w:lineRule="auto"/>
        <w:rPr>
          <w:rFonts w:eastAsia="MS Mincho" w:cs="Arial"/>
          <w:i/>
          <w:szCs w:val="18"/>
          <w:lang w:val="en-GB" w:eastAsia="ja-JP"/>
        </w:rPr>
      </w:pPr>
      <w:r w:rsidRPr="00C96521">
        <w:rPr>
          <w:rFonts w:eastAsia="MS Mincho" w:cs="Arial"/>
          <w:b/>
          <w:szCs w:val="18"/>
          <w:lang w:val="en-GB" w:eastAsia="ja-JP"/>
        </w:rPr>
        <w:t xml:space="preserve">UKRAINIAN HUNTING AND FISHING ASSOCIATION (undated) </w:t>
      </w:r>
      <w:r w:rsidRPr="00C96521">
        <w:rPr>
          <w:rFonts w:eastAsia="MS Mincho" w:cs="Arial"/>
          <w:i/>
          <w:szCs w:val="18"/>
          <w:lang w:val="en-GB" w:eastAsia="ja-JP"/>
        </w:rPr>
        <w:t xml:space="preserve">Legislation on hunting/fishing – Law of Ukraine. </w:t>
      </w:r>
      <w:hyperlink r:id="rId61" w:history="1">
        <w:r w:rsidRPr="00C96521">
          <w:rPr>
            <w:rFonts w:eastAsia="MS Mincho" w:cs="Arial"/>
            <w:szCs w:val="18"/>
            <w:lang w:val="en-GB" w:eastAsia="ja-JP"/>
          </w:rPr>
          <w:t>http://uoor.com.ua/eng/legislation/about_hunting</w:t>
        </w:r>
      </w:hyperlink>
      <w:r w:rsidRPr="00C96521">
        <w:rPr>
          <w:rFonts w:eastAsia="MS Mincho" w:cs="Arial"/>
          <w:szCs w:val="18"/>
          <w:lang w:val="en-GB" w:eastAsia="ja-JP"/>
        </w:rPr>
        <w:t>. (Last accessed on 25 November 2016)</w:t>
      </w:r>
    </w:p>
    <w:p w14:paraId="0349844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6656CDE" w14:textId="1AFC147E"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UNMIK/IPVQ (2007)</w:t>
      </w:r>
      <w:r w:rsidRPr="00C96521">
        <w:rPr>
          <w:rFonts w:eastAsia="MS Mincho" w:cs="Arial"/>
          <w:szCs w:val="18"/>
          <w:lang w:val="en-GB" w:eastAsia="ja-JP"/>
        </w:rPr>
        <w:t xml:space="preserve"> </w:t>
      </w:r>
      <w:r w:rsidRPr="00C96521">
        <w:rPr>
          <w:rFonts w:eastAsia="MS Mincho" w:cs="Arial"/>
          <w:i/>
          <w:szCs w:val="18"/>
          <w:lang w:val="en-GB" w:eastAsia="ja-JP"/>
        </w:rPr>
        <w:t>Administrative Instruction MA – No. 11/2007 Concerning the Hunting Season</w:t>
      </w:r>
      <w:r w:rsidRPr="00C96521">
        <w:rPr>
          <w:rFonts w:eastAsia="MS Mincho" w:cs="Arial"/>
          <w:szCs w:val="18"/>
          <w:lang w:val="en-GB" w:eastAsia="ja-JP"/>
        </w:rPr>
        <w:t xml:space="preserve">. </w:t>
      </w:r>
      <w:r w:rsidRPr="00C96521">
        <w:rPr>
          <w:rFonts w:eastAsia="MS Mincho"/>
          <w:szCs w:val="18"/>
          <w:lang w:val="en-GB" w:eastAsia="ja-JP"/>
        </w:rPr>
        <w:t>http://www.mbpzhr-ks.net/repository/docs/676345_AIMA-Nr._11-20007_eng.doc</w:t>
      </w:r>
      <w:r w:rsidRPr="00C96521">
        <w:rPr>
          <w:rFonts w:eastAsia="MS Mincho" w:cs="Arial"/>
          <w:szCs w:val="18"/>
          <w:lang w:val="en-GB" w:eastAsia="ja-JP"/>
        </w:rPr>
        <w:t xml:space="preserve"> (last accessed 25 November 2016)</w:t>
      </w:r>
    </w:p>
    <w:p w14:paraId="6C0E53E5"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CB5617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VERMEERSH G, ANSELIN A, DEVOS K, HERREMANS M, STEVENS J, GABRIËLS J, and van de KRIEKEN B (2004)</w:t>
      </w:r>
      <w:r w:rsidRPr="00C96521">
        <w:rPr>
          <w:rFonts w:eastAsia="MS Mincho" w:cs="Arial"/>
          <w:szCs w:val="18"/>
          <w:lang w:val="en-GB" w:eastAsia="ja-JP"/>
        </w:rPr>
        <w:t xml:space="preserve"> </w:t>
      </w:r>
      <w:r w:rsidRPr="00C96521">
        <w:rPr>
          <w:rFonts w:eastAsia="MS Mincho" w:cs="Arial"/>
          <w:i/>
          <w:szCs w:val="18"/>
          <w:lang w:val="en-GB" w:eastAsia="ja-JP"/>
        </w:rPr>
        <w:t>Atlas van de Vlaamse Broedvogels 2000-2002</w:t>
      </w:r>
      <w:r w:rsidRPr="00C96521">
        <w:rPr>
          <w:rFonts w:eastAsia="MS Mincho" w:cs="Arial"/>
          <w:szCs w:val="18"/>
          <w:lang w:val="en-GB" w:eastAsia="ja-JP"/>
        </w:rPr>
        <w:t>. Instituut voor Natuur - en Bosonderzoek, Anderlecht.</w:t>
      </w:r>
    </w:p>
    <w:p w14:paraId="5568F403"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665F294" w14:textId="225F48F0"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VOGELWARTE (2016a) </w:t>
      </w:r>
      <w:r w:rsidRPr="00C96521">
        <w:rPr>
          <w:rFonts w:eastAsia="MS Mincho" w:cs="Arial"/>
          <w:i/>
          <w:szCs w:val="18"/>
          <w:lang w:val="en-GB" w:eastAsia="ja-JP"/>
        </w:rPr>
        <w:t>Breeding population indices for 174 native, regularly breeding species 1990–2015</w:t>
      </w:r>
      <w:r w:rsidRPr="00C96521">
        <w:rPr>
          <w:rFonts w:eastAsia="MS Mincho" w:cs="Arial"/>
          <w:szCs w:val="18"/>
          <w:lang w:val="en-GB" w:eastAsia="ja-JP"/>
        </w:rPr>
        <w:t>. http://www.vogelwarte.ch/en/projects/population-trends/state-of-birds/breeding-birds/ (last accessed 31 October 2016)</w:t>
      </w:r>
    </w:p>
    <w:p w14:paraId="0017E94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05D8756" w14:textId="1AA77000"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VOGELWARTE (2016b) </w:t>
      </w:r>
      <w:r w:rsidRPr="00C96521">
        <w:rPr>
          <w:rFonts w:eastAsia="MS Mincho" w:cs="Arial"/>
          <w:i/>
          <w:szCs w:val="18"/>
          <w:lang w:val="en-GB" w:eastAsia="ja-JP"/>
        </w:rPr>
        <w:t xml:space="preserve">European Turtle-dove Streptopelia turtur- Birds of Switzerland. </w:t>
      </w:r>
      <w:r w:rsidRPr="00C96521">
        <w:rPr>
          <w:rFonts w:eastAsia="MS Mincho" w:cs="Arial"/>
          <w:szCs w:val="18"/>
          <w:lang w:val="en-GB" w:eastAsia="ja-JP"/>
        </w:rPr>
        <w:t>http://www.vogelwarte.ch/en/birds/birds-of-switzerland/european-turtle-dove.html (last accessed 31 October 2016)</w:t>
      </w:r>
    </w:p>
    <w:p w14:paraId="0F1DC4B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41052C3"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 xml:space="preserve">WABDaB (2016) </w:t>
      </w:r>
      <w:r w:rsidRPr="00C96521">
        <w:rPr>
          <w:rFonts w:eastAsia="MS Mincho" w:cs="Arial"/>
          <w:i/>
          <w:szCs w:val="18"/>
          <w:lang w:val="en-GB" w:eastAsia="ja-JP"/>
        </w:rPr>
        <w:t>European Turtle-dove</w:t>
      </w:r>
      <w:r w:rsidRPr="00C96521">
        <w:rPr>
          <w:rFonts w:eastAsia="MS Mincho" w:cs="Arial"/>
          <w:szCs w:val="18"/>
          <w:lang w:val="en-GB" w:eastAsia="ja-JP"/>
        </w:rPr>
        <w:t>. The contributors to the bilingual West African Bird DataBase (www.wabdab.org), managed by Ulf Leidén, Joost Brouwer and Tim Wacher.</w:t>
      </w:r>
    </w:p>
    <w:p w14:paraId="0143B1C0" w14:textId="77777777" w:rsidR="00C96521" w:rsidRPr="00C96521" w:rsidRDefault="00C96521" w:rsidP="00C96521">
      <w:pPr>
        <w:widowControl/>
        <w:spacing w:line="276" w:lineRule="auto"/>
        <w:rPr>
          <w:rFonts w:eastAsia="MS Mincho" w:cs="Arial"/>
          <w:szCs w:val="18"/>
          <w:lang w:val="en-GB" w:eastAsia="ja-JP"/>
        </w:rPr>
      </w:pPr>
    </w:p>
    <w:p w14:paraId="1D06BAFD"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WADE PR (1998)</w:t>
      </w:r>
      <w:r w:rsidRPr="00C96521">
        <w:rPr>
          <w:rFonts w:eastAsia="MS Mincho" w:cs="Arial"/>
          <w:szCs w:val="18"/>
          <w:lang w:val="en-GB" w:eastAsia="ja-JP"/>
        </w:rPr>
        <w:t xml:space="preserve"> </w:t>
      </w:r>
      <w:hyperlink r:id="rId62" w:history="1">
        <w:r w:rsidRPr="00C96521">
          <w:rPr>
            <w:rFonts w:eastAsia="MS Mincho" w:cs="Arial"/>
            <w:szCs w:val="18"/>
            <w:lang w:val="en-GB" w:eastAsia="ja-JP"/>
          </w:rPr>
          <w:t>Calculating limits to the allowable human-caused mortality of cetaceans and pinnipeds</w:t>
        </w:r>
      </w:hyperlink>
      <w:r w:rsidRPr="00C96521">
        <w:rPr>
          <w:rFonts w:eastAsia="MS Mincho" w:cs="Arial"/>
          <w:szCs w:val="18"/>
          <w:lang w:val="en-GB" w:eastAsia="ja-JP"/>
        </w:rPr>
        <w:t xml:space="preserve">. </w:t>
      </w:r>
      <w:r w:rsidRPr="00C96521">
        <w:rPr>
          <w:rFonts w:eastAsia="MS Mincho" w:cs="Arial"/>
          <w:i/>
          <w:szCs w:val="18"/>
          <w:lang w:val="en-GB" w:eastAsia="ja-JP"/>
        </w:rPr>
        <w:t>Marine Mammal Science</w:t>
      </w:r>
      <w:r w:rsidRPr="00C96521">
        <w:rPr>
          <w:rFonts w:eastAsia="MS Mincho" w:cs="Arial"/>
          <w:szCs w:val="18"/>
          <w:lang w:val="en-GB" w:eastAsia="ja-JP"/>
        </w:rPr>
        <w:t xml:space="preserve"> 14: 1-37.</w:t>
      </w:r>
    </w:p>
    <w:p w14:paraId="26404425" w14:textId="77777777" w:rsidR="00C96521" w:rsidRPr="00C96521" w:rsidRDefault="00C96521" w:rsidP="00C96521">
      <w:pPr>
        <w:widowControl/>
        <w:spacing w:line="276" w:lineRule="auto"/>
        <w:rPr>
          <w:rFonts w:eastAsia="MS Mincho" w:cs="Arial"/>
          <w:szCs w:val="18"/>
          <w:lang w:val="en-GB" w:eastAsia="ja-JP"/>
        </w:rPr>
      </w:pPr>
    </w:p>
    <w:p w14:paraId="0A83025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WALKER LK and MORRIS AJ (2016)</w:t>
      </w:r>
      <w:r w:rsidRPr="00C96521">
        <w:rPr>
          <w:rFonts w:eastAsia="MS Mincho" w:cs="Arial"/>
          <w:szCs w:val="18"/>
          <w:lang w:val="en-GB" w:eastAsia="ja-JP"/>
        </w:rPr>
        <w:t xml:space="preserve"> </w:t>
      </w:r>
      <w:r w:rsidRPr="00C96521">
        <w:rPr>
          <w:rFonts w:eastAsia="MS Mincho" w:cs="Arial"/>
          <w:i/>
          <w:szCs w:val="18"/>
          <w:lang w:val="en-GB" w:eastAsia="ja-JP"/>
        </w:rPr>
        <w:t>Evaluating Turtle-dove HLS Package</w:t>
      </w:r>
      <w:r w:rsidRPr="00C96521">
        <w:rPr>
          <w:rFonts w:eastAsia="MS Mincho" w:cs="Arial"/>
          <w:szCs w:val="18"/>
          <w:lang w:val="en-GB" w:eastAsia="ja-JP"/>
        </w:rPr>
        <w:t>. Report to Natural England Work Package Number ECM6924.</w:t>
      </w:r>
    </w:p>
    <w:p w14:paraId="5EFCA87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DD7C6E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WALTHER BA (2016)</w:t>
      </w:r>
      <w:r w:rsidRPr="00C96521">
        <w:rPr>
          <w:rFonts w:eastAsia="MS Mincho" w:cs="Arial"/>
          <w:szCs w:val="18"/>
          <w:lang w:val="en-GB" w:eastAsia="ja-JP"/>
        </w:rPr>
        <w:t xml:space="preserve"> A review of recent ecological changes in the Sahel, with particular reference to land-use change, plants, birds and mammals. </w:t>
      </w:r>
      <w:r w:rsidRPr="00C96521">
        <w:rPr>
          <w:rFonts w:eastAsia="MS Mincho" w:cs="Arial"/>
          <w:i/>
          <w:szCs w:val="18"/>
          <w:lang w:val="en-GB" w:eastAsia="ja-JP"/>
        </w:rPr>
        <w:t>African Journal of Ecology</w:t>
      </w:r>
      <w:r w:rsidRPr="00C96521">
        <w:rPr>
          <w:rFonts w:eastAsia="MS Mincho" w:cs="Arial"/>
          <w:szCs w:val="18"/>
          <w:lang w:val="en-GB" w:eastAsia="ja-JP"/>
        </w:rPr>
        <w:t xml:space="preserve"> 54: 268-280.</w:t>
      </w:r>
    </w:p>
    <w:p w14:paraId="79F6F3E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szCs w:val="18"/>
          <w:lang w:val="en-GB" w:eastAsia="ja-JP"/>
        </w:rPr>
        <w:t> </w:t>
      </w:r>
    </w:p>
    <w:p w14:paraId="11F77FD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WASSINK A and OREEL GJ (2008)</w:t>
      </w:r>
      <w:r w:rsidRPr="00C96521">
        <w:rPr>
          <w:rFonts w:eastAsia="MS Mincho" w:cs="Arial"/>
          <w:szCs w:val="18"/>
          <w:lang w:val="en-GB" w:eastAsia="ja-JP"/>
        </w:rPr>
        <w:t xml:space="preserve"> Birds of Kazakhstan: new and interesting data. </w:t>
      </w:r>
      <w:r w:rsidRPr="00C96521">
        <w:rPr>
          <w:rFonts w:eastAsia="MS Mincho" w:cs="Arial"/>
          <w:i/>
          <w:szCs w:val="18"/>
          <w:lang w:val="en-GB" w:eastAsia="ja-JP"/>
        </w:rPr>
        <w:t>Dutch Birding</w:t>
      </w:r>
      <w:r w:rsidRPr="00C96521">
        <w:rPr>
          <w:rFonts w:eastAsia="MS Mincho" w:cs="Arial"/>
          <w:szCs w:val="18"/>
          <w:lang w:val="en-GB" w:eastAsia="ja-JP"/>
        </w:rPr>
        <w:t> 30(2): 93-100.</w:t>
      </w:r>
    </w:p>
    <w:p w14:paraId="5EEF56D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EE3F8E9" w14:textId="45184020"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WBRU (2015)</w:t>
      </w:r>
      <w:r w:rsidRPr="00C96521">
        <w:rPr>
          <w:rFonts w:eastAsia="MS Mincho" w:cs="Arial"/>
          <w:szCs w:val="18"/>
          <w:lang w:val="en-GB" w:eastAsia="ja-JP"/>
        </w:rPr>
        <w:t xml:space="preserve"> Report on the Outcome of the 2015 Spring Hunting Season in Malta. </w:t>
      </w:r>
      <w:hyperlink r:id="rId63" w:history="1">
        <w:r w:rsidRPr="00C96521">
          <w:rPr>
            <w:rFonts w:eastAsia="MS Mincho" w:cs="Arial"/>
            <w:szCs w:val="18"/>
            <w:lang w:val="en-GB" w:eastAsia="ja-JP"/>
          </w:rPr>
          <w:t>https://msdeccms.gov.mt/en/Documents/Downloads/WBRU/spring%20hunting%202015/SH%202015%20derogation%20report.pdf</w:t>
        </w:r>
      </w:hyperlink>
      <w:r w:rsidRPr="00C96521">
        <w:rPr>
          <w:rFonts w:eastAsia="MS Mincho" w:cs="Arial"/>
          <w:szCs w:val="18"/>
          <w:lang w:val="en-GB" w:eastAsia="ja-JP"/>
        </w:rPr>
        <w:t xml:space="preserve"> (last accessed 12 December 2016).</w:t>
      </w:r>
    </w:p>
    <w:p w14:paraId="2AD0C4F5"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620BB54" w14:textId="1D210231"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WBRU (2016)</w:t>
      </w:r>
      <w:r w:rsidRPr="00C96521">
        <w:rPr>
          <w:rFonts w:eastAsia="MS Mincho" w:cs="Arial"/>
          <w:szCs w:val="18"/>
          <w:lang w:val="en-GB" w:eastAsia="ja-JP"/>
        </w:rPr>
        <w:t xml:space="preserve"> </w:t>
      </w:r>
      <w:r w:rsidRPr="00C96521">
        <w:rPr>
          <w:rFonts w:eastAsia="MS Mincho" w:cs="Arial"/>
          <w:i/>
          <w:szCs w:val="18"/>
          <w:lang w:val="en-GB" w:eastAsia="ja-JP"/>
        </w:rPr>
        <w:t>Report on the Outcome of the 2016 Spring Hunting Season in Malta.</w:t>
      </w:r>
      <w:r w:rsidRPr="00C96521">
        <w:rPr>
          <w:rFonts w:eastAsia="MS Mincho" w:cs="Arial"/>
          <w:szCs w:val="18"/>
          <w:lang w:val="en-GB" w:eastAsia="ja-JP"/>
        </w:rPr>
        <w:t xml:space="preserve"> </w:t>
      </w:r>
      <w:hyperlink r:id="rId64" w:history="1">
        <w:r w:rsidRPr="00C96521">
          <w:rPr>
            <w:rFonts w:eastAsia="MS Mincho" w:cs="Arial"/>
            <w:szCs w:val="18"/>
            <w:lang w:val="en-GB" w:eastAsia="ja-JP"/>
          </w:rPr>
          <w:t>https://msdeccms.gov.mt/en/Documents/Downloads/WBRU/2016/SH%20derogation%20report%202016%209-6.pdf</w:t>
        </w:r>
      </w:hyperlink>
      <w:r w:rsidRPr="00C96521">
        <w:rPr>
          <w:rFonts w:eastAsia="MS Mincho" w:cs="Arial"/>
          <w:szCs w:val="18"/>
          <w:lang w:val="en-GB" w:eastAsia="ja-JP"/>
        </w:rPr>
        <w:t xml:space="preserve"> (last accessed 12 December 2016</w:t>
      </w:r>
      <w:r w:rsidRPr="00C96521">
        <w:rPr>
          <w:rFonts w:eastAsia="MS Mincho"/>
          <w:sz w:val="20"/>
          <w:szCs w:val="22"/>
          <w:lang w:val="en-GB" w:eastAsia="ja-JP"/>
        </w:rPr>
        <w:t>).</w:t>
      </w:r>
    </w:p>
    <w:p w14:paraId="50BF549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71C0A5A" w14:textId="62F35EF4"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ZOOLOGICAL MUSEUM OF MOSCOW UNIVERSITY (2016) </w:t>
      </w:r>
      <w:r w:rsidRPr="00C96521">
        <w:rPr>
          <w:rFonts w:eastAsia="MS Mincho" w:cs="Arial"/>
          <w:i/>
          <w:szCs w:val="18"/>
          <w:lang w:val="en-GB" w:eastAsia="ja-JP"/>
        </w:rPr>
        <w:t>Breeding bird atlas of European Russia</w:t>
      </w:r>
      <w:r w:rsidRPr="00C96521">
        <w:rPr>
          <w:rFonts w:eastAsia="MS Mincho" w:cs="Arial"/>
          <w:szCs w:val="18"/>
          <w:lang w:val="en-GB" w:eastAsia="ja-JP"/>
        </w:rPr>
        <w:t>. Zoological Museum of Moscow University http://zmmu.msu.ru/en/about-muzeum/divisions/division-of-the-scientific-public-oriented-projects/breeding-bird-atlas-of-european-russia (last accessed 31</w:t>
      </w:r>
      <w:r w:rsidRPr="00C96521">
        <w:rPr>
          <w:rFonts w:eastAsia="MS Mincho" w:cs="Arial"/>
          <w:szCs w:val="18"/>
          <w:vertAlign w:val="superscript"/>
          <w:lang w:val="en-GB" w:eastAsia="ja-JP"/>
        </w:rPr>
        <w:t xml:space="preserve"> </w:t>
      </w:r>
      <w:r w:rsidRPr="00C96521">
        <w:rPr>
          <w:rFonts w:eastAsia="MS Mincho" w:cs="Arial"/>
          <w:szCs w:val="18"/>
          <w:lang w:val="en-GB" w:eastAsia="ja-JP"/>
        </w:rPr>
        <w:t>October 2016)</w:t>
      </w:r>
    </w:p>
    <w:p w14:paraId="69C60A11"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D7D132D"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ZWARTS L, BIJLSMA RG, VAN DER KAMP J and WYMENGA E (2009)</w:t>
      </w:r>
      <w:r w:rsidRPr="00C96521">
        <w:rPr>
          <w:rFonts w:eastAsia="MS Mincho" w:cs="Arial"/>
          <w:szCs w:val="18"/>
          <w:lang w:val="en-GB" w:eastAsia="ja-JP"/>
        </w:rPr>
        <w:t xml:space="preserve"> </w:t>
      </w:r>
      <w:r w:rsidRPr="00C96521">
        <w:rPr>
          <w:rFonts w:eastAsia="MS Mincho" w:cs="Arial"/>
          <w:i/>
          <w:szCs w:val="18"/>
          <w:lang w:val="en-GB" w:eastAsia="ja-JP"/>
        </w:rPr>
        <w:t>Living on the Edge: wetlands and birds in a changing Sahel</w:t>
      </w:r>
      <w:r w:rsidRPr="00C96521">
        <w:rPr>
          <w:rFonts w:eastAsia="MS Mincho" w:cs="Arial"/>
          <w:szCs w:val="18"/>
          <w:lang w:val="en-GB" w:eastAsia="ja-JP"/>
        </w:rPr>
        <w:t xml:space="preserve">. </w:t>
      </w:r>
      <w:r w:rsidRPr="00890F11">
        <w:rPr>
          <w:rFonts w:eastAsia="MS Mincho" w:cs="Arial"/>
          <w:szCs w:val="18"/>
          <w:lang w:val="fr-FR" w:eastAsia="ja-JP"/>
        </w:rPr>
        <w:t>KNNV Publishing, Zeist.</w:t>
      </w:r>
    </w:p>
    <w:p w14:paraId="72559FDA"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szCs w:val="18"/>
          <w:lang w:val="fr-FR" w:eastAsia="ja-JP"/>
        </w:rPr>
        <w:br w:type="page"/>
      </w:r>
    </w:p>
    <w:p w14:paraId="59E26DCC" w14:textId="77777777" w:rsidR="00C96521" w:rsidRPr="00890F11" w:rsidRDefault="00C96521" w:rsidP="00C96521">
      <w:pPr>
        <w:keepNext/>
        <w:keepLines/>
        <w:widowControl/>
        <w:autoSpaceDE/>
        <w:autoSpaceDN/>
        <w:adjustRightInd/>
        <w:spacing w:before="480" w:line="276" w:lineRule="auto"/>
        <w:outlineLvl w:val="0"/>
        <w:rPr>
          <w:rFonts w:eastAsia="MS Gothic"/>
          <w:b/>
          <w:bCs/>
          <w:color w:val="365F91"/>
          <w:sz w:val="32"/>
          <w:szCs w:val="28"/>
          <w:lang w:val="fr-FR" w:eastAsia="ja-JP"/>
        </w:rPr>
      </w:pPr>
      <w:bookmarkStart w:id="40" w:name="_Toc478646925"/>
      <w:r w:rsidRPr="00890F11">
        <w:rPr>
          <w:rFonts w:eastAsia="MS Gothic"/>
          <w:b/>
          <w:bCs/>
          <w:color w:val="365F91"/>
          <w:sz w:val="32"/>
          <w:szCs w:val="28"/>
          <w:lang w:val="fr-FR" w:eastAsia="ja-JP"/>
        </w:rPr>
        <w:lastRenderedPageBreak/>
        <w:t>Annex 6: LIST OF ACRONYMS/ABBREVIATIONS</w:t>
      </w:r>
      <w:bookmarkEnd w:id="40"/>
    </w:p>
    <w:p w14:paraId="5E9B11D6" w14:textId="77777777" w:rsidR="00C96521" w:rsidRPr="00890F11" w:rsidRDefault="00C96521" w:rsidP="00C96521">
      <w:pPr>
        <w:widowControl/>
        <w:autoSpaceDE/>
        <w:autoSpaceDN/>
        <w:adjustRightInd/>
        <w:spacing w:line="276" w:lineRule="auto"/>
        <w:rPr>
          <w:rFonts w:eastAsia="MS Mincho"/>
          <w:sz w:val="20"/>
          <w:szCs w:val="22"/>
          <w:lang w:val="fr-FR" w:eastAsia="ja-JP"/>
        </w:rPr>
      </w:pPr>
    </w:p>
    <w:p w14:paraId="7E0819B4"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AMCFE - Association Malienne pour la Conservation de la Faune et de l'Environnment</w:t>
      </w:r>
    </w:p>
    <w:p w14:paraId="17CEFBDD"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ANAO - Algerian National Association of Ornithology</w:t>
      </w:r>
    </w:p>
    <w:p w14:paraId="7AA10F4B"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AOS - Azerbaijan Ornithological Society (BirdLife Azerbaijan)</w:t>
      </w:r>
    </w:p>
    <w:p w14:paraId="0FD4B16D"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APB - Ахова птушак Бацькаўшчыны (АПБ) (BirdLife Belarus)</w:t>
      </w:r>
    </w:p>
    <w:p w14:paraId="6DA75BC4"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BC TAP - Bern Convention Tunis Action Plan</w:t>
      </w:r>
    </w:p>
    <w:p w14:paraId="48785EBF"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BIOM - Association BIOM (BirdLife Croatia)</w:t>
      </w:r>
    </w:p>
    <w:p w14:paraId="4CD798A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BSPB - Bulgarian Society for the Protection of Birds (BirdLife Bulgaria)</w:t>
      </w:r>
    </w:p>
    <w:p w14:paraId="06075120"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BTO – British Trust for Ornithology</w:t>
      </w:r>
    </w:p>
    <w:p w14:paraId="61BFFD08" w14:textId="77777777" w:rsidR="00C96521" w:rsidRPr="00C96521" w:rsidRDefault="00C96521" w:rsidP="00C96521">
      <w:pPr>
        <w:widowControl/>
        <w:autoSpaceDE/>
        <w:autoSpaceDN/>
        <w:adjustRightInd/>
        <w:spacing w:line="276" w:lineRule="auto"/>
        <w:rPr>
          <w:rFonts w:eastAsia="MS Mincho"/>
          <w:szCs w:val="18"/>
          <w:lang w:val="en-GB" w:eastAsia="ja-JP"/>
        </w:rPr>
      </w:pPr>
      <w:r w:rsidRPr="00C96521">
        <w:rPr>
          <w:rFonts w:cs="Arial"/>
          <w:szCs w:val="18"/>
          <w:lang w:val="en-GB" w:eastAsia="en-GB"/>
        </w:rPr>
        <w:t>CASA</w:t>
      </w:r>
      <w:r w:rsidRPr="00C96521">
        <w:rPr>
          <w:rFonts w:eastAsia="MS Mincho"/>
          <w:szCs w:val="18"/>
          <w:lang w:val="en-GB" w:eastAsia="ja-JP"/>
        </w:rPr>
        <w:t xml:space="preserve"> – Croatian Academy of Sciences and Arts</w:t>
      </w:r>
    </w:p>
    <w:p w14:paraId="1D5B15E4"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CITES - Convention on the International Trade of Endangered Species of Wild Flora and Fauna</w:t>
      </w:r>
    </w:p>
    <w:p w14:paraId="4A639A94"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CMS - Convention on Migratory Species</w:t>
      </w:r>
    </w:p>
    <w:p w14:paraId="6A2DF5EE" w14:textId="77777777" w:rsidR="00C96521" w:rsidRPr="00C96521" w:rsidRDefault="00C96521" w:rsidP="00C96521">
      <w:pPr>
        <w:widowControl/>
        <w:autoSpaceDE/>
        <w:autoSpaceDN/>
        <w:adjustRightInd/>
        <w:spacing w:line="276" w:lineRule="auto"/>
        <w:rPr>
          <w:rFonts w:eastAsia="MS Mincho"/>
          <w:szCs w:val="18"/>
          <w:lang w:val="en-GB" w:eastAsia="ja-JP"/>
        </w:rPr>
      </w:pPr>
      <w:r w:rsidRPr="00C96521">
        <w:rPr>
          <w:rFonts w:eastAsia="MS Mincho"/>
          <w:szCs w:val="18"/>
          <w:lang w:val="en-GB" w:eastAsia="ja-JP"/>
        </w:rPr>
        <w:t xml:space="preserve">CMS MIKT - </w:t>
      </w:r>
      <w:r w:rsidRPr="00C96521">
        <w:rPr>
          <w:rFonts w:eastAsia="MS Mincho"/>
          <w:color w:val="000000"/>
          <w:szCs w:val="18"/>
          <w:lang w:val="en-GB" w:eastAsia="ja-JP"/>
        </w:rPr>
        <w:t>Intergovernmental Task Force on Illegal Killing, Taking and Trade of Migratory Birds in the Mediterranean</w:t>
      </w:r>
    </w:p>
    <w:p w14:paraId="0040A75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DOF - Dansk Ornitologisk Forening (BirdLife Denmark)</w:t>
      </w:r>
    </w:p>
    <w:p w14:paraId="4B5FB1EE"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DOPPS - Društvo za Opazovanje in Proučevanje Ptic Slovenije (BirdLife Slovenia)</w:t>
      </w:r>
    </w:p>
    <w:p w14:paraId="3139D9B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DPWM - Department of Parks and Wildlife Management, Government of The Gambia</w:t>
      </w:r>
    </w:p>
    <w:p w14:paraId="1361488D"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EIA – Environmental Impact Assessment</w:t>
      </w:r>
    </w:p>
    <w:p w14:paraId="1628F64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ENEC – European Network against Environmental Crime</w:t>
      </w:r>
    </w:p>
    <w:p w14:paraId="3C7BFBD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EOS - Estonian Ornithological Society (BirdLife Estonia)</w:t>
      </w:r>
    </w:p>
    <w:p w14:paraId="7B7889D1"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EU – European Union</w:t>
      </w:r>
    </w:p>
    <w:p w14:paraId="5A4C11A8"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FACE – The European Federation of Associations for Hunting and Conservation</w:t>
      </w:r>
    </w:p>
    <w:p w14:paraId="334E4840"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GCT - The Game Conservancy Trust</w:t>
      </w:r>
    </w:p>
    <w:p w14:paraId="5D36A081"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GREPROM - Groupe de Recherche pour la Protection des Oiseaux au Maroc (BirdLife Morocco)</w:t>
      </w:r>
    </w:p>
    <w:p w14:paraId="13B86C3A"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HOS - Hellenic Ornithological Society (BirdLife Greece)</w:t>
      </w:r>
    </w:p>
    <w:p w14:paraId="251CAE1C"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IBA - Important Bird Area</w:t>
      </w:r>
    </w:p>
    <w:p w14:paraId="5850351F"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IMPEL – European Union Network for the Implementation and Enforcement of Environmental Law</w:t>
      </w:r>
    </w:p>
    <w:p w14:paraId="1812D502" w14:textId="77777777" w:rsidR="00C96521" w:rsidRPr="00890F11" w:rsidRDefault="00C96521" w:rsidP="00C96521">
      <w:pPr>
        <w:widowControl/>
        <w:autoSpaceDE/>
        <w:autoSpaceDN/>
        <w:adjustRightInd/>
        <w:spacing w:line="276" w:lineRule="auto"/>
        <w:ind w:left="360" w:hangingChars="200" w:hanging="360"/>
        <w:rPr>
          <w:rFonts w:eastAsia="MS Mincho"/>
          <w:szCs w:val="18"/>
          <w:lang w:val="es-ES" w:eastAsia="ja-JP"/>
        </w:rPr>
      </w:pPr>
      <w:r w:rsidRPr="00890F11">
        <w:rPr>
          <w:rFonts w:eastAsia="MS Mincho"/>
          <w:szCs w:val="18"/>
          <w:lang w:val="es-ES" w:eastAsia="ja-JP"/>
        </w:rPr>
        <w:t>ISPRA - Istituto Superiore per la Protezione e la Ricerca Ambientale (Italy)</w:t>
      </w:r>
    </w:p>
    <w:p w14:paraId="2582730A"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IUCN – International Union for Conservation of Nature</w:t>
      </w:r>
    </w:p>
    <w:p w14:paraId="1883FAC9"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KBA – Key Biodiversity Area</w:t>
      </w:r>
    </w:p>
    <w:p w14:paraId="1A38B4AF"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LIPU - Lega Italiana Protezione Uccelli (BirdLife Italy)</w:t>
      </w:r>
    </w:p>
    <w:p w14:paraId="0C7851E1"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LOD - Lietuvos Ornitologų Draugija (BirdLife Lithuania)</w:t>
      </w:r>
    </w:p>
    <w:p w14:paraId="7EE9CFF8"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LPO – Ligue pour la Protection des Oiseaux (BirdLife France)</w:t>
      </w:r>
    </w:p>
    <w:p w14:paraId="6ADC55E0"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MME - Magyar Madártani és Természetvédelmi Egyesület (BirdLife Hungary)</w:t>
      </w:r>
    </w:p>
    <w:p w14:paraId="21D76B16" w14:textId="77777777" w:rsidR="00C96521" w:rsidRPr="008C00B8" w:rsidRDefault="00C96521" w:rsidP="00C96521">
      <w:pPr>
        <w:widowControl/>
        <w:autoSpaceDE/>
        <w:autoSpaceDN/>
        <w:adjustRightInd/>
        <w:spacing w:line="276" w:lineRule="auto"/>
        <w:ind w:left="360" w:hangingChars="200" w:hanging="360"/>
        <w:rPr>
          <w:rFonts w:eastAsia="MS Mincho"/>
          <w:szCs w:val="18"/>
          <w:lang w:val="fr-FR" w:eastAsia="ja-JP"/>
        </w:rPr>
      </w:pPr>
      <w:r w:rsidRPr="008C00B8">
        <w:rPr>
          <w:rFonts w:eastAsia="MS Mincho"/>
          <w:szCs w:val="18"/>
          <w:lang w:val="fr-FR" w:eastAsia="ja-JP"/>
        </w:rPr>
        <w:t>MNHN – Muséum National d’Histoire Naturelle</w:t>
      </w:r>
    </w:p>
    <w:p w14:paraId="6033F671" w14:textId="77777777" w:rsidR="00C96521" w:rsidRPr="008C00B8" w:rsidRDefault="00C96521" w:rsidP="00C96521">
      <w:pPr>
        <w:widowControl/>
        <w:autoSpaceDE/>
        <w:autoSpaceDN/>
        <w:adjustRightInd/>
        <w:spacing w:line="276" w:lineRule="auto"/>
        <w:ind w:left="360" w:hangingChars="200" w:hanging="360"/>
        <w:rPr>
          <w:rFonts w:eastAsia="MS Mincho"/>
          <w:szCs w:val="18"/>
          <w:lang w:val="fr-FR" w:eastAsia="ja-JP"/>
        </w:rPr>
      </w:pPr>
      <w:r w:rsidRPr="008C00B8">
        <w:rPr>
          <w:rFonts w:eastAsia="MS Mincho"/>
          <w:szCs w:val="18"/>
          <w:lang w:val="fr-FR" w:eastAsia="ja-JP"/>
        </w:rPr>
        <w:t>NGO - Non-governmental Organisation</w:t>
      </w:r>
    </w:p>
    <w:p w14:paraId="448249E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NABU - Nature and Biodiversity Conservation Union (BirdLife Germany)</w:t>
      </w:r>
    </w:p>
    <w:p w14:paraId="55592E1B"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OMPO - Migratory Birds of the Western Palearctic</w:t>
      </w:r>
    </w:p>
    <w:p w14:paraId="594A94D4"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ONCFS - Office National de la Chasse et de la Faune Sauvage</w:t>
      </w:r>
    </w:p>
    <w:p w14:paraId="1D3C6CBF"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OTOP - Ogólnopolskie Towarzystwo Ochrony Ptaków (BirdLife Poland)</w:t>
      </w:r>
    </w:p>
    <w:p w14:paraId="3224AC29"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RSCN - Royal Society for the Conservation of Nature (BirdLife Jordan)</w:t>
      </w:r>
    </w:p>
    <w:p w14:paraId="43ED7364"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RSPB - Royal Society for the Protection of Birds (BirdLife United Kingdom)</w:t>
      </w:r>
    </w:p>
    <w:p w14:paraId="07709CA5" w14:textId="77777777" w:rsidR="00C96521" w:rsidRPr="00890F11" w:rsidRDefault="00C96521" w:rsidP="00C96521">
      <w:pPr>
        <w:widowControl/>
        <w:autoSpaceDE/>
        <w:autoSpaceDN/>
        <w:adjustRightInd/>
        <w:spacing w:line="276" w:lineRule="auto"/>
        <w:ind w:left="360" w:hangingChars="200" w:hanging="360"/>
        <w:rPr>
          <w:rFonts w:eastAsia="MS Mincho"/>
          <w:szCs w:val="18"/>
          <w:lang w:val="es-ES" w:eastAsia="ja-JP"/>
        </w:rPr>
      </w:pPr>
      <w:r w:rsidRPr="00890F11">
        <w:rPr>
          <w:rFonts w:eastAsia="MS Mincho"/>
          <w:szCs w:val="18"/>
          <w:lang w:val="es-ES" w:eastAsia="ja-JP"/>
        </w:rPr>
        <w:t>SEO - Sociedad Española de Ornitología (BirdLife Spain)</w:t>
      </w:r>
    </w:p>
    <w:p w14:paraId="06362D34" w14:textId="7CB01182"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SEOF – Société d’</w:t>
      </w:r>
      <w:r w:rsidR="00526B63">
        <w:rPr>
          <w:rFonts w:eastAsia="MS Mincho"/>
          <w:szCs w:val="18"/>
          <w:lang w:val="fr-FR" w:eastAsia="ja-JP"/>
        </w:rPr>
        <w:t>É</w:t>
      </w:r>
      <w:r w:rsidRPr="00890F11">
        <w:rPr>
          <w:rFonts w:eastAsia="MS Mincho"/>
          <w:szCs w:val="18"/>
          <w:lang w:val="fr-FR" w:eastAsia="ja-JP"/>
        </w:rPr>
        <w:t>tudes Ornithologiques de France</w:t>
      </w:r>
    </w:p>
    <w:p w14:paraId="6770CD66"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SOR - Societatea Ornitologică Română (BirdLife Romania)</w:t>
      </w:r>
    </w:p>
    <w:p w14:paraId="6D84B405"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SOS – Slovakian Ornithological Society (BirdLife Slovakia)</w:t>
      </w:r>
    </w:p>
    <w:p w14:paraId="16FB0839" w14:textId="77777777" w:rsidR="00C96521" w:rsidRPr="00890F11" w:rsidRDefault="00C96521" w:rsidP="00C96521">
      <w:pPr>
        <w:widowControl/>
        <w:autoSpaceDE/>
        <w:autoSpaceDN/>
        <w:adjustRightInd/>
        <w:spacing w:line="276" w:lineRule="auto"/>
        <w:ind w:left="360" w:hangingChars="200" w:hanging="360"/>
        <w:rPr>
          <w:rFonts w:eastAsia="MS Mincho"/>
          <w:szCs w:val="18"/>
          <w:lang w:val="es-ES" w:eastAsia="ja-JP"/>
        </w:rPr>
      </w:pPr>
      <w:r w:rsidRPr="00890F11">
        <w:rPr>
          <w:rFonts w:eastAsia="MS Mincho"/>
          <w:szCs w:val="18"/>
          <w:lang w:val="es-ES" w:eastAsia="ja-JP"/>
        </w:rPr>
        <w:t>SPA - Special Protection Area</w:t>
      </w:r>
    </w:p>
    <w:p w14:paraId="37773578" w14:textId="77777777" w:rsidR="00C96521" w:rsidRPr="00890F11" w:rsidRDefault="00C96521" w:rsidP="00C96521">
      <w:pPr>
        <w:widowControl/>
        <w:autoSpaceDE/>
        <w:autoSpaceDN/>
        <w:adjustRightInd/>
        <w:spacing w:line="276" w:lineRule="auto"/>
        <w:ind w:left="360" w:hangingChars="200" w:hanging="360"/>
        <w:rPr>
          <w:rFonts w:eastAsia="MS Mincho"/>
          <w:szCs w:val="18"/>
          <w:lang w:val="es-ES" w:eastAsia="ja-JP"/>
        </w:rPr>
      </w:pPr>
      <w:r w:rsidRPr="00890F11">
        <w:rPr>
          <w:rFonts w:eastAsia="MS Mincho"/>
          <w:szCs w:val="18"/>
          <w:lang w:val="es-ES" w:eastAsia="ja-JP"/>
        </w:rPr>
        <w:t>SPEA - Sociedade Portuguesa para o Estudo das Aves (BirdLife Portugal)</w:t>
      </w:r>
    </w:p>
    <w:p w14:paraId="734B105C"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SPNI - Society for the Protection of Nature in Israel (BirdLife Israel)</w:t>
      </w:r>
    </w:p>
    <w:p w14:paraId="21BF9C79"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SPNL - Society for the Protection of Nature in Lebanon (BirdLife Lebanon)</w:t>
      </w:r>
    </w:p>
    <w:p w14:paraId="4EE29BF5"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SSCW - Syrian Society for Conservation of Wildlife (BirdLife Syria)</w:t>
      </w:r>
    </w:p>
    <w:p w14:paraId="6685E336"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USPB - Ukrainian Society for the Protection of Birds(BirdLife Ukraine)</w:t>
      </w:r>
    </w:p>
    <w:p w14:paraId="396A8D5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WABDaB – West African Bird Database</w:t>
      </w:r>
    </w:p>
    <w:p w14:paraId="47BC628C"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WABSA - West African Bird Study Association</w:t>
      </w:r>
    </w:p>
    <w:p w14:paraId="211D73F2" w14:textId="77777777" w:rsidR="00C96521" w:rsidRPr="00C96521" w:rsidRDefault="00C96521" w:rsidP="00C96521">
      <w:pPr>
        <w:widowControl/>
        <w:autoSpaceDE/>
        <w:autoSpaceDN/>
        <w:adjustRightInd/>
        <w:spacing w:line="276" w:lineRule="auto"/>
        <w:rPr>
          <w:rFonts w:eastAsia="MS Mincho"/>
          <w:szCs w:val="18"/>
          <w:lang w:val="en-GB" w:eastAsia="ja-JP"/>
        </w:rPr>
      </w:pPr>
      <w:r w:rsidRPr="00C96521">
        <w:rPr>
          <w:rFonts w:eastAsia="MS Mincho"/>
          <w:szCs w:val="18"/>
          <w:lang w:val="en-GB" w:eastAsia="ja-JP"/>
        </w:rPr>
        <w:t>WBRU - Wild Birds Regulation Unit, Government of Malta</w:t>
      </w:r>
    </w:p>
    <w:p w14:paraId="01F5D1A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br w:type="page"/>
      </w:r>
    </w:p>
    <w:p w14:paraId="4E7892C3" w14:textId="0C68FF75"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41" w:name="_Toc469140858"/>
      <w:bookmarkStart w:id="42" w:name="_Toc478646926"/>
      <w:r w:rsidRPr="00C96521">
        <w:rPr>
          <w:rFonts w:eastAsia="MS Gothic"/>
          <w:b/>
          <w:bCs/>
          <w:color w:val="365F91"/>
          <w:sz w:val="32"/>
          <w:szCs w:val="28"/>
          <w:lang w:val="en-GB" w:eastAsia="ja-JP"/>
        </w:rPr>
        <w:lastRenderedPageBreak/>
        <w:t xml:space="preserve">Annex 7 - </w:t>
      </w:r>
      <w:bookmarkEnd w:id="41"/>
      <w:r w:rsidRPr="00C96521">
        <w:rPr>
          <w:rFonts w:eastAsia="MS Gothic"/>
          <w:b/>
          <w:bCs/>
          <w:color w:val="365F91"/>
          <w:sz w:val="32"/>
          <w:szCs w:val="28"/>
          <w:lang w:val="en-GB" w:eastAsia="ja-JP"/>
        </w:rPr>
        <w:t xml:space="preserve">EUROPEAN </w:t>
      </w:r>
      <w:r w:rsidR="00526B63">
        <w:rPr>
          <w:rFonts w:eastAsia="MS Gothic"/>
          <w:b/>
          <w:bCs/>
          <w:color w:val="365F91"/>
          <w:sz w:val="32"/>
          <w:szCs w:val="28"/>
          <w:lang w:val="en-GB" w:eastAsia="ja-JP"/>
        </w:rPr>
        <w:t xml:space="preserve">UNION </w:t>
      </w:r>
      <w:r w:rsidRPr="00C96521">
        <w:rPr>
          <w:rFonts w:eastAsia="MS Gothic"/>
          <w:b/>
          <w:bCs/>
          <w:color w:val="365F91"/>
          <w:sz w:val="32"/>
          <w:szCs w:val="28"/>
          <w:lang w:val="en-GB" w:eastAsia="ja-JP"/>
        </w:rPr>
        <w:t>MEMBER STATES CODES</w:t>
      </w:r>
      <w:bookmarkEnd w:id="42"/>
    </w:p>
    <w:p w14:paraId="02A32B4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1658"/>
        <w:gridCol w:w="1810"/>
        <w:gridCol w:w="4697"/>
      </w:tblGrid>
      <w:tr w:rsidR="00C96521" w:rsidRPr="005D4262" w14:paraId="1AE98390" w14:textId="77777777" w:rsidTr="00C96521">
        <w:trPr>
          <w:trHeight w:val="220"/>
        </w:trPr>
        <w:tc>
          <w:tcPr>
            <w:tcW w:w="959" w:type="dxa"/>
          </w:tcPr>
          <w:p w14:paraId="48C0AEA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AT</w:t>
            </w:r>
          </w:p>
        </w:tc>
        <w:tc>
          <w:tcPr>
            <w:tcW w:w="1701" w:type="dxa"/>
          </w:tcPr>
          <w:p w14:paraId="22F9A87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Austria</w:t>
            </w:r>
          </w:p>
        </w:tc>
        <w:tc>
          <w:tcPr>
            <w:tcW w:w="1843" w:type="dxa"/>
          </w:tcPr>
          <w:p w14:paraId="5EC0E5F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Österreich</w:t>
            </w:r>
          </w:p>
        </w:tc>
        <w:tc>
          <w:tcPr>
            <w:tcW w:w="5033" w:type="dxa"/>
          </w:tcPr>
          <w:p w14:paraId="29436E4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Austria</w:t>
            </w:r>
          </w:p>
        </w:tc>
      </w:tr>
      <w:tr w:rsidR="00C96521" w:rsidRPr="005D4262" w14:paraId="0F9299C0" w14:textId="77777777" w:rsidTr="00C96521">
        <w:tc>
          <w:tcPr>
            <w:tcW w:w="959" w:type="dxa"/>
          </w:tcPr>
          <w:p w14:paraId="0B68FDE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BE</w:t>
            </w:r>
          </w:p>
        </w:tc>
        <w:tc>
          <w:tcPr>
            <w:tcW w:w="1701" w:type="dxa"/>
          </w:tcPr>
          <w:p w14:paraId="55E0A76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Belgium</w:t>
            </w:r>
          </w:p>
        </w:tc>
        <w:tc>
          <w:tcPr>
            <w:tcW w:w="1843" w:type="dxa"/>
          </w:tcPr>
          <w:p w14:paraId="2682441A"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Belgique/België</w:t>
            </w:r>
          </w:p>
        </w:tc>
        <w:tc>
          <w:tcPr>
            <w:tcW w:w="5033" w:type="dxa"/>
          </w:tcPr>
          <w:p w14:paraId="6E7B69B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Kingdom of Belgium</w:t>
            </w:r>
          </w:p>
        </w:tc>
      </w:tr>
      <w:tr w:rsidR="00C96521" w:rsidRPr="005D4262" w14:paraId="575B3557" w14:textId="77777777" w:rsidTr="00C96521">
        <w:tc>
          <w:tcPr>
            <w:tcW w:w="959" w:type="dxa"/>
          </w:tcPr>
          <w:p w14:paraId="0621045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BG</w:t>
            </w:r>
          </w:p>
        </w:tc>
        <w:tc>
          <w:tcPr>
            <w:tcW w:w="1701" w:type="dxa"/>
          </w:tcPr>
          <w:p w14:paraId="3BB029D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Bulgaria</w:t>
            </w:r>
          </w:p>
        </w:tc>
        <w:tc>
          <w:tcPr>
            <w:tcW w:w="1843" w:type="dxa"/>
          </w:tcPr>
          <w:p w14:paraId="7040F0D8"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България</w:t>
            </w:r>
          </w:p>
        </w:tc>
        <w:tc>
          <w:tcPr>
            <w:tcW w:w="5033" w:type="dxa"/>
          </w:tcPr>
          <w:p w14:paraId="066477F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Bulgaria</w:t>
            </w:r>
          </w:p>
        </w:tc>
      </w:tr>
      <w:tr w:rsidR="00C96521" w:rsidRPr="005D4262" w14:paraId="015D483F" w14:textId="77777777" w:rsidTr="00C96521">
        <w:tc>
          <w:tcPr>
            <w:tcW w:w="959" w:type="dxa"/>
          </w:tcPr>
          <w:p w14:paraId="611A390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CY</w:t>
            </w:r>
          </w:p>
        </w:tc>
        <w:tc>
          <w:tcPr>
            <w:tcW w:w="1701" w:type="dxa"/>
          </w:tcPr>
          <w:p w14:paraId="460B778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Cyprus</w:t>
            </w:r>
          </w:p>
        </w:tc>
        <w:tc>
          <w:tcPr>
            <w:tcW w:w="1843" w:type="dxa"/>
          </w:tcPr>
          <w:p w14:paraId="40F5145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Κύπρος</w:t>
            </w:r>
          </w:p>
        </w:tc>
        <w:tc>
          <w:tcPr>
            <w:tcW w:w="5033" w:type="dxa"/>
          </w:tcPr>
          <w:p w14:paraId="1519299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Cyprus</w:t>
            </w:r>
          </w:p>
        </w:tc>
      </w:tr>
      <w:tr w:rsidR="00C96521" w:rsidRPr="005D4262" w14:paraId="41642A3D" w14:textId="77777777" w:rsidTr="00C96521">
        <w:tc>
          <w:tcPr>
            <w:tcW w:w="959" w:type="dxa"/>
          </w:tcPr>
          <w:p w14:paraId="72A949D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CZ</w:t>
            </w:r>
          </w:p>
        </w:tc>
        <w:tc>
          <w:tcPr>
            <w:tcW w:w="1701" w:type="dxa"/>
          </w:tcPr>
          <w:p w14:paraId="6381A1DA"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Czech Republic</w:t>
            </w:r>
          </w:p>
        </w:tc>
        <w:tc>
          <w:tcPr>
            <w:tcW w:w="1843" w:type="dxa"/>
          </w:tcPr>
          <w:p w14:paraId="7F2B262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Česká republika</w:t>
            </w:r>
          </w:p>
        </w:tc>
        <w:tc>
          <w:tcPr>
            <w:tcW w:w="5033" w:type="dxa"/>
          </w:tcPr>
          <w:p w14:paraId="3563669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Czech Republic</w:t>
            </w:r>
          </w:p>
        </w:tc>
      </w:tr>
      <w:tr w:rsidR="00C96521" w:rsidRPr="005D4262" w14:paraId="571BB414" w14:textId="77777777" w:rsidTr="00C96521">
        <w:tc>
          <w:tcPr>
            <w:tcW w:w="959" w:type="dxa"/>
          </w:tcPr>
          <w:p w14:paraId="3AB54F8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DE</w:t>
            </w:r>
          </w:p>
        </w:tc>
        <w:tc>
          <w:tcPr>
            <w:tcW w:w="1701" w:type="dxa"/>
          </w:tcPr>
          <w:p w14:paraId="58B816E6"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Germany</w:t>
            </w:r>
          </w:p>
        </w:tc>
        <w:tc>
          <w:tcPr>
            <w:tcW w:w="1843" w:type="dxa"/>
          </w:tcPr>
          <w:p w14:paraId="29536C3E"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Deutschland</w:t>
            </w:r>
          </w:p>
        </w:tc>
        <w:tc>
          <w:tcPr>
            <w:tcW w:w="5033" w:type="dxa"/>
          </w:tcPr>
          <w:p w14:paraId="006C559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Federal Republic of Germany</w:t>
            </w:r>
          </w:p>
        </w:tc>
      </w:tr>
      <w:tr w:rsidR="00C96521" w:rsidRPr="005D4262" w14:paraId="2DF4DA1C" w14:textId="77777777" w:rsidTr="00C96521">
        <w:tc>
          <w:tcPr>
            <w:tcW w:w="959" w:type="dxa"/>
          </w:tcPr>
          <w:p w14:paraId="5CD84EA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DK</w:t>
            </w:r>
          </w:p>
        </w:tc>
        <w:tc>
          <w:tcPr>
            <w:tcW w:w="1701" w:type="dxa"/>
          </w:tcPr>
          <w:p w14:paraId="714DB3AE"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Denmark</w:t>
            </w:r>
          </w:p>
        </w:tc>
        <w:tc>
          <w:tcPr>
            <w:tcW w:w="1843" w:type="dxa"/>
          </w:tcPr>
          <w:p w14:paraId="4CF30CB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Danmark</w:t>
            </w:r>
          </w:p>
        </w:tc>
        <w:tc>
          <w:tcPr>
            <w:tcW w:w="5033" w:type="dxa"/>
          </w:tcPr>
          <w:p w14:paraId="233B1DD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Kingdom of Denmark</w:t>
            </w:r>
          </w:p>
        </w:tc>
      </w:tr>
      <w:tr w:rsidR="00C96521" w:rsidRPr="005D4262" w14:paraId="35D6510B" w14:textId="77777777" w:rsidTr="00C96521">
        <w:tc>
          <w:tcPr>
            <w:tcW w:w="959" w:type="dxa"/>
          </w:tcPr>
          <w:p w14:paraId="25603A9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EE</w:t>
            </w:r>
          </w:p>
        </w:tc>
        <w:tc>
          <w:tcPr>
            <w:tcW w:w="1701" w:type="dxa"/>
          </w:tcPr>
          <w:p w14:paraId="77B390B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Estonia</w:t>
            </w:r>
          </w:p>
        </w:tc>
        <w:tc>
          <w:tcPr>
            <w:tcW w:w="1843" w:type="dxa"/>
          </w:tcPr>
          <w:p w14:paraId="3EC36D4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Eesti</w:t>
            </w:r>
          </w:p>
        </w:tc>
        <w:tc>
          <w:tcPr>
            <w:tcW w:w="5033" w:type="dxa"/>
          </w:tcPr>
          <w:p w14:paraId="6A43606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Estonia</w:t>
            </w:r>
          </w:p>
        </w:tc>
      </w:tr>
      <w:tr w:rsidR="00C96521" w:rsidRPr="005D4262" w14:paraId="73E5666C" w14:textId="77777777" w:rsidTr="00C96521">
        <w:tc>
          <w:tcPr>
            <w:tcW w:w="959" w:type="dxa"/>
          </w:tcPr>
          <w:p w14:paraId="79EFF5F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EL</w:t>
            </w:r>
          </w:p>
        </w:tc>
        <w:tc>
          <w:tcPr>
            <w:tcW w:w="1701" w:type="dxa"/>
          </w:tcPr>
          <w:p w14:paraId="05BC4FA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Greece</w:t>
            </w:r>
          </w:p>
        </w:tc>
        <w:tc>
          <w:tcPr>
            <w:tcW w:w="1843" w:type="dxa"/>
          </w:tcPr>
          <w:p w14:paraId="2447F58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Ελλάδα</w:t>
            </w:r>
          </w:p>
        </w:tc>
        <w:tc>
          <w:tcPr>
            <w:tcW w:w="5033" w:type="dxa"/>
          </w:tcPr>
          <w:p w14:paraId="77A4448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Hellenic Republic</w:t>
            </w:r>
          </w:p>
        </w:tc>
      </w:tr>
      <w:tr w:rsidR="00C96521" w:rsidRPr="005D4262" w14:paraId="4142A2BD" w14:textId="77777777" w:rsidTr="00C96521">
        <w:tc>
          <w:tcPr>
            <w:tcW w:w="959" w:type="dxa"/>
          </w:tcPr>
          <w:p w14:paraId="429741C8"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ES</w:t>
            </w:r>
          </w:p>
        </w:tc>
        <w:tc>
          <w:tcPr>
            <w:tcW w:w="1701" w:type="dxa"/>
          </w:tcPr>
          <w:p w14:paraId="3FC37BE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Spain</w:t>
            </w:r>
          </w:p>
        </w:tc>
        <w:tc>
          <w:tcPr>
            <w:tcW w:w="1843" w:type="dxa"/>
          </w:tcPr>
          <w:p w14:paraId="4976575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España</w:t>
            </w:r>
          </w:p>
        </w:tc>
        <w:tc>
          <w:tcPr>
            <w:tcW w:w="5033" w:type="dxa"/>
          </w:tcPr>
          <w:p w14:paraId="5C01847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Kingdom of Spain</w:t>
            </w:r>
          </w:p>
        </w:tc>
      </w:tr>
      <w:tr w:rsidR="00C96521" w:rsidRPr="005D4262" w14:paraId="5E6B0DBC" w14:textId="77777777" w:rsidTr="00C96521">
        <w:tc>
          <w:tcPr>
            <w:tcW w:w="959" w:type="dxa"/>
          </w:tcPr>
          <w:p w14:paraId="346A15A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FI</w:t>
            </w:r>
          </w:p>
        </w:tc>
        <w:tc>
          <w:tcPr>
            <w:tcW w:w="1701" w:type="dxa"/>
          </w:tcPr>
          <w:p w14:paraId="64CCD40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Finland</w:t>
            </w:r>
          </w:p>
        </w:tc>
        <w:tc>
          <w:tcPr>
            <w:tcW w:w="1843" w:type="dxa"/>
          </w:tcPr>
          <w:p w14:paraId="20EFB54A"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Suomi/Finland</w:t>
            </w:r>
          </w:p>
        </w:tc>
        <w:tc>
          <w:tcPr>
            <w:tcW w:w="5033" w:type="dxa"/>
          </w:tcPr>
          <w:p w14:paraId="270AA51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Finland</w:t>
            </w:r>
          </w:p>
        </w:tc>
      </w:tr>
      <w:tr w:rsidR="00C96521" w:rsidRPr="005D4262" w14:paraId="2CB498F4" w14:textId="77777777" w:rsidTr="00C96521">
        <w:tc>
          <w:tcPr>
            <w:tcW w:w="959" w:type="dxa"/>
          </w:tcPr>
          <w:p w14:paraId="4BFAC49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FR</w:t>
            </w:r>
          </w:p>
        </w:tc>
        <w:tc>
          <w:tcPr>
            <w:tcW w:w="1701" w:type="dxa"/>
          </w:tcPr>
          <w:p w14:paraId="6E5549F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France</w:t>
            </w:r>
          </w:p>
        </w:tc>
        <w:tc>
          <w:tcPr>
            <w:tcW w:w="1843" w:type="dxa"/>
          </w:tcPr>
          <w:p w14:paraId="5902A85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France</w:t>
            </w:r>
          </w:p>
        </w:tc>
        <w:tc>
          <w:tcPr>
            <w:tcW w:w="5033" w:type="dxa"/>
          </w:tcPr>
          <w:p w14:paraId="56022E3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French Republic</w:t>
            </w:r>
          </w:p>
        </w:tc>
      </w:tr>
      <w:tr w:rsidR="00C96521" w:rsidRPr="005D4262" w14:paraId="34A23FC8" w14:textId="77777777" w:rsidTr="00C96521">
        <w:tc>
          <w:tcPr>
            <w:tcW w:w="959" w:type="dxa"/>
          </w:tcPr>
          <w:p w14:paraId="275C845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HR</w:t>
            </w:r>
          </w:p>
        </w:tc>
        <w:tc>
          <w:tcPr>
            <w:tcW w:w="1701" w:type="dxa"/>
          </w:tcPr>
          <w:p w14:paraId="234E8E5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Croatia</w:t>
            </w:r>
          </w:p>
        </w:tc>
        <w:tc>
          <w:tcPr>
            <w:tcW w:w="1843" w:type="dxa"/>
          </w:tcPr>
          <w:p w14:paraId="17B7A66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Hrvatska</w:t>
            </w:r>
          </w:p>
        </w:tc>
        <w:tc>
          <w:tcPr>
            <w:tcW w:w="5033" w:type="dxa"/>
          </w:tcPr>
          <w:p w14:paraId="7B778E7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Croatia</w:t>
            </w:r>
          </w:p>
        </w:tc>
      </w:tr>
      <w:tr w:rsidR="00C96521" w:rsidRPr="005D4262" w14:paraId="58D852DC" w14:textId="77777777" w:rsidTr="00C96521">
        <w:tc>
          <w:tcPr>
            <w:tcW w:w="959" w:type="dxa"/>
          </w:tcPr>
          <w:p w14:paraId="4F75A49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HU</w:t>
            </w:r>
          </w:p>
        </w:tc>
        <w:tc>
          <w:tcPr>
            <w:tcW w:w="1701" w:type="dxa"/>
          </w:tcPr>
          <w:p w14:paraId="6F36F80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Hungary</w:t>
            </w:r>
          </w:p>
        </w:tc>
        <w:tc>
          <w:tcPr>
            <w:tcW w:w="1843" w:type="dxa"/>
          </w:tcPr>
          <w:p w14:paraId="2AD6554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Magyarország</w:t>
            </w:r>
          </w:p>
        </w:tc>
        <w:tc>
          <w:tcPr>
            <w:tcW w:w="5033" w:type="dxa"/>
          </w:tcPr>
          <w:p w14:paraId="7B93315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Hungary</w:t>
            </w:r>
          </w:p>
        </w:tc>
      </w:tr>
      <w:tr w:rsidR="00C96521" w:rsidRPr="005D4262" w14:paraId="4DEBFACA" w14:textId="77777777" w:rsidTr="00C96521">
        <w:tc>
          <w:tcPr>
            <w:tcW w:w="959" w:type="dxa"/>
          </w:tcPr>
          <w:p w14:paraId="7DEF98C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IE</w:t>
            </w:r>
          </w:p>
        </w:tc>
        <w:tc>
          <w:tcPr>
            <w:tcW w:w="1701" w:type="dxa"/>
          </w:tcPr>
          <w:p w14:paraId="6BC45EA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Ireland</w:t>
            </w:r>
          </w:p>
        </w:tc>
        <w:tc>
          <w:tcPr>
            <w:tcW w:w="1843" w:type="dxa"/>
          </w:tcPr>
          <w:p w14:paraId="6771448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Éire/Ireland</w:t>
            </w:r>
          </w:p>
        </w:tc>
        <w:tc>
          <w:tcPr>
            <w:tcW w:w="5033" w:type="dxa"/>
          </w:tcPr>
          <w:p w14:paraId="7F5DD61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Ireland</w:t>
            </w:r>
          </w:p>
        </w:tc>
      </w:tr>
      <w:tr w:rsidR="00C96521" w:rsidRPr="005D4262" w14:paraId="3FE4D48B" w14:textId="77777777" w:rsidTr="00C96521">
        <w:tc>
          <w:tcPr>
            <w:tcW w:w="959" w:type="dxa"/>
          </w:tcPr>
          <w:p w14:paraId="7100F2B8"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IT</w:t>
            </w:r>
          </w:p>
        </w:tc>
        <w:tc>
          <w:tcPr>
            <w:tcW w:w="1701" w:type="dxa"/>
          </w:tcPr>
          <w:p w14:paraId="4C6C66C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Italy</w:t>
            </w:r>
          </w:p>
        </w:tc>
        <w:tc>
          <w:tcPr>
            <w:tcW w:w="1843" w:type="dxa"/>
          </w:tcPr>
          <w:p w14:paraId="75B04D9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Italia</w:t>
            </w:r>
          </w:p>
        </w:tc>
        <w:tc>
          <w:tcPr>
            <w:tcW w:w="5033" w:type="dxa"/>
          </w:tcPr>
          <w:p w14:paraId="079D7D8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Italian Republic</w:t>
            </w:r>
          </w:p>
        </w:tc>
      </w:tr>
      <w:tr w:rsidR="00C96521" w:rsidRPr="005D4262" w14:paraId="5818CEAD" w14:textId="77777777" w:rsidTr="00C96521">
        <w:tc>
          <w:tcPr>
            <w:tcW w:w="959" w:type="dxa"/>
          </w:tcPr>
          <w:p w14:paraId="48BABD0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LT</w:t>
            </w:r>
          </w:p>
        </w:tc>
        <w:tc>
          <w:tcPr>
            <w:tcW w:w="1701" w:type="dxa"/>
          </w:tcPr>
          <w:p w14:paraId="3EF36C6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Lithuania</w:t>
            </w:r>
          </w:p>
        </w:tc>
        <w:tc>
          <w:tcPr>
            <w:tcW w:w="1843" w:type="dxa"/>
          </w:tcPr>
          <w:p w14:paraId="1B9336C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Lietuva</w:t>
            </w:r>
          </w:p>
        </w:tc>
        <w:tc>
          <w:tcPr>
            <w:tcW w:w="5033" w:type="dxa"/>
          </w:tcPr>
          <w:p w14:paraId="79A8B446"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Lithuania</w:t>
            </w:r>
          </w:p>
        </w:tc>
      </w:tr>
      <w:tr w:rsidR="00C96521" w:rsidRPr="005D4262" w14:paraId="30655F64" w14:textId="77777777" w:rsidTr="00C96521">
        <w:tc>
          <w:tcPr>
            <w:tcW w:w="959" w:type="dxa"/>
          </w:tcPr>
          <w:p w14:paraId="4ABD966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LU</w:t>
            </w:r>
          </w:p>
        </w:tc>
        <w:tc>
          <w:tcPr>
            <w:tcW w:w="1701" w:type="dxa"/>
          </w:tcPr>
          <w:p w14:paraId="663F687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Luxembourg</w:t>
            </w:r>
          </w:p>
        </w:tc>
        <w:tc>
          <w:tcPr>
            <w:tcW w:w="1843" w:type="dxa"/>
          </w:tcPr>
          <w:p w14:paraId="2997C43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Luxembourg</w:t>
            </w:r>
          </w:p>
        </w:tc>
        <w:tc>
          <w:tcPr>
            <w:tcW w:w="5033" w:type="dxa"/>
          </w:tcPr>
          <w:p w14:paraId="3E507A0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Grand Duchy of Luxembourg</w:t>
            </w:r>
          </w:p>
        </w:tc>
      </w:tr>
      <w:tr w:rsidR="00C96521" w:rsidRPr="005D4262" w14:paraId="6D2D3EAD" w14:textId="77777777" w:rsidTr="00C96521">
        <w:tc>
          <w:tcPr>
            <w:tcW w:w="959" w:type="dxa"/>
          </w:tcPr>
          <w:p w14:paraId="3C094FC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LV</w:t>
            </w:r>
          </w:p>
        </w:tc>
        <w:tc>
          <w:tcPr>
            <w:tcW w:w="1701" w:type="dxa"/>
          </w:tcPr>
          <w:p w14:paraId="4C47487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Latvia</w:t>
            </w:r>
          </w:p>
        </w:tc>
        <w:tc>
          <w:tcPr>
            <w:tcW w:w="1843" w:type="dxa"/>
          </w:tcPr>
          <w:p w14:paraId="65B39A4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Latvija</w:t>
            </w:r>
          </w:p>
        </w:tc>
        <w:tc>
          <w:tcPr>
            <w:tcW w:w="5033" w:type="dxa"/>
          </w:tcPr>
          <w:p w14:paraId="36336818"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Latvia</w:t>
            </w:r>
          </w:p>
        </w:tc>
      </w:tr>
      <w:tr w:rsidR="00C96521" w:rsidRPr="005D4262" w14:paraId="42F94957" w14:textId="77777777" w:rsidTr="00C96521">
        <w:tc>
          <w:tcPr>
            <w:tcW w:w="959" w:type="dxa"/>
          </w:tcPr>
          <w:p w14:paraId="7BCA6A8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MT</w:t>
            </w:r>
          </w:p>
        </w:tc>
        <w:tc>
          <w:tcPr>
            <w:tcW w:w="1701" w:type="dxa"/>
          </w:tcPr>
          <w:p w14:paraId="1F64DA3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Malta</w:t>
            </w:r>
          </w:p>
        </w:tc>
        <w:tc>
          <w:tcPr>
            <w:tcW w:w="1843" w:type="dxa"/>
          </w:tcPr>
          <w:p w14:paraId="7B14337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Malta</w:t>
            </w:r>
          </w:p>
        </w:tc>
        <w:tc>
          <w:tcPr>
            <w:tcW w:w="5033" w:type="dxa"/>
          </w:tcPr>
          <w:p w14:paraId="5108358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Malta</w:t>
            </w:r>
          </w:p>
        </w:tc>
      </w:tr>
      <w:tr w:rsidR="00C96521" w:rsidRPr="005D4262" w14:paraId="4E692870" w14:textId="77777777" w:rsidTr="00C96521">
        <w:tc>
          <w:tcPr>
            <w:tcW w:w="959" w:type="dxa"/>
          </w:tcPr>
          <w:p w14:paraId="707F6046"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NL</w:t>
            </w:r>
          </w:p>
        </w:tc>
        <w:tc>
          <w:tcPr>
            <w:tcW w:w="1701" w:type="dxa"/>
          </w:tcPr>
          <w:p w14:paraId="619D5D2E"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Netherlands</w:t>
            </w:r>
          </w:p>
        </w:tc>
        <w:tc>
          <w:tcPr>
            <w:tcW w:w="1843" w:type="dxa"/>
          </w:tcPr>
          <w:p w14:paraId="6D0CA25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Nederland</w:t>
            </w:r>
          </w:p>
        </w:tc>
        <w:tc>
          <w:tcPr>
            <w:tcW w:w="5033" w:type="dxa"/>
          </w:tcPr>
          <w:p w14:paraId="18BE0F9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Kingdom of the Netherlands</w:t>
            </w:r>
          </w:p>
        </w:tc>
      </w:tr>
      <w:tr w:rsidR="00C96521" w:rsidRPr="005D4262" w14:paraId="7D37A171" w14:textId="77777777" w:rsidTr="00C96521">
        <w:tc>
          <w:tcPr>
            <w:tcW w:w="959" w:type="dxa"/>
          </w:tcPr>
          <w:p w14:paraId="334131F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PL</w:t>
            </w:r>
          </w:p>
        </w:tc>
        <w:tc>
          <w:tcPr>
            <w:tcW w:w="1701" w:type="dxa"/>
          </w:tcPr>
          <w:p w14:paraId="6725E1E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Poland</w:t>
            </w:r>
          </w:p>
        </w:tc>
        <w:tc>
          <w:tcPr>
            <w:tcW w:w="1843" w:type="dxa"/>
          </w:tcPr>
          <w:p w14:paraId="33588F0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Polska</w:t>
            </w:r>
          </w:p>
        </w:tc>
        <w:tc>
          <w:tcPr>
            <w:tcW w:w="5033" w:type="dxa"/>
          </w:tcPr>
          <w:p w14:paraId="67748C4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Poland</w:t>
            </w:r>
          </w:p>
        </w:tc>
      </w:tr>
      <w:tr w:rsidR="00C96521" w:rsidRPr="005D4262" w14:paraId="0F89A3DE" w14:textId="77777777" w:rsidTr="00C96521">
        <w:tc>
          <w:tcPr>
            <w:tcW w:w="959" w:type="dxa"/>
          </w:tcPr>
          <w:p w14:paraId="5A3957B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PT</w:t>
            </w:r>
          </w:p>
        </w:tc>
        <w:tc>
          <w:tcPr>
            <w:tcW w:w="1701" w:type="dxa"/>
          </w:tcPr>
          <w:p w14:paraId="64E72EC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Portugal</w:t>
            </w:r>
          </w:p>
        </w:tc>
        <w:tc>
          <w:tcPr>
            <w:tcW w:w="1843" w:type="dxa"/>
          </w:tcPr>
          <w:p w14:paraId="13FB12BE"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Portugal</w:t>
            </w:r>
          </w:p>
        </w:tc>
        <w:tc>
          <w:tcPr>
            <w:tcW w:w="5033" w:type="dxa"/>
          </w:tcPr>
          <w:p w14:paraId="220AB33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Portuguese Republic</w:t>
            </w:r>
          </w:p>
        </w:tc>
      </w:tr>
      <w:tr w:rsidR="00C96521" w:rsidRPr="005D4262" w14:paraId="5C15D3F3" w14:textId="77777777" w:rsidTr="00C96521">
        <w:tc>
          <w:tcPr>
            <w:tcW w:w="959" w:type="dxa"/>
          </w:tcPr>
          <w:p w14:paraId="2E60243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RO</w:t>
            </w:r>
          </w:p>
        </w:tc>
        <w:tc>
          <w:tcPr>
            <w:tcW w:w="1701" w:type="dxa"/>
          </w:tcPr>
          <w:p w14:paraId="3959032E"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Romania</w:t>
            </w:r>
          </w:p>
        </w:tc>
        <w:tc>
          <w:tcPr>
            <w:tcW w:w="1843" w:type="dxa"/>
          </w:tcPr>
          <w:p w14:paraId="26DBC8F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România</w:t>
            </w:r>
          </w:p>
        </w:tc>
        <w:tc>
          <w:tcPr>
            <w:tcW w:w="5033" w:type="dxa"/>
          </w:tcPr>
          <w:p w14:paraId="58B9699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Romania</w:t>
            </w:r>
          </w:p>
        </w:tc>
      </w:tr>
      <w:tr w:rsidR="00C96521" w:rsidRPr="005D4262" w14:paraId="7A15B9E3" w14:textId="77777777" w:rsidTr="00C96521">
        <w:tc>
          <w:tcPr>
            <w:tcW w:w="959" w:type="dxa"/>
          </w:tcPr>
          <w:p w14:paraId="4C70ED4A"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SE</w:t>
            </w:r>
          </w:p>
        </w:tc>
        <w:tc>
          <w:tcPr>
            <w:tcW w:w="1701" w:type="dxa"/>
          </w:tcPr>
          <w:p w14:paraId="234C0BD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Sweden</w:t>
            </w:r>
          </w:p>
        </w:tc>
        <w:tc>
          <w:tcPr>
            <w:tcW w:w="1843" w:type="dxa"/>
          </w:tcPr>
          <w:p w14:paraId="376E4C4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Sverige</w:t>
            </w:r>
          </w:p>
        </w:tc>
        <w:tc>
          <w:tcPr>
            <w:tcW w:w="5033" w:type="dxa"/>
          </w:tcPr>
          <w:p w14:paraId="1D70591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Kingdom of Sweden</w:t>
            </w:r>
          </w:p>
        </w:tc>
      </w:tr>
      <w:tr w:rsidR="00C96521" w:rsidRPr="005D4262" w14:paraId="3ED76C50" w14:textId="77777777" w:rsidTr="00C96521">
        <w:tc>
          <w:tcPr>
            <w:tcW w:w="959" w:type="dxa"/>
          </w:tcPr>
          <w:p w14:paraId="2E893C1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SI</w:t>
            </w:r>
          </w:p>
        </w:tc>
        <w:tc>
          <w:tcPr>
            <w:tcW w:w="1701" w:type="dxa"/>
          </w:tcPr>
          <w:p w14:paraId="61D222BA"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Slovenia</w:t>
            </w:r>
          </w:p>
        </w:tc>
        <w:tc>
          <w:tcPr>
            <w:tcW w:w="1843" w:type="dxa"/>
          </w:tcPr>
          <w:p w14:paraId="558B2F8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Slovenija</w:t>
            </w:r>
          </w:p>
        </w:tc>
        <w:tc>
          <w:tcPr>
            <w:tcW w:w="5033" w:type="dxa"/>
          </w:tcPr>
          <w:p w14:paraId="57AA645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Slovenia</w:t>
            </w:r>
          </w:p>
        </w:tc>
      </w:tr>
      <w:tr w:rsidR="00C96521" w:rsidRPr="005D4262" w14:paraId="42CC7A2F" w14:textId="77777777" w:rsidTr="00C96521">
        <w:tc>
          <w:tcPr>
            <w:tcW w:w="959" w:type="dxa"/>
          </w:tcPr>
          <w:p w14:paraId="696320B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SK</w:t>
            </w:r>
          </w:p>
        </w:tc>
        <w:tc>
          <w:tcPr>
            <w:tcW w:w="1701" w:type="dxa"/>
          </w:tcPr>
          <w:p w14:paraId="1AE9E1C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Slovakia</w:t>
            </w:r>
          </w:p>
        </w:tc>
        <w:tc>
          <w:tcPr>
            <w:tcW w:w="1843" w:type="dxa"/>
          </w:tcPr>
          <w:p w14:paraId="19880B2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Slovensko</w:t>
            </w:r>
          </w:p>
        </w:tc>
        <w:tc>
          <w:tcPr>
            <w:tcW w:w="5033" w:type="dxa"/>
          </w:tcPr>
          <w:p w14:paraId="131FB76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Slovak Republic</w:t>
            </w:r>
          </w:p>
        </w:tc>
      </w:tr>
      <w:tr w:rsidR="00C96521" w:rsidRPr="005D4262" w14:paraId="28DFAF05" w14:textId="77777777" w:rsidTr="00C96521">
        <w:tc>
          <w:tcPr>
            <w:tcW w:w="959" w:type="dxa"/>
          </w:tcPr>
          <w:p w14:paraId="39782FA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UK</w:t>
            </w:r>
          </w:p>
        </w:tc>
        <w:tc>
          <w:tcPr>
            <w:tcW w:w="1701" w:type="dxa"/>
          </w:tcPr>
          <w:p w14:paraId="52C8AD3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United Kingdom</w:t>
            </w:r>
          </w:p>
        </w:tc>
        <w:tc>
          <w:tcPr>
            <w:tcW w:w="1843" w:type="dxa"/>
          </w:tcPr>
          <w:p w14:paraId="77AA4D3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United Kingdom</w:t>
            </w:r>
          </w:p>
        </w:tc>
        <w:tc>
          <w:tcPr>
            <w:tcW w:w="5033" w:type="dxa"/>
          </w:tcPr>
          <w:p w14:paraId="5B60BA8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United Kingdom of Great Britain and Northern Ireland</w:t>
            </w:r>
          </w:p>
        </w:tc>
      </w:tr>
    </w:tbl>
    <w:p w14:paraId="284A2996"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402A2001"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3B9A25A0" w14:textId="0995DE48" w:rsidR="007910DD" w:rsidRPr="005D4262" w:rsidRDefault="007910DD" w:rsidP="007910DD">
      <w:pPr>
        <w:rPr>
          <w:rFonts w:cs="Arial"/>
          <w:szCs w:val="18"/>
          <w:lang w:val="en-GB"/>
        </w:rPr>
      </w:pPr>
    </w:p>
    <w:p w14:paraId="23A235FB" w14:textId="77777777" w:rsidR="007910DD" w:rsidRPr="005D4262" w:rsidRDefault="007910DD" w:rsidP="007910DD">
      <w:pPr>
        <w:ind w:left="720"/>
        <w:jc w:val="both"/>
        <w:rPr>
          <w:rFonts w:cs="Arial"/>
          <w:iCs/>
          <w:szCs w:val="18"/>
          <w:lang w:val="en-GB"/>
        </w:rPr>
      </w:pPr>
    </w:p>
    <w:p w14:paraId="20FDA345" w14:textId="77777777" w:rsidR="0079075D" w:rsidRPr="005D4262" w:rsidRDefault="0079075D" w:rsidP="007910DD">
      <w:pPr>
        <w:pStyle w:val="Heading2"/>
        <w:keepNext w:val="0"/>
        <w:ind w:left="-90" w:right="-367"/>
        <w:jc w:val="center"/>
        <w:rPr>
          <w:rFonts w:cs="Arial"/>
          <w:sz w:val="20"/>
          <w:szCs w:val="20"/>
          <w:lang w:val="en-GB"/>
        </w:rPr>
      </w:pPr>
    </w:p>
    <w:sectPr w:rsidR="0079075D" w:rsidRPr="005D4262" w:rsidSect="0052082F">
      <w:endnotePr>
        <w:numFmt w:val="decimal"/>
      </w:endnotePr>
      <w:pgSz w:w="11905" w:h="16837" w:code="9"/>
      <w:pgMar w:top="1008" w:right="1411" w:bottom="1152" w:left="1411" w:header="432" w:footer="432"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6BBDE" w14:textId="77777777" w:rsidR="00B70B7A" w:rsidRDefault="00B70B7A">
      <w:r>
        <w:separator/>
      </w:r>
    </w:p>
  </w:endnote>
  <w:endnote w:type="continuationSeparator" w:id="0">
    <w:p w14:paraId="6DD6CCCE" w14:textId="77777777" w:rsidR="00B70B7A" w:rsidRDefault="00B70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dvOT46dcae81">
    <w:panose1 w:val="00000000000000000000"/>
    <w:charset w:val="00"/>
    <w:family w:val="swiss"/>
    <w:notTrueType/>
    <w:pitch w:val="default"/>
    <w:sig w:usb0="00000003" w:usb1="00000000" w:usb2="00000000" w:usb3="00000000" w:csb0="00000001" w:csb1="00000000"/>
  </w:font>
  <w:font w:name="TimesNewRoman">
    <w:altName w:val="Calibri"/>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C5202" w14:textId="755AD613" w:rsidR="00B70B7A" w:rsidRPr="00922791" w:rsidRDefault="00B70B7A" w:rsidP="00056DC1">
    <w:pPr>
      <w:pStyle w:val="Footer"/>
      <w:ind w:right="-367"/>
      <w:jc w:val="center"/>
      <w:rPr>
        <w:rFonts w:cs="Arial"/>
        <w:szCs w:val="18"/>
      </w:rPr>
    </w:pPr>
    <w:r w:rsidRPr="00922791">
      <w:rPr>
        <w:rFonts w:cs="Arial"/>
        <w:szCs w:val="18"/>
      </w:rPr>
      <w:fldChar w:fldCharType="begin"/>
    </w:r>
    <w:r w:rsidRPr="00922791">
      <w:rPr>
        <w:rFonts w:cs="Arial"/>
        <w:szCs w:val="18"/>
      </w:rPr>
      <w:instrText xml:space="preserve"> PAGE   \* MERGEFORMAT </w:instrText>
    </w:r>
    <w:r w:rsidRPr="00922791">
      <w:rPr>
        <w:rFonts w:cs="Arial"/>
        <w:szCs w:val="18"/>
      </w:rPr>
      <w:fldChar w:fldCharType="separate"/>
    </w:r>
    <w:r w:rsidR="00517734">
      <w:rPr>
        <w:rFonts w:cs="Arial"/>
        <w:noProof/>
        <w:szCs w:val="18"/>
      </w:rPr>
      <w:t>20</w:t>
    </w:r>
    <w:r w:rsidRPr="00922791">
      <w:rPr>
        <w:rFonts w:cs="Arial"/>
        <w:noProof/>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390D6" w14:textId="68F7A395" w:rsidR="00B70B7A" w:rsidRPr="00922791" w:rsidRDefault="00B70B7A" w:rsidP="00056DC1">
    <w:pPr>
      <w:pStyle w:val="Footer"/>
      <w:ind w:right="-367"/>
      <w:jc w:val="center"/>
      <w:rPr>
        <w:rFonts w:cs="Arial"/>
        <w:szCs w:val="18"/>
      </w:rPr>
    </w:pPr>
    <w:r w:rsidRPr="00922791">
      <w:rPr>
        <w:rFonts w:cs="Arial"/>
        <w:szCs w:val="18"/>
      </w:rPr>
      <w:fldChar w:fldCharType="begin"/>
    </w:r>
    <w:r w:rsidRPr="00922791">
      <w:rPr>
        <w:rFonts w:cs="Arial"/>
        <w:szCs w:val="18"/>
      </w:rPr>
      <w:instrText xml:space="preserve"> PAGE   \* MERGEFORMAT </w:instrText>
    </w:r>
    <w:r w:rsidRPr="00922791">
      <w:rPr>
        <w:rFonts w:cs="Arial"/>
        <w:szCs w:val="18"/>
      </w:rPr>
      <w:fldChar w:fldCharType="separate"/>
    </w:r>
    <w:r w:rsidR="00517734">
      <w:rPr>
        <w:rFonts w:cs="Arial"/>
        <w:noProof/>
        <w:szCs w:val="18"/>
      </w:rPr>
      <w:t>5</w:t>
    </w:r>
    <w:r w:rsidRPr="00922791">
      <w:rPr>
        <w:rFonts w:cs="Arial"/>
        <w:noProof/>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E2426" w14:textId="77777777" w:rsidR="00B70B7A" w:rsidRPr="00CD7355" w:rsidRDefault="00B70B7A" w:rsidP="00015E07">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9F4C0" w14:textId="638C9682" w:rsidR="00B70B7A" w:rsidRPr="00D605A4" w:rsidRDefault="00B70B7A" w:rsidP="00015E07">
    <w:pPr>
      <w:pStyle w:val="Footer"/>
      <w:tabs>
        <w:tab w:val="clear" w:pos="8640"/>
        <w:tab w:val="right" w:pos="9083"/>
      </w:tabs>
      <w:jc w:val="center"/>
      <w:rPr>
        <w:rFonts w:cs="Arial"/>
        <w:szCs w:val="18"/>
      </w:rPr>
    </w:pPr>
    <w:r>
      <w:rPr>
        <w:rFonts w:cs="Arial"/>
        <w:noProof/>
        <w:szCs w:val="18"/>
      </w:rPr>
      <w:tab/>
    </w:r>
    <w:r w:rsidRPr="00D605A4">
      <w:rPr>
        <w:rFonts w:cs="Arial"/>
        <w:szCs w:val="18"/>
      </w:rPr>
      <w:fldChar w:fldCharType="begin"/>
    </w:r>
    <w:r w:rsidRPr="00D605A4">
      <w:rPr>
        <w:rFonts w:cs="Arial"/>
        <w:szCs w:val="18"/>
      </w:rPr>
      <w:instrText xml:space="preserve"> PAGE   \* MERGEFORMAT </w:instrText>
    </w:r>
    <w:r w:rsidRPr="00D605A4">
      <w:rPr>
        <w:rFonts w:cs="Arial"/>
        <w:szCs w:val="18"/>
      </w:rPr>
      <w:fldChar w:fldCharType="separate"/>
    </w:r>
    <w:r w:rsidR="00517734">
      <w:rPr>
        <w:rFonts w:cs="Arial"/>
        <w:noProof/>
        <w:szCs w:val="18"/>
      </w:rPr>
      <w:t>2</w:t>
    </w:r>
    <w:r w:rsidRPr="00D605A4">
      <w:rPr>
        <w:rFonts w:cs="Arial"/>
        <w:noProof/>
        <w:szCs w:val="18"/>
      </w:rPr>
      <w:fldChar w:fldCharType="end"/>
    </w:r>
    <w:r>
      <w:rPr>
        <w:rFonts w:cs="Arial"/>
        <w:noProof/>
        <w:szCs w:val="18"/>
      </w:rPr>
      <w:tab/>
    </w:r>
  </w:p>
  <w:p w14:paraId="20CF20C0" w14:textId="77777777" w:rsidR="00B70B7A" w:rsidRPr="00D605A4" w:rsidRDefault="00B70B7A" w:rsidP="00D605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228330"/>
      <w:docPartObj>
        <w:docPartGallery w:val="Page Numbers (Bottom of Page)"/>
        <w:docPartUnique/>
      </w:docPartObj>
    </w:sdtPr>
    <w:sdtEndPr>
      <w:rPr>
        <w:noProof/>
      </w:rPr>
    </w:sdtEndPr>
    <w:sdtContent>
      <w:p w14:paraId="78D1F41C" w14:textId="77777777" w:rsidR="008C00B8" w:rsidRDefault="008C00B8">
        <w:pPr>
          <w:pStyle w:val="Footer"/>
          <w:jc w:val="center"/>
        </w:pPr>
      </w:p>
      <w:p w14:paraId="5E1752EF" w14:textId="4924C671" w:rsidR="008C00B8" w:rsidRDefault="008C00B8">
        <w:pPr>
          <w:pStyle w:val="Footer"/>
          <w:jc w:val="center"/>
        </w:pPr>
        <w:r>
          <w:fldChar w:fldCharType="begin"/>
        </w:r>
        <w:r>
          <w:instrText xml:space="preserve"> PAGE   \* MERGEFORMAT </w:instrText>
        </w:r>
        <w:r>
          <w:fldChar w:fldCharType="separate"/>
        </w:r>
        <w:r w:rsidR="00517734">
          <w:rPr>
            <w:noProof/>
          </w:rPr>
          <w:t>4</w:t>
        </w:r>
        <w:r>
          <w:rPr>
            <w:noProof/>
          </w:rPr>
          <w:fldChar w:fldCharType="end"/>
        </w:r>
      </w:p>
    </w:sdtContent>
  </w:sdt>
  <w:p w14:paraId="427961B9" w14:textId="77777777" w:rsidR="00B70B7A" w:rsidRDefault="00B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803661"/>
      <w:docPartObj>
        <w:docPartGallery w:val="Page Numbers (Bottom of Page)"/>
        <w:docPartUnique/>
      </w:docPartObj>
    </w:sdtPr>
    <w:sdtEndPr>
      <w:rPr>
        <w:noProof/>
      </w:rPr>
    </w:sdtEndPr>
    <w:sdtContent>
      <w:p w14:paraId="305EE7FB" w14:textId="255EFAE7" w:rsidR="008C00B8" w:rsidRDefault="008C00B8">
        <w:pPr>
          <w:pStyle w:val="Footer"/>
          <w:jc w:val="center"/>
        </w:pPr>
        <w:r>
          <w:fldChar w:fldCharType="begin"/>
        </w:r>
        <w:r>
          <w:instrText xml:space="preserve"> PAGE   \* MERGEFORMAT </w:instrText>
        </w:r>
        <w:r>
          <w:fldChar w:fldCharType="separate"/>
        </w:r>
        <w:r w:rsidR="00517734">
          <w:rPr>
            <w:noProof/>
          </w:rPr>
          <w:t>21</w:t>
        </w:r>
        <w:r>
          <w:rPr>
            <w:noProof/>
          </w:rPr>
          <w:fldChar w:fldCharType="end"/>
        </w:r>
      </w:p>
    </w:sdtContent>
  </w:sdt>
  <w:p w14:paraId="04578353" w14:textId="086600CB" w:rsidR="00B70B7A" w:rsidRPr="005958E3" w:rsidRDefault="00B70B7A" w:rsidP="00C96521">
    <w:pPr>
      <w:pStyle w:val="TDSmall"/>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8225"/>
      <w:docPartObj>
        <w:docPartGallery w:val="Page Numbers (Bottom of Page)"/>
        <w:docPartUnique/>
      </w:docPartObj>
    </w:sdtPr>
    <w:sdtEndPr/>
    <w:sdtContent>
      <w:p w14:paraId="6CF4660B" w14:textId="77777777" w:rsidR="00B70B7A" w:rsidRDefault="00B70B7A" w:rsidP="00C96521">
        <w:pPr>
          <w:pStyle w:val="TDSmall"/>
          <w:jc w:val="right"/>
        </w:pPr>
      </w:p>
      <w:p w14:paraId="76FB92ED" w14:textId="77777777" w:rsidR="00B70B7A" w:rsidRDefault="00517734">
        <w:pPr>
          <w:pStyle w:val="TDSmall"/>
          <w:jc w:val="center"/>
        </w:pPr>
      </w:p>
    </w:sdtContent>
  </w:sdt>
  <w:p w14:paraId="2C4093B2" w14:textId="77777777" w:rsidR="00B70B7A" w:rsidRDefault="00B7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5DCD3" w14:textId="77777777" w:rsidR="00B70B7A" w:rsidRDefault="00B70B7A">
      <w:r>
        <w:separator/>
      </w:r>
    </w:p>
  </w:footnote>
  <w:footnote w:type="continuationSeparator" w:id="0">
    <w:p w14:paraId="39A448A0" w14:textId="77777777" w:rsidR="00B70B7A" w:rsidRDefault="00B70B7A">
      <w:r>
        <w:continuationSeparator/>
      </w:r>
    </w:p>
  </w:footnote>
  <w:footnote w:id="1">
    <w:p w14:paraId="6303AC5A" w14:textId="28CD70D7" w:rsidR="00B70B7A" w:rsidRPr="005F2B45" w:rsidRDefault="00B70B7A" w:rsidP="00C96521">
      <w:pPr>
        <w:pStyle w:val="FootnoteText"/>
        <w:rPr>
          <w:sz w:val="16"/>
          <w:szCs w:val="16"/>
        </w:rPr>
      </w:pPr>
      <w:r w:rsidRPr="005F2B45">
        <w:rPr>
          <w:rStyle w:val="FootnoteReference"/>
          <w:sz w:val="16"/>
          <w:szCs w:val="16"/>
        </w:rPr>
        <w:footnoteRef/>
      </w:r>
      <w:r w:rsidRPr="005F2B45">
        <w:rPr>
          <w:sz w:val="16"/>
          <w:szCs w:val="16"/>
        </w:rPr>
        <w:t xml:space="preserve"> The </w:t>
      </w:r>
      <w:r>
        <w:rPr>
          <w:sz w:val="16"/>
          <w:szCs w:val="16"/>
        </w:rPr>
        <w:t>T</w:t>
      </w:r>
      <w:r w:rsidRPr="005F2B45">
        <w:rPr>
          <w:sz w:val="16"/>
          <w:szCs w:val="16"/>
        </w:rPr>
        <w:t>urtle</w:t>
      </w:r>
      <w:r>
        <w:rPr>
          <w:sz w:val="16"/>
          <w:szCs w:val="16"/>
        </w:rPr>
        <w:t xml:space="preserve"> D</w:t>
      </w:r>
      <w:r w:rsidRPr="005F2B45">
        <w:rPr>
          <w:sz w:val="16"/>
          <w:szCs w:val="16"/>
        </w:rPr>
        <w:t>ove has not bred in Malta since 1956.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55D63" w14:textId="77777777" w:rsidR="00B70B7A" w:rsidRPr="00922791" w:rsidRDefault="00B70B7A" w:rsidP="00922791">
    <w:pPr>
      <w:pStyle w:val="Heading1"/>
      <w:keepNext w:val="0"/>
      <w:pBdr>
        <w:bottom w:val="single" w:sz="4" w:space="1" w:color="auto"/>
      </w:pBdr>
      <w:tabs>
        <w:tab w:val="clear" w:pos="-720"/>
      </w:tabs>
      <w:ind w:left="261" w:right="-277" w:hanging="261"/>
      <w:rPr>
        <w:rFonts w:cs="Arial"/>
        <w:b w:val="0"/>
        <w:i/>
        <w:sz w:val="18"/>
        <w:szCs w:val="18"/>
        <w:lang w:val="en-US"/>
      </w:rPr>
    </w:pPr>
    <w:r w:rsidRPr="00922791">
      <w:rPr>
        <w:rFonts w:cs="Arial"/>
        <w:b w:val="0"/>
        <w:i/>
        <w:sz w:val="18"/>
        <w:szCs w:val="18"/>
        <w:lang w:val="en-US"/>
      </w:rPr>
      <w:t>UNEP/CMS/COP12</w:t>
    </w:r>
    <w:r>
      <w:rPr>
        <w:rFonts w:cs="Arial"/>
        <w:b w:val="0"/>
        <w:i/>
        <w:sz w:val="18"/>
        <w:szCs w:val="18"/>
        <w:lang w:val="en-US"/>
      </w:rPr>
      <w:t>/Doc.x.x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9C9A9" w14:textId="354B286E" w:rsidR="00B70B7A" w:rsidRPr="00497E66" w:rsidRDefault="00B70B7A" w:rsidP="00C96521">
    <w:pPr>
      <w:pStyle w:val="Heading1"/>
      <w:keepNext w:val="0"/>
      <w:pBdr>
        <w:bottom w:val="single" w:sz="4" w:space="1" w:color="auto"/>
      </w:pBdr>
      <w:tabs>
        <w:tab w:val="clear" w:pos="-720"/>
      </w:tabs>
      <w:ind w:left="261" w:right="-277" w:hanging="261"/>
      <w:jc w:val="right"/>
      <w:rPr>
        <w:rFonts w:cs="Arial"/>
        <w:b w:val="0"/>
        <w:i/>
        <w:sz w:val="18"/>
        <w:szCs w:val="18"/>
        <w:lang w:val="fr-FR"/>
      </w:rPr>
    </w:pPr>
    <w:r w:rsidRPr="00497E66">
      <w:rPr>
        <w:rFonts w:cs="Arial"/>
        <w:b w:val="0"/>
        <w:i/>
        <w:sz w:val="18"/>
        <w:szCs w:val="18"/>
        <w:lang w:val="fr-FR"/>
      </w:rPr>
      <w:t>UNEP/CMS/COP12/Doc.</w:t>
    </w:r>
    <w:r>
      <w:rPr>
        <w:rFonts w:cs="Arial"/>
        <w:b w:val="0"/>
        <w:i/>
        <w:sz w:val="18"/>
        <w:szCs w:val="18"/>
        <w:lang w:val="fr-FR"/>
      </w:rPr>
      <w:t>24.1.6</w:t>
    </w:r>
    <w:r w:rsidR="008C00B8">
      <w:rPr>
        <w:rFonts w:cs="Arial"/>
        <w:b w:val="0"/>
        <w:i/>
        <w:sz w:val="18"/>
        <w:szCs w:val="18"/>
        <w:lang w:val="fr-FR"/>
      </w:rPr>
      <w:t>/Annex 1</w:t>
    </w:r>
  </w:p>
  <w:p w14:paraId="13FA0967" w14:textId="77777777" w:rsidR="00B70B7A" w:rsidRPr="00497E66" w:rsidRDefault="00B70B7A" w:rsidP="00C96521">
    <w:pPr>
      <w:jc w:val="right"/>
      <w:rPr>
        <w:i/>
        <w:szCs w:val="20"/>
        <w:lang w:val="fr-FR"/>
      </w:rPr>
    </w:pPr>
  </w:p>
  <w:p w14:paraId="2B0F7377" w14:textId="75DBF200" w:rsidR="00B70B7A" w:rsidRPr="005958E3" w:rsidRDefault="00B70B7A" w:rsidP="00C96521">
    <w:pPr>
      <w:pStyle w:val="Header"/>
      <w:jc w:val="cent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E2641" w14:textId="3EA1AD5F" w:rsidR="00B70B7A" w:rsidRPr="00497E66" w:rsidRDefault="00B70B7A" w:rsidP="00922791">
    <w:pPr>
      <w:pStyle w:val="Heading1"/>
      <w:keepNext w:val="0"/>
      <w:pBdr>
        <w:bottom w:val="single" w:sz="4" w:space="1" w:color="auto"/>
      </w:pBdr>
      <w:tabs>
        <w:tab w:val="clear" w:pos="-720"/>
      </w:tabs>
      <w:ind w:left="261" w:right="-277" w:hanging="261"/>
      <w:jc w:val="right"/>
      <w:rPr>
        <w:rFonts w:cs="Arial"/>
        <w:b w:val="0"/>
        <w:i/>
        <w:sz w:val="18"/>
        <w:szCs w:val="18"/>
        <w:lang w:val="fr-FR"/>
      </w:rPr>
    </w:pPr>
    <w:r w:rsidRPr="00497E66">
      <w:rPr>
        <w:rFonts w:cs="Arial"/>
        <w:b w:val="0"/>
        <w:i/>
        <w:sz w:val="18"/>
        <w:szCs w:val="18"/>
        <w:lang w:val="fr-FR"/>
      </w:rPr>
      <w:t>UNEP/CMS/COP12/Doc.</w:t>
    </w:r>
    <w:r>
      <w:rPr>
        <w:rFonts w:cs="Arial"/>
        <w:b w:val="0"/>
        <w:i/>
        <w:sz w:val="18"/>
        <w:szCs w:val="18"/>
        <w:lang w:val="fr-FR"/>
      </w:rPr>
      <w:t>24.1.6</w:t>
    </w:r>
  </w:p>
  <w:p w14:paraId="0CEE59C4" w14:textId="77777777" w:rsidR="00B70B7A" w:rsidRPr="00497E66" w:rsidRDefault="00B70B7A" w:rsidP="00A27BE3">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8187A" w14:textId="77777777" w:rsidR="00B70B7A" w:rsidRDefault="00B70B7A" w:rsidP="00894D19">
    <w:pPr>
      <w:pStyle w:val="Header"/>
    </w:pPr>
    <w:r>
      <w:rPr>
        <w:noProof/>
        <w:lang w:val="en-US"/>
      </w:rPr>
      <w:drawing>
        <wp:anchor distT="0" distB="0" distL="114300" distR="114300" simplePos="0" relativeHeight="251657216" behindDoc="1" locked="0" layoutInCell="1" allowOverlap="1" wp14:anchorId="32DED744" wp14:editId="29F50B65">
          <wp:simplePos x="0" y="0"/>
          <wp:positionH relativeFrom="column">
            <wp:posOffset>716280</wp:posOffset>
          </wp:positionH>
          <wp:positionV relativeFrom="paragraph">
            <wp:posOffset>-75565</wp:posOffset>
          </wp:positionV>
          <wp:extent cx="431165" cy="441325"/>
          <wp:effectExtent l="0" t="0" r="6985" b="0"/>
          <wp:wrapTight wrapText="bothSides">
            <wp:wrapPolygon edited="0">
              <wp:start x="0" y="0"/>
              <wp:lineTo x="0" y="20512"/>
              <wp:lineTo x="20996" y="20512"/>
              <wp:lineTo x="20996" y="0"/>
              <wp:lineTo x="0" y="0"/>
            </wp:wrapPolygon>
          </wp:wrapTight>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780" t="-1236" r="60236" b="48836"/>
                  <a:stretch>
                    <a:fillRect/>
                  </a:stretch>
                </pic:blipFill>
                <pic:spPr bwMode="auto">
                  <a:xfrm>
                    <a:off x="0" y="0"/>
                    <a:ext cx="43116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1" locked="0" layoutInCell="1" allowOverlap="1" wp14:anchorId="38C2E44E" wp14:editId="27BD4A2C">
          <wp:simplePos x="0" y="0"/>
          <wp:positionH relativeFrom="column">
            <wp:posOffset>0</wp:posOffset>
          </wp:positionH>
          <wp:positionV relativeFrom="paragraph">
            <wp:posOffset>-38100</wp:posOffset>
          </wp:positionV>
          <wp:extent cx="742950" cy="485775"/>
          <wp:effectExtent l="0" t="0" r="0" b="0"/>
          <wp:wrapTight wrapText="bothSides">
            <wp:wrapPolygon edited="0">
              <wp:start x="1662" y="2541"/>
              <wp:lineTo x="1662" y="18635"/>
              <wp:lineTo x="19385" y="18635"/>
              <wp:lineTo x="19385" y="7624"/>
              <wp:lineTo x="18277" y="2541"/>
              <wp:lineTo x="1662" y="2541"/>
            </wp:wrapPolygon>
          </wp:wrapTight>
          <wp:docPr id="92" name="Picture 92" descr="UNEnvironment_Logo_English_Sho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Environment_Logo_English_Short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FEBEC" w14:textId="77777777" w:rsidR="00B70B7A" w:rsidRDefault="00B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34BB2" w14:textId="7A6B985C" w:rsidR="00B70B7A" w:rsidRPr="00D605A4" w:rsidRDefault="00B70B7A" w:rsidP="00D605A4">
    <w:pPr>
      <w:pStyle w:val="Header"/>
      <w:pBdr>
        <w:bottom w:val="single" w:sz="4" w:space="1" w:color="auto"/>
      </w:pBdr>
      <w:rPr>
        <w:rFonts w:cs="Arial"/>
        <w:i/>
        <w:szCs w:val="18"/>
        <w:lang w:val="de-DE"/>
      </w:rPr>
    </w:pPr>
    <w:r w:rsidRPr="00D605A4">
      <w:rPr>
        <w:rFonts w:cs="Arial"/>
        <w:i/>
        <w:szCs w:val="18"/>
        <w:lang w:val="de-DE"/>
      </w:rPr>
      <w:t>UNEP/CMS/COP12/Doc.</w:t>
    </w:r>
    <w:r>
      <w:rPr>
        <w:rFonts w:cs="Arial"/>
        <w:i/>
        <w:szCs w:val="18"/>
        <w:lang w:val="de-DE"/>
      </w:rPr>
      <w:t>24.1.6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B361D" w14:textId="77777777" w:rsidR="00B70B7A" w:rsidRPr="00497E66" w:rsidRDefault="00B70B7A" w:rsidP="00C96521">
    <w:pPr>
      <w:pStyle w:val="Heading1"/>
      <w:keepNext w:val="0"/>
      <w:pBdr>
        <w:bottom w:val="single" w:sz="4" w:space="1" w:color="auto"/>
      </w:pBdr>
      <w:tabs>
        <w:tab w:val="clear" w:pos="-720"/>
      </w:tabs>
      <w:ind w:left="261" w:right="-277" w:hanging="261"/>
      <w:rPr>
        <w:rFonts w:cs="Arial"/>
        <w:b w:val="0"/>
        <w:i/>
        <w:sz w:val="18"/>
        <w:szCs w:val="18"/>
        <w:lang w:val="fr-FR"/>
      </w:rPr>
    </w:pPr>
    <w:r w:rsidRPr="00497E66">
      <w:rPr>
        <w:rFonts w:cs="Arial"/>
        <w:b w:val="0"/>
        <w:i/>
        <w:sz w:val="18"/>
        <w:szCs w:val="18"/>
        <w:lang w:val="fr-FR"/>
      </w:rPr>
      <w:t>UNEP/CMS/COP12/Doc.</w:t>
    </w:r>
    <w:r>
      <w:rPr>
        <w:rFonts w:cs="Arial"/>
        <w:b w:val="0"/>
        <w:i/>
        <w:sz w:val="18"/>
        <w:szCs w:val="18"/>
        <w:lang w:val="fr-FR"/>
      </w:rPr>
      <w:t>24.1.6</w:t>
    </w:r>
  </w:p>
  <w:p w14:paraId="1EF7F754" w14:textId="77777777" w:rsidR="00B70B7A" w:rsidRDefault="00B70B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93DF8" w14:textId="7171EFD8" w:rsidR="00B70B7A" w:rsidRPr="00D605A4" w:rsidRDefault="00B70B7A" w:rsidP="00D605A4">
    <w:pPr>
      <w:pStyle w:val="Header"/>
      <w:pBdr>
        <w:bottom w:val="single" w:sz="4" w:space="1" w:color="auto"/>
      </w:pBdr>
      <w:rPr>
        <w:rFonts w:cs="Arial"/>
        <w:i/>
        <w:szCs w:val="18"/>
        <w:lang w:val="de-DE"/>
      </w:rPr>
    </w:pPr>
    <w:r>
      <w:rPr>
        <w:rFonts w:cs="Arial"/>
        <w:i/>
        <w:szCs w:val="18"/>
        <w:lang w:val="de-DE"/>
      </w:rPr>
      <w:ptab w:relativeTo="margin" w:alignment="right" w:leader="none"/>
    </w:r>
    <w:r w:rsidRPr="00D605A4">
      <w:rPr>
        <w:rFonts w:cs="Arial"/>
        <w:i/>
        <w:szCs w:val="18"/>
        <w:lang w:val="de-DE"/>
      </w:rPr>
      <w:t>UNEP/CMS/COP12/Doc.</w:t>
    </w:r>
    <w:r>
      <w:rPr>
        <w:rFonts w:cs="Arial"/>
        <w:i/>
        <w:szCs w:val="18"/>
        <w:lang w:val="de-DE"/>
      </w:rPr>
      <w:t>24.1.6</w:t>
    </w:r>
    <w:r w:rsidR="008C00B8">
      <w:rPr>
        <w:rFonts w:cs="Arial"/>
        <w:i/>
        <w:szCs w:val="18"/>
        <w:lang w:val="de-DE"/>
      </w:rPr>
      <w:t>/Annex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26D7E" w14:textId="24CE50E7" w:rsidR="008C00B8" w:rsidRPr="00497E66" w:rsidRDefault="008C00B8" w:rsidP="00922791">
    <w:pPr>
      <w:pStyle w:val="Heading1"/>
      <w:keepNext w:val="0"/>
      <w:pBdr>
        <w:bottom w:val="single" w:sz="4" w:space="1" w:color="auto"/>
      </w:pBdr>
      <w:tabs>
        <w:tab w:val="clear" w:pos="-720"/>
      </w:tabs>
      <w:ind w:left="261" w:right="-277" w:hanging="261"/>
      <w:jc w:val="right"/>
      <w:rPr>
        <w:rFonts w:cs="Arial"/>
        <w:b w:val="0"/>
        <w:i/>
        <w:sz w:val="18"/>
        <w:szCs w:val="18"/>
        <w:lang w:val="fr-FR"/>
      </w:rPr>
    </w:pPr>
    <w:r w:rsidRPr="00497E66">
      <w:rPr>
        <w:rFonts w:cs="Arial"/>
        <w:b w:val="0"/>
        <w:i/>
        <w:sz w:val="18"/>
        <w:szCs w:val="18"/>
        <w:lang w:val="fr-FR"/>
      </w:rPr>
      <w:t>UNEP/CMS/COP12/Doc.</w:t>
    </w:r>
    <w:r>
      <w:rPr>
        <w:rFonts w:cs="Arial"/>
        <w:b w:val="0"/>
        <w:i/>
        <w:sz w:val="18"/>
        <w:szCs w:val="18"/>
        <w:lang w:val="fr-FR"/>
      </w:rPr>
      <w:t>24.1.6/Annex 1</w:t>
    </w:r>
  </w:p>
  <w:p w14:paraId="60AF3524" w14:textId="77777777" w:rsidR="008C00B8" w:rsidRPr="00497E66" w:rsidRDefault="008C00B8" w:rsidP="00A27BE3">
    <w:pPr>
      <w:jc w:val="right"/>
      <w:rPr>
        <w:i/>
        <w:szCs w:val="20"/>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67BA9" w14:textId="0B021967" w:rsidR="00B70B7A" w:rsidRPr="00D605A4" w:rsidRDefault="00B70B7A" w:rsidP="00D605A4">
    <w:pPr>
      <w:pStyle w:val="Header"/>
      <w:pBdr>
        <w:bottom w:val="single" w:sz="4" w:space="1" w:color="auto"/>
      </w:pBdr>
      <w:rPr>
        <w:rFonts w:cs="Arial"/>
        <w:i/>
        <w:szCs w:val="18"/>
        <w:lang w:val="de-DE"/>
      </w:rPr>
    </w:pPr>
    <w:r w:rsidRPr="00D605A4">
      <w:rPr>
        <w:rFonts w:cs="Arial"/>
        <w:i/>
        <w:szCs w:val="18"/>
        <w:lang w:val="de-DE"/>
      </w:rPr>
      <w:t>UNEP/CMS/COP12/Doc.</w:t>
    </w:r>
    <w:r>
      <w:rPr>
        <w:rFonts w:cs="Arial"/>
        <w:i/>
        <w:szCs w:val="18"/>
        <w:lang w:val="de-DE"/>
      </w:rPr>
      <w:t>24.1.6</w:t>
    </w:r>
    <w:r w:rsidR="008C00B8">
      <w:rPr>
        <w:rFonts w:cs="Arial"/>
        <w:i/>
        <w:szCs w:val="18"/>
        <w:lang w:val="de-DE"/>
      </w:rPr>
      <w:t>/Annex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9166B" w14:textId="6205BD85" w:rsidR="008C00B8" w:rsidRPr="00497E66" w:rsidRDefault="008C00B8" w:rsidP="00C96521">
    <w:pPr>
      <w:pStyle w:val="Heading1"/>
      <w:keepNext w:val="0"/>
      <w:pBdr>
        <w:bottom w:val="single" w:sz="4" w:space="1" w:color="auto"/>
      </w:pBdr>
      <w:tabs>
        <w:tab w:val="clear" w:pos="-720"/>
      </w:tabs>
      <w:ind w:left="261" w:right="-277" w:hanging="261"/>
      <w:rPr>
        <w:rFonts w:cs="Arial"/>
        <w:b w:val="0"/>
        <w:i/>
        <w:sz w:val="18"/>
        <w:szCs w:val="18"/>
        <w:lang w:val="fr-FR"/>
      </w:rPr>
    </w:pPr>
    <w:r w:rsidRPr="00497E66">
      <w:rPr>
        <w:rFonts w:cs="Arial"/>
        <w:b w:val="0"/>
        <w:i/>
        <w:sz w:val="18"/>
        <w:szCs w:val="18"/>
        <w:lang w:val="fr-FR"/>
      </w:rPr>
      <w:t>UNEP/CMS/COP12/Doc.</w:t>
    </w:r>
    <w:r>
      <w:rPr>
        <w:rFonts w:cs="Arial"/>
        <w:b w:val="0"/>
        <w:i/>
        <w:sz w:val="18"/>
        <w:szCs w:val="18"/>
        <w:lang w:val="fr-FR"/>
      </w:rPr>
      <w:t>24.1.6/Annex 1</w:t>
    </w:r>
  </w:p>
  <w:p w14:paraId="1B0DD10D" w14:textId="77777777" w:rsidR="008C00B8" w:rsidRDefault="008C00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2AB155D"/>
    <w:multiLevelType w:val="hybridMultilevel"/>
    <w:tmpl w:val="8D185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84C30"/>
    <w:multiLevelType w:val="hybridMultilevel"/>
    <w:tmpl w:val="2390987A"/>
    <w:lvl w:ilvl="0" w:tplc="3AD438C6">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710295"/>
    <w:multiLevelType w:val="hybridMultilevel"/>
    <w:tmpl w:val="676037A4"/>
    <w:lvl w:ilvl="0" w:tplc="3AD438C6">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C5209F"/>
    <w:multiLevelType w:val="hybridMultilevel"/>
    <w:tmpl w:val="7DCC9896"/>
    <w:lvl w:ilvl="0" w:tplc="FAE482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780F21"/>
    <w:multiLevelType w:val="hybridMultilevel"/>
    <w:tmpl w:val="0D20EA3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9B22A2D"/>
    <w:multiLevelType w:val="hybridMultilevel"/>
    <w:tmpl w:val="74B47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127042"/>
    <w:multiLevelType w:val="hybridMultilevel"/>
    <w:tmpl w:val="CF569BDE"/>
    <w:lvl w:ilvl="0" w:tplc="4460914E">
      <w:start w:val="1"/>
      <w:numFmt w:val="decimal"/>
      <w:lvlText w:val="%1"/>
      <w:lvlJc w:val="left"/>
      <w:pPr>
        <w:ind w:left="450" w:hanging="450"/>
      </w:pPr>
      <w:rPr>
        <w:rFonts w:hint="default"/>
      </w:rPr>
    </w:lvl>
    <w:lvl w:ilvl="1" w:tplc="08090019" w:tentative="1">
      <w:start w:val="1"/>
      <w:numFmt w:val="lowerLetter"/>
      <w:lvlText w:val="%2."/>
      <w:lvlJc w:val="left"/>
      <w:pPr>
        <w:ind w:left="1345" w:hanging="360"/>
      </w:pPr>
    </w:lvl>
    <w:lvl w:ilvl="2" w:tplc="0809001B" w:tentative="1">
      <w:start w:val="1"/>
      <w:numFmt w:val="lowerRoman"/>
      <w:lvlText w:val="%3."/>
      <w:lvlJc w:val="right"/>
      <w:pPr>
        <w:ind w:left="2065" w:hanging="180"/>
      </w:pPr>
    </w:lvl>
    <w:lvl w:ilvl="3" w:tplc="0809000F" w:tentative="1">
      <w:start w:val="1"/>
      <w:numFmt w:val="decimal"/>
      <w:lvlText w:val="%4."/>
      <w:lvlJc w:val="left"/>
      <w:pPr>
        <w:ind w:left="2785" w:hanging="360"/>
      </w:pPr>
    </w:lvl>
    <w:lvl w:ilvl="4" w:tplc="08090019" w:tentative="1">
      <w:start w:val="1"/>
      <w:numFmt w:val="lowerLetter"/>
      <w:lvlText w:val="%5."/>
      <w:lvlJc w:val="left"/>
      <w:pPr>
        <w:ind w:left="3505" w:hanging="360"/>
      </w:pPr>
    </w:lvl>
    <w:lvl w:ilvl="5" w:tplc="0809001B" w:tentative="1">
      <w:start w:val="1"/>
      <w:numFmt w:val="lowerRoman"/>
      <w:lvlText w:val="%6."/>
      <w:lvlJc w:val="right"/>
      <w:pPr>
        <w:ind w:left="4225" w:hanging="180"/>
      </w:pPr>
    </w:lvl>
    <w:lvl w:ilvl="6" w:tplc="0809000F" w:tentative="1">
      <w:start w:val="1"/>
      <w:numFmt w:val="decimal"/>
      <w:lvlText w:val="%7."/>
      <w:lvlJc w:val="left"/>
      <w:pPr>
        <w:ind w:left="4945" w:hanging="360"/>
      </w:pPr>
    </w:lvl>
    <w:lvl w:ilvl="7" w:tplc="08090019" w:tentative="1">
      <w:start w:val="1"/>
      <w:numFmt w:val="lowerLetter"/>
      <w:lvlText w:val="%8."/>
      <w:lvlJc w:val="left"/>
      <w:pPr>
        <w:ind w:left="5665" w:hanging="360"/>
      </w:pPr>
    </w:lvl>
    <w:lvl w:ilvl="8" w:tplc="0809001B" w:tentative="1">
      <w:start w:val="1"/>
      <w:numFmt w:val="lowerRoman"/>
      <w:lvlText w:val="%9."/>
      <w:lvlJc w:val="right"/>
      <w:pPr>
        <w:ind w:left="6385" w:hanging="180"/>
      </w:pPr>
    </w:lvl>
  </w:abstractNum>
  <w:abstractNum w:abstractNumId="8" w15:restartNumberingAfterBreak="0">
    <w:nsid w:val="17F37F08"/>
    <w:multiLevelType w:val="hybridMultilevel"/>
    <w:tmpl w:val="57609594"/>
    <w:lvl w:ilvl="0" w:tplc="3AD438C6">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52259C"/>
    <w:multiLevelType w:val="hybridMultilevel"/>
    <w:tmpl w:val="05E6BE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A027A0A"/>
    <w:multiLevelType w:val="hybridMultilevel"/>
    <w:tmpl w:val="6352C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F85D70"/>
    <w:multiLevelType w:val="hybridMultilevel"/>
    <w:tmpl w:val="97760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BA1DF4"/>
    <w:multiLevelType w:val="hybridMultilevel"/>
    <w:tmpl w:val="D7789D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04936B1"/>
    <w:multiLevelType w:val="hybridMultilevel"/>
    <w:tmpl w:val="B758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012E1"/>
    <w:multiLevelType w:val="hybridMultilevel"/>
    <w:tmpl w:val="C95C4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26759F"/>
    <w:multiLevelType w:val="hybridMultilevel"/>
    <w:tmpl w:val="534CF7D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75D4CF5"/>
    <w:multiLevelType w:val="hybridMultilevel"/>
    <w:tmpl w:val="39749E98"/>
    <w:lvl w:ilvl="0" w:tplc="2C02CDC2">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2E27D4"/>
    <w:multiLevelType w:val="hybridMultilevel"/>
    <w:tmpl w:val="57828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9D2BC6"/>
    <w:multiLevelType w:val="hybridMultilevel"/>
    <w:tmpl w:val="6AEEC328"/>
    <w:lvl w:ilvl="0" w:tplc="08090001">
      <w:start w:val="1"/>
      <w:numFmt w:val="bullet"/>
      <w:lvlText w:val=""/>
      <w:lvlJc w:val="left"/>
      <w:pPr>
        <w:ind w:left="720" w:hanging="360"/>
      </w:pPr>
      <w:rPr>
        <w:rFonts w:ascii="Symbol" w:hAnsi="Symbol" w:hint="default"/>
      </w:rPr>
    </w:lvl>
    <w:lvl w:ilvl="1" w:tplc="92A8CC96">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A73CB"/>
    <w:multiLevelType w:val="hybridMultilevel"/>
    <w:tmpl w:val="FF1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213788"/>
    <w:multiLevelType w:val="hybridMultilevel"/>
    <w:tmpl w:val="5A642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DC12FA"/>
    <w:multiLevelType w:val="hybridMultilevel"/>
    <w:tmpl w:val="675EFB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7A0372A"/>
    <w:multiLevelType w:val="multilevel"/>
    <w:tmpl w:val="D9926594"/>
    <w:lvl w:ilvl="0">
      <w:start w:val="1"/>
      <w:numFmt w:val="decimal"/>
      <w:lvlText w:val="%1."/>
      <w:lvlJc w:val="left"/>
      <w:pPr>
        <w:ind w:left="360" w:hanging="360"/>
      </w:pPr>
      <w:rPr>
        <w:i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3" w15:restartNumberingAfterBreak="0">
    <w:nsid w:val="381F3E37"/>
    <w:multiLevelType w:val="hybridMultilevel"/>
    <w:tmpl w:val="EF321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BE345E4"/>
    <w:multiLevelType w:val="hybridMultilevel"/>
    <w:tmpl w:val="ED821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414212"/>
    <w:multiLevelType w:val="hybridMultilevel"/>
    <w:tmpl w:val="FBFCB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E200771"/>
    <w:multiLevelType w:val="hybridMultilevel"/>
    <w:tmpl w:val="D97261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1CE335C"/>
    <w:multiLevelType w:val="hybridMultilevel"/>
    <w:tmpl w:val="0316B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9A2542"/>
    <w:multiLevelType w:val="hybridMultilevel"/>
    <w:tmpl w:val="215E54A0"/>
    <w:lvl w:ilvl="0" w:tplc="3AD438C6">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CF1F02"/>
    <w:multiLevelType w:val="hybridMultilevel"/>
    <w:tmpl w:val="2CAAFC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1508D2"/>
    <w:multiLevelType w:val="hybridMultilevel"/>
    <w:tmpl w:val="09987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7C66B8"/>
    <w:multiLevelType w:val="hybridMultilevel"/>
    <w:tmpl w:val="3514A8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55166D41"/>
    <w:multiLevelType w:val="hybridMultilevel"/>
    <w:tmpl w:val="384631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ADB4D0C"/>
    <w:multiLevelType w:val="hybridMultilevel"/>
    <w:tmpl w:val="2564F748"/>
    <w:lvl w:ilvl="0" w:tplc="3AD438C6">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4225CB"/>
    <w:multiLevelType w:val="hybridMultilevel"/>
    <w:tmpl w:val="285CC7C0"/>
    <w:lvl w:ilvl="0" w:tplc="2C02CDC2">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815C31"/>
    <w:multiLevelType w:val="hybridMultilevel"/>
    <w:tmpl w:val="033C803A"/>
    <w:lvl w:ilvl="0" w:tplc="75D6F73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416413"/>
    <w:multiLevelType w:val="hybridMultilevel"/>
    <w:tmpl w:val="FE280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0421C25"/>
    <w:multiLevelType w:val="hybridMultilevel"/>
    <w:tmpl w:val="E056D1B4"/>
    <w:lvl w:ilvl="0" w:tplc="2C02CDC2">
      <w:numFmt w:val="bullet"/>
      <w:lvlText w:val=""/>
      <w:lvlJc w:val="left"/>
      <w:pPr>
        <w:ind w:left="360" w:hanging="360"/>
      </w:pPr>
      <w:rPr>
        <w:rFonts w:ascii="Wingdings" w:eastAsia="Times New Roman" w:hAnsi="Wingding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38B125E"/>
    <w:multiLevelType w:val="hybridMultilevel"/>
    <w:tmpl w:val="AE381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670EF0"/>
    <w:multiLevelType w:val="hybridMultilevel"/>
    <w:tmpl w:val="6FFCAED0"/>
    <w:lvl w:ilvl="0" w:tplc="3AD438C6">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1" w15:restartNumberingAfterBreak="0">
    <w:nsid w:val="6AAF7842"/>
    <w:multiLevelType w:val="hybridMultilevel"/>
    <w:tmpl w:val="C1323E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6E24268A"/>
    <w:multiLevelType w:val="hybridMultilevel"/>
    <w:tmpl w:val="41248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0D26840"/>
    <w:multiLevelType w:val="hybridMultilevel"/>
    <w:tmpl w:val="40AEC0B2"/>
    <w:lvl w:ilvl="0" w:tplc="3AD438C6">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15F2C59"/>
    <w:multiLevelType w:val="hybridMultilevel"/>
    <w:tmpl w:val="BDDC26EA"/>
    <w:lvl w:ilvl="0" w:tplc="2364F8D4">
      <w:start w:val="1"/>
      <w:numFmt w:val="decimal"/>
      <w:pStyle w:val="TDHeading"/>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8EB13B1"/>
    <w:multiLevelType w:val="hybridMultilevel"/>
    <w:tmpl w:val="90348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ED4B24"/>
    <w:multiLevelType w:val="hybridMultilevel"/>
    <w:tmpl w:val="BC5ED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CF2211"/>
    <w:multiLevelType w:val="hybridMultilevel"/>
    <w:tmpl w:val="52643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44"/>
  </w:num>
  <w:num w:numId="12">
    <w:abstractNumId w:val="8"/>
  </w:num>
  <w:num w:numId="13">
    <w:abstractNumId w:val="33"/>
  </w:num>
  <w:num w:numId="14">
    <w:abstractNumId w:val="28"/>
  </w:num>
  <w:num w:numId="15">
    <w:abstractNumId w:val="10"/>
  </w:num>
  <w:num w:numId="16">
    <w:abstractNumId w:val="11"/>
  </w:num>
  <w:num w:numId="17">
    <w:abstractNumId w:val="18"/>
  </w:num>
  <w:num w:numId="18">
    <w:abstractNumId w:val="6"/>
  </w:num>
  <w:num w:numId="19">
    <w:abstractNumId w:val="30"/>
  </w:num>
  <w:num w:numId="20">
    <w:abstractNumId w:val="35"/>
  </w:num>
  <w:num w:numId="21">
    <w:abstractNumId w:val="39"/>
  </w:num>
  <w:num w:numId="22">
    <w:abstractNumId w:val="36"/>
  </w:num>
  <w:num w:numId="23">
    <w:abstractNumId w:val="29"/>
  </w:num>
  <w:num w:numId="24">
    <w:abstractNumId w:val="45"/>
  </w:num>
  <w:num w:numId="25">
    <w:abstractNumId w:val="42"/>
  </w:num>
  <w:num w:numId="26">
    <w:abstractNumId w:val="25"/>
  </w:num>
  <w:num w:numId="27">
    <w:abstractNumId w:val="14"/>
  </w:num>
  <w:num w:numId="28">
    <w:abstractNumId w:val="43"/>
  </w:num>
  <w:num w:numId="29">
    <w:abstractNumId w:val="13"/>
  </w:num>
  <w:num w:numId="30">
    <w:abstractNumId w:val="4"/>
  </w:num>
  <w:num w:numId="31">
    <w:abstractNumId w:val="23"/>
  </w:num>
  <w:num w:numId="32">
    <w:abstractNumId w:val="47"/>
  </w:num>
  <w:num w:numId="33">
    <w:abstractNumId w:val="38"/>
  </w:num>
  <w:num w:numId="34">
    <w:abstractNumId w:val="17"/>
  </w:num>
  <w:num w:numId="35">
    <w:abstractNumId w:val="32"/>
  </w:num>
  <w:num w:numId="36">
    <w:abstractNumId w:val="20"/>
  </w:num>
  <w:num w:numId="37">
    <w:abstractNumId w:val="12"/>
  </w:num>
  <w:num w:numId="38">
    <w:abstractNumId w:val="19"/>
  </w:num>
  <w:num w:numId="39">
    <w:abstractNumId w:val="1"/>
  </w:num>
  <w:num w:numId="40">
    <w:abstractNumId w:val="27"/>
  </w:num>
  <w:num w:numId="41">
    <w:abstractNumId w:val="9"/>
  </w:num>
  <w:num w:numId="42">
    <w:abstractNumId w:val="7"/>
  </w:num>
  <w:num w:numId="43">
    <w:abstractNumId w:val="24"/>
  </w:num>
  <w:num w:numId="44">
    <w:abstractNumId w:val="3"/>
  </w:num>
  <w:num w:numId="45">
    <w:abstractNumId w:val="2"/>
  </w:num>
  <w:num w:numId="46">
    <w:abstractNumId w:val="46"/>
  </w:num>
  <w:num w:numId="47">
    <w:abstractNumId w:val="16"/>
  </w:num>
  <w:num w:numId="48">
    <w:abstractNumId w:val="34"/>
  </w:num>
  <w:num w:numId="49">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4337"/>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037"/>
    <w:rsid w:val="000063EB"/>
    <w:rsid w:val="00007296"/>
    <w:rsid w:val="00015E07"/>
    <w:rsid w:val="000254DF"/>
    <w:rsid w:val="00031A88"/>
    <w:rsid w:val="0003375A"/>
    <w:rsid w:val="0003449E"/>
    <w:rsid w:val="00036C53"/>
    <w:rsid w:val="000518C2"/>
    <w:rsid w:val="00056DC1"/>
    <w:rsid w:val="00060156"/>
    <w:rsid w:val="00060FED"/>
    <w:rsid w:val="00070BBC"/>
    <w:rsid w:val="00073C92"/>
    <w:rsid w:val="00080F03"/>
    <w:rsid w:val="00085172"/>
    <w:rsid w:val="000900E1"/>
    <w:rsid w:val="0009076A"/>
    <w:rsid w:val="000A0F59"/>
    <w:rsid w:val="000A484B"/>
    <w:rsid w:val="000B6220"/>
    <w:rsid w:val="000C21B1"/>
    <w:rsid w:val="000C3653"/>
    <w:rsid w:val="000C3C87"/>
    <w:rsid w:val="000C4731"/>
    <w:rsid w:val="000C7460"/>
    <w:rsid w:val="000D7CC9"/>
    <w:rsid w:val="000E01C1"/>
    <w:rsid w:val="000F0B93"/>
    <w:rsid w:val="000F1156"/>
    <w:rsid w:val="000F52BA"/>
    <w:rsid w:val="001111A9"/>
    <w:rsid w:val="00113272"/>
    <w:rsid w:val="001151A3"/>
    <w:rsid w:val="001245DF"/>
    <w:rsid w:val="00130BFD"/>
    <w:rsid w:val="001419C7"/>
    <w:rsid w:val="00150AC4"/>
    <w:rsid w:val="001523DA"/>
    <w:rsid w:val="00153C2E"/>
    <w:rsid w:val="00162D88"/>
    <w:rsid w:val="00166ABA"/>
    <w:rsid w:val="00173165"/>
    <w:rsid w:val="001743FD"/>
    <w:rsid w:val="001764E6"/>
    <w:rsid w:val="00177BBB"/>
    <w:rsid w:val="001808F1"/>
    <w:rsid w:val="00180B11"/>
    <w:rsid w:val="001A33B6"/>
    <w:rsid w:val="001C069F"/>
    <w:rsid w:val="001C6038"/>
    <w:rsid w:val="001C6133"/>
    <w:rsid w:val="001E3B2C"/>
    <w:rsid w:val="001E7A03"/>
    <w:rsid w:val="001F60A1"/>
    <w:rsid w:val="00200759"/>
    <w:rsid w:val="00200A67"/>
    <w:rsid w:val="00201F88"/>
    <w:rsid w:val="00202332"/>
    <w:rsid w:val="00205A70"/>
    <w:rsid w:val="002210F4"/>
    <w:rsid w:val="00230104"/>
    <w:rsid w:val="00235FA0"/>
    <w:rsid w:val="00243E9E"/>
    <w:rsid w:val="00253BC1"/>
    <w:rsid w:val="00254721"/>
    <w:rsid w:val="00257709"/>
    <w:rsid w:val="00263159"/>
    <w:rsid w:val="002779F7"/>
    <w:rsid w:val="00283518"/>
    <w:rsid w:val="00284FD2"/>
    <w:rsid w:val="00287939"/>
    <w:rsid w:val="002A380C"/>
    <w:rsid w:val="002A3BA1"/>
    <w:rsid w:val="002C187A"/>
    <w:rsid w:val="002C20F1"/>
    <w:rsid w:val="002D2863"/>
    <w:rsid w:val="002D5EC0"/>
    <w:rsid w:val="002E3DEA"/>
    <w:rsid w:val="002E6F7E"/>
    <w:rsid w:val="002E7CC2"/>
    <w:rsid w:val="002F50FF"/>
    <w:rsid w:val="002F6F9B"/>
    <w:rsid w:val="003331C6"/>
    <w:rsid w:val="00343026"/>
    <w:rsid w:val="00345044"/>
    <w:rsid w:val="00351095"/>
    <w:rsid w:val="00354A9C"/>
    <w:rsid w:val="003574BE"/>
    <w:rsid w:val="00364973"/>
    <w:rsid w:val="00364C8C"/>
    <w:rsid w:val="00372347"/>
    <w:rsid w:val="003779D4"/>
    <w:rsid w:val="00382398"/>
    <w:rsid w:val="003909E4"/>
    <w:rsid w:val="003A2FE2"/>
    <w:rsid w:val="003A3278"/>
    <w:rsid w:val="003A3E30"/>
    <w:rsid w:val="003A70FE"/>
    <w:rsid w:val="003B0C35"/>
    <w:rsid w:val="003B219E"/>
    <w:rsid w:val="003E21B3"/>
    <w:rsid w:val="003F6C6E"/>
    <w:rsid w:val="004006B8"/>
    <w:rsid w:val="00411E65"/>
    <w:rsid w:val="00412DE9"/>
    <w:rsid w:val="00420040"/>
    <w:rsid w:val="00423388"/>
    <w:rsid w:val="00426D73"/>
    <w:rsid w:val="00454373"/>
    <w:rsid w:val="00454913"/>
    <w:rsid w:val="00457441"/>
    <w:rsid w:val="004579F6"/>
    <w:rsid w:val="004656D0"/>
    <w:rsid w:val="00465B53"/>
    <w:rsid w:val="00473ABD"/>
    <w:rsid w:val="00482DCA"/>
    <w:rsid w:val="00497E66"/>
    <w:rsid w:val="004B25D4"/>
    <w:rsid w:val="004B6CFD"/>
    <w:rsid w:val="004C204D"/>
    <w:rsid w:val="004D0436"/>
    <w:rsid w:val="004D0936"/>
    <w:rsid w:val="004D1564"/>
    <w:rsid w:val="004D5651"/>
    <w:rsid w:val="004E7A47"/>
    <w:rsid w:val="004E7ED7"/>
    <w:rsid w:val="004F243D"/>
    <w:rsid w:val="004F3D8D"/>
    <w:rsid w:val="005028F9"/>
    <w:rsid w:val="005076F1"/>
    <w:rsid w:val="00512B91"/>
    <w:rsid w:val="005158EB"/>
    <w:rsid w:val="00517734"/>
    <w:rsid w:val="0052082F"/>
    <w:rsid w:val="00526B63"/>
    <w:rsid w:val="0053142C"/>
    <w:rsid w:val="00542FCC"/>
    <w:rsid w:val="0055762E"/>
    <w:rsid w:val="00565445"/>
    <w:rsid w:val="00575334"/>
    <w:rsid w:val="00593736"/>
    <w:rsid w:val="005A09C2"/>
    <w:rsid w:val="005A2E8C"/>
    <w:rsid w:val="005A3181"/>
    <w:rsid w:val="005B0F06"/>
    <w:rsid w:val="005B612E"/>
    <w:rsid w:val="005B6141"/>
    <w:rsid w:val="005C3F15"/>
    <w:rsid w:val="005D4262"/>
    <w:rsid w:val="005D6A2A"/>
    <w:rsid w:val="005F3989"/>
    <w:rsid w:val="005F4303"/>
    <w:rsid w:val="005F7B20"/>
    <w:rsid w:val="00601B52"/>
    <w:rsid w:val="0060280B"/>
    <w:rsid w:val="00604422"/>
    <w:rsid w:val="00623F5D"/>
    <w:rsid w:val="006436BF"/>
    <w:rsid w:val="006437E1"/>
    <w:rsid w:val="00651341"/>
    <w:rsid w:val="00666F8B"/>
    <w:rsid w:val="006815B2"/>
    <w:rsid w:val="006826E0"/>
    <w:rsid w:val="00682B31"/>
    <w:rsid w:val="006864E1"/>
    <w:rsid w:val="00691001"/>
    <w:rsid w:val="00691BFF"/>
    <w:rsid w:val="006A313E"/>
    <w:rsid w:val="006B1037"/>
    <w:rsid w:val="006E56AD"/>
    <w:rsid w:val="006E5763"/>
    <w:rsid w:val="007101BB"/>
    <w:rsid w:val="00713308"/>
    <w:rsid w:val="00725A91"/>
    <w:rsid w:val="00727E01"/>
    <w:rsid w:val="00745222"/>
    <w:rsid w:val="00752E19"/>
    <w:rsid w:val="00753052"/>
    <w:rsid w:val="00757614"/>
    <w:rsid w:val="00767B8F"/>
    <w:rsid w:val="007728B4"/>
    <w:rsid w:val="0077622E"/>
    <w:rsid w:val="00777FE4"/>
    <w:rsid w:val="0079075D"/>
    <w:rsid w:val="007910C0"/>
    <w:rsid w:val="007910DD"/>
    <w:rsid w:val="00791680"/>
    <w:rsid w:val="007C1468"/>
    <w:rsid w:val="007C41D7"/>
    <w:rsid w:val="007F16FB"/>
    <w:rsid w:val="007F1BBA"/>
    <w:rsid w:val="0080080C"/>
    <w:rsid w:val="00810359"/>
    <w:rsid w:val="008151EA"/>
    <w:rsid w:val="0081600F"/>
    <w:rsid w:val="0082722D"/>
    <w:rsid w:val="008274F7"/>
    <w:rsid w:val="008441F9"/>
    <w:rsid w:val="00846A99"/>
    <w:rsid w:val="008641D1"/>
    <w:rsid w:val="00870FB9"/>
    <w:rsid w:val="00872F67"/>
    <w:rsid w:val="008807BF"/>
    <w:rsid w:val="008879E9"/>
    <w:rsid w:val="00890F11"/>
    <w:rsid w:val="00893346"/>
    <w:rsid w:val="00894D19"/>
    <w:rsid w:val="008A0D8D"/>
    <w:rsid w:val="008A61D1"/>
    <w:rsid w:val="008B1A69"/>
    <w:rsid w:val="008C00B8"/>
    <w:rsid w:val="008C1A39"/>
    <w:rsid w:val="008D1B43"/>
    <w:rsid w:val="008E7DFB"/>
    <w:rsid w:val="008F7327"/>
    <w:rsid w:val="0090059C"/>
    <w:rsid w:val="009076C8"/>
    <w:rsid w:val="00915BBE"/>
    <w:rsid w:val="009211D4"/>
    <w:rsid w:val="00921D62"/>
    <w:rsid w:val="00922791"/>
    <w:rsid w:val="00927CD6"/>
    <w:rsid w:val="00933572"/>
    <w:rsid w:val="009363C7"/>
    <w:rsid w:val="00965D7D"/>
    <w:rsid w:val="00972D36"/>
    <w:rsid w:val="00973BFB"/>
    <w:rsid w:val="00980406"/>
    <w:rsid w:val="00994621"/>
    <w:rsid w:val="009A2C8F"/>
    <w:rsid w:val="009A7B65"/>
    <w:rsid w:val="009C6098"/>
    <w:rsid w:val="009D2AD6"/>
    <w:rsid w:val="009D3A07"/>
    <w:rsid w:val="009D4711"/>
    <w:rsid w:val="009D5DA6"/>
    <w:rsid w:val="009E3A84"/>
    <w:rsid w:val="009E54BD"/>
    <w:rsid w:val="009E72D7"/>
    <w:rsid w:val="009E7ACC"/>
    <w:rsid w:val="009F450E"/>
    <w:rsid w:val="009F54DA"/>
    <w:rsid w:val="00A06984"/>
    <w:rsid w:val="00A12C76"/>
    <w:rsid w:val="00A1324E"/>
    <w:rsid w:val="00A22A65"/>
    <w:rsid w:val="00A27BE3"/>
    <w:rsid w:val="00A339B9"/>
    <w:rsid w:val="00A36F9C"/>
    <w:rsid w:val="00A40EDF"/>
    <w:rsid w:val="00A568DF"/>
    <w:rsid w:val="00A62028"/>
    <w:rsid w:val="00A73A79"/>
    <w:rsid w:val="00A922B2"/>
    <w:rsid w:val="00A93C52"/>
    <w:rsid w:val="00AA7368"/>
    <w:rsid w:val="00AB4FF9"/>
    <w:rsid w:val="00AC5AD4"/>
    <w:rsid w:val="00AC7264"/>
    <w:rsid w:val="00AE7B21"/>
    <w:rsid w:val="00AF1980"/>
    <w:rsid w:val="00AF2021"/>
    <w:rsid w:val="00B016F8"/>
    <w:rsid w:val="00B025B7"/>
    <w:rsid w:val="00B471BD"/>
    <w:rsid w:val="00B50C2D"/>
    <w:rsid w:val="00B64904"/>
    <w:rsid w:val="00B64FCF"/>
    <w:rsid w:val="00B70B7A"/>
    <w:rsid w:val="00B75124"/>
    <w:rsid w:val="00B76ED7"/>
    <w:rsid w:val="00BA0680"/>
    <w:rsid w:val="00BA60CE"/>
    <w:rsid w:val="00BB7AB8"/>
    <w:rsid w:val="00BC5607"/>
    <w:rsid w:val="00BE0D1D"/>
    <w:rsid w:val="00BE20B6"/>
    <w:rsid w:val="00BE2448"/>
    <w:rsid w:val="00BE24D4"/>
    <w:rsid w:val="00BE365A"/>
    <w:rsid w:val="00BE3C08"/>
    <w:rsid w:val="00BE5EF4"/>
    <w:rsid w:val="00BF2BE7"/>
    <w:rsid w:val="00BF4512"/>
    <w:rsid w:val="00C05102"/>
    <w:rsid w:val="00C13FA6"/>
    <w:rsid w:val="00C169ED"/>
    <w:rsid w:val="00C27451"/>
    <w:rsid w:val="00C35830"/>
    <w:rsid w:val="00C44645"/>
    <w:rsid w:val="00C5484D"/>
    <w:rsid w:val="00C618F2"/>
    <w:rsid w:val="00C73207"/>
    <w:rsid w:val="00C7602A"/>
    <w:rsid w:val="00C82160"/>
    <w:rsid w:val="00C82ED9"/>
    <w:rsid w:val="00C87D68"/>
    <w:rsid w:val="00C9281B"/>
    <w:rsid w:val="00C96521"/>
    <w:rsid w:val="00CA367A"/>
    <w:rsid w:val="00CB1D26"/>
    <w:rsid w:val="00CB5111"/>
    <w:rsid w:val="00CC4C21"/>
    <w:rsid w:val="00CC57AD"/>
    <w:rsid w:val="00CD0FE9"/>
    <w:rsid w:val="00CD7355"/>
    <w:rsid w:val="00CE5B83"/>
    <w:rsid w:val="00CF6EDD"/>
    <w:rsid w:val="00D03D59"/>
    <w:rsid w:val="00D05922"/>
    <w:rsid w:val="00D107A3"/>
    <w:rsid w:val="00D147EA"/>
    <w:rsid w:val="00D21383"/>
    <w:rsid w:val="00D24D5F"/>
    <w:rsid w:val="00D417C2"/>
    <w:rsid w:val="00D42AE1"/>
    <w:rsid w:val="00D605A4"/>
    <w:rsid w:val="00D61B13"/>
    <w:rsid w:val="00D675FA"/>
    <w:rsid w:val="00D76AD2"/>
    <w:rsid w:val="00D7746A"/>
    <w:rsid w:val="00D838FE"/>
    <w:rsid w:val="00D8406F"/>
    <w:rsid w:val="00D859C7"/>
    <w:rsid w:val="00D9021F"/>
    <w:rsid w:val="00D95FF4"/>
    <w:rsid w:val="00DA1080"/>
    <w:rsid w:val="00DA12C2"/>
    <w:rsid w:val="00DB30A6"/>
    <w:rsid w:val="00DC6B90"/>
    <w:rsid w:val="00DD0F9D"/>
    <w:rsid w:val="00DD6A9E"/>
    <w:rsid w:val="00E23367"/>
    <w:rsid w:val="00E27689"/>
    <w:rsid w:val="00E3152E"/>
    <w:rsid w:val="00E31B92"/>
    <w:rsid w:val="00E475D4"/>
    <w:rsid w:val="00E5204B"/>
    <w:rsid w:val="00E74D1C"/>
    <w:rsid w:val="00E8776E"/>
    <w:rsid w:val="00E9237A"/>
    <w:rsid w:val="00EA0B88"/>
    <w:rsid w:val="00EB2285"/>
    <w:rsid w:val="00EC4294"/>
    <w:rsid w:val="00EC681E"/>
    <w:rsid w:val="00ED02D3"/>
    <w:rsid w:val="00ED477B"/>
    <w:rsid w:val="00ED5E31"/>
    <w:rsid w:val="00EE4815"/>
    <w:rsid w:val="00EE64C1"/>
    <w:rsid w:val="00EF7FD7"/>
    <w:rsid w:val="00F05AA0"/>
    <w:rsid w:val="00F061CB"/>
    <w:rsid w:val="00F11793"/>
    <w:rsid w:val="00F24050"/>
    <w:rsid w:val="00F248AA"/>
    <w:rsid w:val="00F31539"/>
    <w:rsid w:val="00F33271"/>
    <w:rsid w:val="00F444EC"/>
    <w:rsid w:val="00F45FE3"/>
    <w:rsid w:val="00F54D03"/>
    <w:rsid w:val="00F6347A"/>
    <w:rsid w:val="00F64924"/>
    <w:rsid w:val="00F7503A"/>
    <w:rsid w:val="00F81FEF"/>
    <w:rsid w:val="00F978B9"/>
    <w:rsid w:val="00FA61AF"/>
    <w:rsid w:val="00FB0078"/>
    <w:rsid w:val="00FB2C17"/>
    <w:rsid w:val="00FC6C34"/>
    <w:rsid w:val="00FD3A06"/>
    <w:rsid w:val="00FD7D14"/>
    <w:rsid w:val="00FE7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0D0A497"/>
  <w15:chartTrackingRefBased/>
  <w15:docId w15:val="{E9CD054B-79B1-4EAA-9E5B-842F62FF2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18"/>
        <w:szCs w:val="24"/>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779F7"/>
    <w:pPr>
      <w:widowControl w:val="0"/>
      <w:autoSpaceDE w:val="0"/>
      <w:autoSpaceDN w:val="0"/>
      <w:adjustRightInd w:val="0"/>
    </w:pPr>
  </w:style>
  <w:style w:type="paragraph" w:styleId="Heading1">
    <w:name w:val="heading 1"/>
    <w:basedOn w:val="Normal"/>
    <w:next w:val="Normal"/>
    <w:link w:val="Heading1Char"/>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lang w:val="en-GB"/>
    </w:rPr>
  </w:style>
  <w:style w:type="paragraph" w:styleId="Heading2">
    <w:name w:val="heading 2"/>
    <w:basedOn w:val="Normal"/>
    <w:next w:val="Normal"/>
    <w:link w:val="Heading2Char"/>
    <w:uiPriority w:val="9"/>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lang w:val="en-GB"/>
    </w:rPr>
  </w:style>
  <w:style w:type="paragraph" w:styleId="Heading4">
    <w:name w:val="heading 4"/>
    <w:basedOn w:val="Normal"/>
    <w:next w:val="Normal"/>
    <w:link w:val="Heading4Char"/>
    <w:uiPriority w:val="9"/>
    <w:qFormat/>
    <w:rsid w:val="002779F7"/>
    <w:pPr>
      <w:keepNext/>
      <w:outlineLvl w:val="3"/>
    </w:pPr>
    <w:rPr>
      <w:b/>
      <w:bCs/>
      <w:szCs w:val="20"/>
      <w:lang w:val="en-GB"/>
    </w:rPr>
  </w:style>
  <w:style w:type="paragraph" w:styleId="Heading5">
    <w:name w:val="heading 5"/>
    <w:basedOn w:val="Normal"/>
    <w:next w:val="Normal"/>
    <w:link w:val="Heading5Char"/>
    <w:uiPriority w:val="9"/>
    <w:qFormat/>
    <w:rsid w:val="002779F7"/>
    <w:pPr>
      <w:keepNext/>
      <w:jc w:val="both"/>
      <w:outlineLvl w:val="4"/>
    </w:pPr>
    <w:rPr>
      <w:b/>
      <w:i/>
      <w:iCs/>
      <w:sz w:val="22"/>
      <w:u w:val="single"/>
      <w:lang w:val="en-GB"/>
    </w:rPr>
  </w:style>
  <w:style w:type="paragraph" w:styleId="Heading6">
    <w:name w:val="heading 6"/>
    <w:basedOn w:val="Normal"/>
    <w:next w:val="Normal"/>
    <w:link w:val="Heading6Char"/>
    <w:uiPriority w:val="9"/>
    <w:qFormat/>
    <w:rsid w:val="002779F7"/>
    <w:pPr>
      <w:keepNext/>
      <w:outlineLvl w:val="5"/>
    </w:pPr>
    <w:rPr>
      <w:i/>
      <w:iCs/>
      <w:sz w:val="23"/>
      <w:szCs w:val="23"/>
      <w:lang w:val="en-GB"/>
    </w:rPr>
  </w:style>
  <w:style w:type="paragraph" w:styleId="Heading7">
    <w:name w:val="heading 7"/>
    <w:basedOn w:val="Normal"/>
    <w:next w:val="Normal"/>
    <w:link w:val="Heading7Char"/>
    <w:uiPriority w:val="9"/>
    <w:qFormat/>
    <w:rsid w:val="002779F7"/>
    <w:pPr>
      <w:keepNext/>
      <w:jc w:val="center"/>
      <w:outlineLvl w:val="6"/>
    </w:pPr>
    <w:rPr>
      <w:b/>
      <w:bCs/>
      <w:sz w:val="26"/>
      <w:szCs w:val="26"/>
      <w:lang w:val="en-GB"/>
    </w:rPr>
  </w:style>
  <w:style w:type="paragraph" w:styleId="Heading8">
    <w:name w:val="heading 8"/>
    <w:basedOn w:val="Normal"/>
    <w:next w:val="Normal"/>
    <w:link w:val="Heading8Char"/>
    <w:uiPriority w:val="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rFonts w:cs="Arial"/>
      <w:sz w:val="24"/>
      <w:lang w:val="en-GB"/>
    </w:rPr>
  </w:style>
  <w:style w:type="paragraph" w:styleId="Heading9">
    <w:name w:val="heading 9"/>
    <w:basedOn w:val="Normal"/>
    <w:next w:val="Normal"/>
    <w:link w:val="Heading9Char"/>
    <w:uiPriority w:val="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cs="Arial"/>
      <w:b/>
      <w:bCs/>
      <w:sz w:val="32"/>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B4403"/>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rsid w:val="00EB4403"/>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rsid w:val="00EB4403"/>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EB4403"/>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EB4403"/>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EB4403"/>
    <w:rPr>
      <w:rFonts w:ascii="Calibri" w:eastAsia="Times New Roman" w:hAnsi="Calibri" w:cs="Times New Roman"/>
      <w:b/>
      <w:bCs/>
      <w:lang w:val="en-US" w:eastAsia="en-US"/>
    </w:rPr>
  </w:style>
  <w:style w:type="character" w:customStyle="1" w:styleId="Heading7Char">
    <w:name w:val="Heading 7 Char"/>
    <w:link w:val="Heading7"/>
    <w:uiPriority w:val="9"/>
    <w:semiHidden/>
    <w:rsid w:val="00EB4403"/>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EB4403"/>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EB4403"/>
    <w:rPr>
      <w:rFonts w:ascii="Cambria" w:eastAsia="Times New Roman" w:hAnsi="Cambria" w:cs="Times New Roman"/>
      <w:lang w:val="en-US" w:eastAsia="en-US"/>
    </w:rPr>
  </w:style>
  <w:style w:type="character" w:styleId="FootnoteReference">
    <w:name w:val="footnote reference"/>
    <w:uiPriority w:val="99"/>
    <w:semiHidden/>
    <w:rsid w:val="002779F7"/>
    <w:rPr>
      <w:rFonts w:cs="Times New Roman"/>
    </w:rPr>
  </w:style>
  <w:style w:type="paragraph" w:customStyle="1" w:styleId="Level1">
    <w:name w:val="Level 1"/>
    <w:basedOn w:val="Normal"/>
    <w:uiPriority w:val="99"/>
    <w:rsid w:val="002779F7"/>
    <w:pPr>
      <w:numPr>
        <w:numId w:val="1"/>
      </w:numPr>
      <w:ind w:left="566" w:hanging="566"/>
      <w:outlineLvl w:val="0"/>
    </w:pPr>
  </w:style>
  <w:style w:type="paragraph" w:customStyle="1" w:styleId="Level2">
    <w:name w:val="Level 2"/>
    <w:basedOn w:val="Normal"/>
    <w:uiPriority w:val="99"/>
    <w:rsid w:val="002779F7"/>
    <w:pPr>
      <w:numPr>
        <w:ilvl w:val="1"/>
        <w:numId w:val="1"/>
      </w:numPr>
      <w:ind w:left="1132" w:hanging="566"/>
      <w:outlineLvl w:val="1"/>
    </w:pPr>
  </w:style>
  <w:style w:type="paragraph" w:customStyle="1" w:styleId="Level3">
    <w:name w:val="Level 3"/>
    <w:basedOn w:val="Normal"/>
    <w:uiPriority w:val="99"/>
    <w:rsid w:val="002779F7"/>
    <w:pPr>
      <w:numPr>
        <w:ilvl w:val="2"/>
        <w:numId w:val="1"/>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lang w:val="en-GB"/>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rPr>
  </w:style>
  <w:style w:type="paragraph" w:customStyle="1" w:styleId="footnotetex">
    <w:name w:val="footnote tex"/>
    <w:uiPriority w:val="99"/>
    <w:rsid w:val="002779F7"/>
    <w:pPr>
      <w:widowControl w:val="0"/>
      <w:autoSpaceDE w:val="0"/>
      <w:autoSpaceDN w:val="0"/>
      <w:adjustRightInd w:val="0"/>
      <w:jc w:val="both"/>
    </w:pPr>
    <w:rPr>
      <w:lang w:val="de-DE"/>
    </w:rPr>
  </w:style>
  <w:style w:type="character" w:styleId="PageNumber">
    <w:name w:val="page number"/>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rPr>
      <w:szCs w:val="20"/>
      <w:lang w:val="en-GB"/>
    </w:rPr>
  </w:style>
  <w:style w:type="character" w:customStyle="1" w:styleId="HeaderChar">
    <w:name w:val="Header Char"/>
    <w:link w:val="Header"/>
    <w:uiPriority w:val="99"/>
    <w:locked/>
    <w:rsid w:val="003B0C35"/>
    <w:rPr>
      <w:lang w:eastAsia="en-U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link w:val="Footer"/>
    <w:uiPriority w:val="99"/>
    <w:rsid w:val="00EB4403"/>
    <w:rPr>
      <w:sz w:val="20"/>
      <w:szCs w:val="24"/>
      <w:lang w:val="en-US" w:eastAsia="en-US"/>
    </w:rPr>
  </w:style>
  <w:style w:type="paragraph" w:styleId="BodyTextIndent">
    <w:name w:val="Body Text Indent"/>
    <w:basedOn w:val="Normal"/>
    <w:link w:val="BodyTextIndentChar"/>
    <w:uiPriority w:val="99"/>
    <w:rsid w:val="002779F7"/>
    <w:pPr>
      <w:ind w:left="720" w:hanging="720"/>
      <w:jc w:val="both"/>
    </w:pPr>
    <w:rPr>
      <w:sz w:val="22"/>
      <w:lang w:val="en-GB"/>
    </w:rPr>
  </w:style>
  <w:style w:type="character" w:customStyle="1" w:styleId="BodyTextIndentChar">
    <w:name w:val="Body Text Indent Char"/>
    <w:link w:val="BodyTextIndent"/>
    <w:uiPriority w:val="99"/>
    <w:semiHidden/>
    <w:rsid w:val="00EB4403"/>
    <w:rPr>
      <w:sz w:val="20"/>
      <w:szCs w:val="24"/>
      <w:lang w:val="en-US" w:eastAsia="en-US"/>
    </w:rPr>
  </w:style>
  <w:style w:type="paragraph" w:styleId="BodyText">
    <w:name w:val="Body Text"/>
    <w:basedOn w:val="Normal"/>
    <w:link w:val="BodyTextChar"/>
    <w:uiPriority w:val="99"/>
    <w:rsid w:val="002779F7"/>
    <w:pPr>
      <w:jc w:val="both"/>
    </w:pPr>
    <w:rPr>
      <w:sz w:val="22"/>
      <w:lang w:val="en-GB"/>
    </w:rPr>
  </w:style>
  <w:style w:type="character" w:customStyle="1" w:styleId="BodyTextChar">
    <w:name w:val="Body Text Char"/>
    <w:link w:val="BodyText"/>
    <w:uiPriority w:val="99"/>
    <w:semiHidden/>
    <w:rsid w:val="00EB4403"/>
    <w:rPr>
      <w:sz w:val="20"/>
      <w:szCs w:val="24"/>
      <w:lang w:val="en-US" w:eastAsia="en-US"/>
    </w:rPr>
  </w:style>
  <w:style w:type="character" w:styleId="Hyperlink">
    <w:name w:val="Hyperlink"/>
    <w:uiPriority w:val="99"/>
    <w:rsid w:val="002779F7"/>
    <w:rPr>
      <w:rFonts w:cs="Times New Roman"/>
      <w:color w:val="0000FF"/>
      <w:u w:val="single"/>
    </w:rPr>
  </w:style>
  <w:style w:type="paragraph" w:styleId="FootnoteText">
    <w:name w:val="footnote text"/>
    <w:basedOn w:val="Normal"/>
    <w:link w:val="FootnoteTextChar"/>
    <w:uiPriority w:val="99"/>
    <w:semiHidden/>
    <w:rsid w:val="002779F7"/>
    <w:rPr>
      <w:szCs w:val="20"/>
    </w:rPr>
  </w:style>
  <w:style w:type="character" w:customStyle="1" w:styleId="FootnoteTextChar">
    <w:name w:val="Footnote Text Char"/>
    <w:link w:val="FootnoteText"/>
    <w:uiPriority w:val="99"/>
    <w:semiHidden/>
    <w:rsid w:val="00EB4403"/>
    <w:rPr>
      <w:sz w:val="20"/>
      <w:szCs w:val="20"/>
      <w:lang w:val="en-US" w:eastAsia="en-US"/>
    </w:rPr>
  </w:style>
  <w:style w:type="paragraph" w:styleId="BodyText2">
    <w:name w:val="Body Text 2"/>
    <w:basedOn w:val="Normal"/>
    <w:link w:val="BodyText2Char"/>
    <w:uiPriority w:val="99"/>
    <w:rsid w:val="002779F7"/>
    <w:rPr>
      <w:sz w:val="22"/>
    </w:rPr>
  </w:style>
  <w:style w:type="character" w:customStyle="1" w:styleId="BodyText2Char">
    <w:name w:val="Body Text 2 Char"/>
    <w:link w:val="BodyText2"/>
    <w:uiPriority w:val="99"/>
    <w:semiHidden/>
    <w:rsid w:val="00EB4403"/>
    <w:rPr>
      <w:sz w:val="20"/>
      <w:szCs w:val="24"/>
      <w:lang w:val="en-US" w:eastAsia="en-U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link w:val="BalloonText"/>
    <w:uiPriority w:val="99"/>
    <w:semiHidden/>
    <w:rsid w:val="00EB4403"/>
    <w:rPr>
      <w:sz w:val="0"/>
      <w:szCs w:val="0"/>
      <w:lang w:val="en-US" w:eastAsia="en-U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lang w:val="en-GB"/>
    </w:rPr>
  </w:style>
  <w:style w:type="character" w:customStyle="1" w:styleId="BodyText3Char">
    <w:name w:val="Body Text 3 Char"/>
    <w:link w:val="BodyText3"/>
    <w:uiPriority w:val="99"/>
    <w:semiHidden/>
    <w:rsid w:val="00EB4403"/>
    <w:rPr>
      <w:sz w:val="16"/>
      <w:szCs w:val="16"/>
      <w:lang w:val="en-US" w:eastAsia="en-U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uiPriority w:val="99"/>
    <w:rsid w:val="002779F7"/>
    <w:rPr>
      <w:rFonts w:cs="Times New Roman"/>
      <w:color w:val="800080"/>
      <w:u w:val="single"/>
    </w:rPr>
  </w:style>
  <w:style w:type="paragraph" w:styleId="Title">
    <w:name w:val="Title"/>
    <w:basedOn w:val="Normal"/>
    <w:link w:val="TitleChar"/>
    <w:uiPriority w:val="10"/>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rFonts w:cs="Arial"/>
      <w:b/>
      <w:bCs/>
      <w:sz w:val="32"/>
      <w:szCs w:val="22"/>
      <w:lang w:val="en-GB"/>
    </w:rPr>
  </w:style>
  <w:style w:type="character" w:customStyle="1" w:styleId="TitleChar">
    <w:name w:val="Title Char"/>
    <w:link w:val="Title"/>
    <w:uiPriority w:val="10"/>
    <w:rsid w:val="00EB4403"/>
    <w:rPr>
      <w:rFonts w:ascii="Cambria" w:eastAsia="Times New Roman" w:hAnsi="Cambria" w:cs="Times New Roman"/>
      <w:b/>
      <w:bCs/>
      <w:kern w:val="28"/>
      <w:sz w:val="32"/>
      <w:szCs w:val="32"/>
      <w:lang w:val="en-US" w:eastAsia="en-US"/>
    </w:rPr>
  </w:style>
  <w:style w:type="paragraph" w:customStyle="1" w:styleId="ColorfulList-Accent11">
    <w:name w:val="Colorful List - Accent 11"/>
    <w:basedOn w:val="Normal"/>
    <w:uiPriority w:val="99"/>
    <w:rsid w:val="001419C7"/>
    <w:pPr>
      <w:widowControl/>
      <w:autoSpaceDE/>
      <w:autoSpaceDN/>
      <w:adjustRightInd/>
      <w:ind w:left="720"/>
    </w:pPr>
    <w:rPr>
      <w:sz w:val="24"/>
      <w:lang w:val="es-UY"/>
    </w:rPr>
  </w:style>
  <w:style w:type="character" w:styleId="CommentReference">
    <w:name w:val="annotation reference"/>
    <w:uiPriority w:val="99"/>
    <w:semiHidden/>
    <w:rsid w:val="00DA1080"/>
    <w:rPr>
      <w:rFonts w:cs="Times New Roman"/>
      <w:sz w:val="18"/>
    </w:rPr>
  </w:style>
  <w:style w:type="paragraph" w:styleId="CommentText">
    <w:name w:val="annotation text"/>
    <w:basedOn w:val="Normal"/>
    <w:link w:val="CommentTextChar"/>
    <w:uiPriority w:val="99"/>
    <w:semiHidden/>
    <w:rsid w:val="00DA1080"/>
    <w:rPr>
      <w:sz w:val="24"/>
    </w:rPr>
  </w:style>
  <w:style w:type="character" w:customStyle="1" w:styleId="CommentTextChar">
    <w:name w:val="Comment Text Char"/>
    <w:link w:val="CommentText"/>
    <w:uiPriority w:val="99"/>
    <w:semiHidden/>
    <w:locked/>
    <w:rsid w:val="00DA1080"/>
    <w:rPr>
      <w:sz w:val="24"/>
      <w:lang w:val="en-US" w:eastAsia="en-U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link w:val="CommentSubject"/>
    <w:uiPriority w:val="99"/>
    <w:semiHidden/>
    <w:locked/>
    <w:rsid w:val="00DA1080"/>
    <w:rPr>
      <w:b/>
      <w:sz w:val="24"/>
      <w:lang w:val="en-US" w:eastAsia="en-US"/>
    </w:rPr>
  </w:style>
  <w:style w:type="paragraph" w:styleId="ListParagraph">
    <w:name w:val="List Paragraph"/>
    <w:basedOn w:val="Normal"/>
    <w:uiPriority w:val="34"/>
    <w:qFormat/>
    <w:rsid w:val="00F81FEF"/>
    <w:pPr>
      <w:ind w:left="720"/>
      <w:contextualSpacing/>
    </w:pPr>
  </w:style>
  <w:style w:type="character" w:styleId="Emphasis">
    <w:name w:val="Emphasis"/>
    <w:uiPriority w:val="20"/>
    <w:qFormat/>
    <w:rsid w:val="00F81FEF"/>
    <w:rPr>
      <w:rFonts w:cs="Times New Roman"/>
      <w:i/>
      <w:iCs/>
    </w:rPr>
  </w:style>
  <w:style w:type="paragraph" w:customStyle="1" w:styleId="Default">
    <w:name w:val="Default"/>
    <w:basedOn w:val="Normal"/>
    <w:rsid w:val="00CC57AD"/>
    <w:pPr>
      <w:widowControl/>
      <w:adjustRightInd/>
    </w:pPr>
    <w:rPr>
      <w:color w:val="000000"/>
      <w:sz w:val="24"/>
      <w:lang w:val="en-GB" w:eastAsia="en-GB"/>
    </w:rPr>
  </w:style>
  <w:style w:type="numbering" w:customStyle="1" w:styleId="NoList1">
    <w:name w:val="No List1"/>
    <w:next w:val="NoList"/>
    <w:uiPriority w:val="99"/>
    <w:semiHidden/>
    <w:unhideWhenUsed/>
    <w:rsid w:val="00C96521"/>
  </w:style>
  <w:style w:type="paragraph" w:customStyle="1" w:styleId="TDTitle">
    <w:name w:val="TD Title"/>
    <w:basedOn w:val="Normal"/>
    <w:link w:val="TDTitleChar"/>
    <w:rsid w:val="00C96521"/>
    <w:pPr>
      <w:widowControl/>
      <w:autoSpaceDE/>
      <w:autoSpaceDN/>
      <w:jc w:val="center"/>
    </w:pPr>
    <w:rPr>
      <w:rFonts w:cs="Arial"/>
      <w:b/>
      <w:bCs/>
      <w:spacing w:val="-3"/>
      <w:sz w:val="28"/>
      <w:szCs w:val="28"/>
      <w:lang w:val="en-GB" w:eastAsia="ja-JP"/>
    </w:rPr>
  </w:style>
  <w:style w:type="paragraph" w:customStyle="1" w:styleId="TDNormal">
    <w:name w:val="TD Normal"/>
    <w:basedOn w:val="Normal"/>
    <w:link w:val="TDNormalChar"/>
    <w:rsid w:val="00C96521"/>
    <w:pPr>
      <w:widowControl/>
      <w:autoSpaceDE/>
      <w:autoSpaceDN/>
    </w:pPr>
    <w:rPr>
      <w:rFonts w:cs="Arial"/>
      <w:sz w:val="20"/>
      <w:szCs w:val="20"/>
      <w:lang w:val="en-GB" w:eastAsia="ja-JP"/>
    </w:rPr>
  </w:style>
  <w:style w:type="character" w:customStyle="1" w:styleId="TDTitleChar">
    <w:name w:val="TD Title Char"/>
    <w:basedOn w:val="DefaultParagraphFont"/>
    <w:link w:val="TDTitle"/>
    <w:rsid w:val="00C96521"/>
    <w:rPr>
      <w:rFonts w:cs="Arial"/>
      <w:b/>
      <w:bCs/>
      <w:spacing w:val="-3"/>
      <w:sz w:val="28"/>
      <w:szCs w:val="28"/>
      <w:lang w:val="en-GB" w:eastAsia="ja-JP"/>
    </w:rPr>
  </w:style>
  <w:style w:type="paragraph" w:customStyle="1" w:styleId="TDSmall">
    <w:name w:val="TD Small"/>
    <w:basedOn w:val="Normal"/>
    <w:link w:val="TDSmallChar"/>
    <w:rsid w:val="00C96521"/>
    <w:pPr>
      <w:widowControl/>
      <w:autoSpaceDE/>
      <w:autoSpaceDN/>
    </w:pPr>
    <w:rPr>
      <w:rFonts w:cs="Arial"/>
      <w:sz w:val="16"/>
      <w:szCs w:val="16"/>
      <w:lang w:val="en-GB" w:eastAsia="ja-JP"/>
    </w:rPr>
  </w:style>
  <w:style w:type="character" w:customStyle="1" w:styleId="TDNormalChar">
    <w:name w:val="TD Normal Char"/>
    <w:basedOn w:val="DefaultParagraphFont"/>
    <w:link w:val="TDNormal"/>
    <w:rsid w:val="00C96521"/>
    <w:rPr>
      <w:rFonts w:cs="Arial"/>
      <w:sz w:val="20"/>
      <w:szCs w:val="20"/>
      <w:lang w:val="en-GB" w:eastAsia="ja-JP"/>
    </w:rPr>
  </w:style>
  <w:style w:type="paragraph" w:customStyle="1" w:styleId="TDHeading">
    <w:name w:val="TD Heading"/>
    <w:basedOn w:val="TDNormal"/>
    <w:link w:val="TDHeadingChar"/>
    <w:rsid w:val="00C96521"/>
    <w:pPr>
      <w:numPr>
        <w:numId w:val="11"/>
      </w:numPr>
    </w:pPr>
    <w:rPr>
      <w:b/>
      <w:bCs/>
      <w:sz w:val="24"/>
    </w:rPr>
  </w:style>
  <w:style w:type="character" w:customStyle="1" w:styleId="TDSmallChar">
    <w:name w:val="TD Small Char"/>
    <w:basedOn w:val="DefaultParagraphFont"/>
    <w:link w:val="TDSmall"/>
    <w:rsid w:val="00C96521"/>
    <w:rPr>
      <w:rFonts w:cs="Arial"/>
      <w:sz w:val="16"/>
      <w:szCs w:val="16"/>
      <w:lang w:val="en-GB" w:eastAsia="ja-JP"/>
    </w:rPr>
  </w:style>
  <w:style w:type="character" w:customStyle="1" w:styleId="TDHeadingChar">
    <w:name w:val="TD Heading Char"/>
    <w:basedOn w:val="TDNormalChar"/>
    <w:link w:val="TDHeading"/>
    <w:rsid w:val="00C96521"/>
    <w:rPr>
      <w:rFonts w:cs="Arial"/>
      <w:b/>
      <w:bCs/>
      <w:sz w:val="24"/>
      <w:szCs w:val="20"/>
      <w:lang w:val="en-GB" w:eastAsia="ja-JP"/>
    </w:rPr>
  </w:style>
  <w:style w:type="paragraph" w:styleId="TOCHeading">
    <w:name w:val="TOC Heading"/>
    <w:basedOn w:val="Heading1"/>
    <w:next w:val="Normal"/>
    <w:uiPriority w:val="39"/>
    <w:unhideWhenUsed/>
    <w:qFormat/>
    <w:rsid w:val="00C96521"/>
    <w:pPr>
      <w:keepLines/>
      <w:widowControl/>
      <w:tabs>
        <w:tab w:val="clear" w:pos="-1057"/>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autoSpaceDE/>
      <w:autoSpaceDN/>
      <w:adjustRightInd/>
      <w:spacing w:before="480" w:line="276" w:lineRule="auto"/>
      <w:outlineLvl w:val="9"/>
    </w:pPr>
    <w:rPr>
      <w:rFonts w:eastAsia="MS Gothic"/>
      <w:color w:val="365F91"/>
      <w:sz w:val="32"/>
      <w:szCs w:val="28"/>
      <w:lang w:eastAsia="ja-JP"/>
    </w:rPr>
  </w:style>
  <w:style w:type="paragraph" w:styleId="TOC2">
    <w:name w:val="toc 2"/>
    <w:basedOn w:val="Normal"/>
    <w:next w:val="Normal"/>
    <w:autoRedefine/>
    <w:uiPriority w:val="39"/>
    <w:unhideWhenUsed/>
    <w:locked/>
    <w:rsid w:val="00C96521"/>
    <w:pPr>
      <w:widowControl/>
      <w:autoSpaceDE/>
      <w:autoSpaceDN/>
      <w:adjustRightInd/>
      <w:spacing w:after="100" w:line="276" w:lineRule="auto"/>
      <w:ind w:left="220"/>
    </w:pPr>
    <w:rPr>
      <w:rFonts w:eastAsia="MS Mincho"/>
      <w:sz w:val="20"/>
      <w:szCs w:val="22"/>
      <w:lang w:val="en-GB" w:eastAsia="ja-JP"/>
    </w:rPr>
  </w:style>
  <w:style w:type="paragraph" w:styleId="TOC1">
    <w:name w:val="toc 1"/>
    <w:basedOn w:val="Normal"/>
    <w:next w:val="Normal"/>
    <w:autoRedefine/>
    <w:uiPriority w:val="39"/>
    <w:unhideWhenUsed/>
    <w:locked/>
    <w:rsid w:val="00C96521"/>
    <w:pPr>
      <w:widowControl/>
      <w:autoSpaceDE/>
      <w:autoSpaceDN/>
      <w:adjustRightInd/>
      <w:spacing w:after="100" w:line="276" w:lineRule="auto"/>
    </w:pPr>
    <w:rPr>
      <w:rFonts w:eastAsia="MS Mincho"/>
      <w:b/>
      <w:sz w:val="20"/>
      <w:szCs w:val="22"/>
      <w:lang w:val="en-GB" w:eastAsia="ja-JP"/>
    </w:rPr>
  </w:style>
  <w:style w:type="paragraph" w:styleId="TOC3">
    <w:name w:val="toc 3"/>
    <w:basedOn w:val="Normal"/>
    <w:next w:val="Normal"/>
    <w:autoRedefine/>
    <w:uiPriority w:val="39"/>
    <w:unhideWhenUsed/>
    <w:locked/>
    <w:rsid w:val="00C96521"/>
    <w:pPr>
      <w:widowControl/>
      <w:tabs>
        <w:tab w:val="right" w:leader="dot" w:pos="9310"/>
        <w:tab w:val="left" w:pos="9356"/>
      </w:tabs>
      <w:autoSpaceDE/>
      <w:autoSpaceDN/>
      <w:adjustRightInd/>
      <w:spacing w:after="100" w:line="276" w:lineRule="auto"/>
      <w:ind w:left="442"/>
    </w:pPr>
    <w:rPr>
      <w:rFonts w:eastAsia="MS Mincho"/>
      <w:sz w:val="20"/>
      <w:szCs w:val="22"/>
      <w:lang w:val="en-GB" w:eastAsia="ja-JP"/>
    </w:rPr>
  </w:style>
  <w:style w:type="paragraph" w:customStyle="1" w:styleId="Subtitle1">
    <w:name w:val="Subtitle1"/>
    <w:basedOn w:val="Normal"/>
    <w:next w:val="Normal"/>
    <w:uiPriority w:val="11"/>
    <w:qFormat/>
    <w:rsid w:val="00C96521"/>
    <w:pPr>
      <w:widowControl/>
      <w:numPr>
        <w:ilvl w:val="1"/>
      </w:numPr>
      <w:autoSpaceDE/>
      <w:autoSpaceDN/>
      <w:adjustRightInd/>
      <w:spacing w:line="276" w:lineRule="auto"/>
    </w:pPr>
    <w:rPr>
      <w:rFonts w:eastAsia="MS Gothic"/>
      <w:i/>
      <w:iCs/>
      <w:color w:val="4F81BD"/>
      <w:spacing w:val="15"/>
      <w:sz w:val="24"/>
      <w:lang w:val="en-GB" w:eastAsia="ja-JP"/>
    </w:rPr>
  </w:style>
  <w:style w:type="character" w:customStyle="1" w:styleId="SubtitleChar">
    <w:name w:val="Subtitle Char"/>
    <w:basedOn w:val="DefaultParagraphFont"/>
    <w:link w:val="Subtitle"/>
    <w:uiPriority w:val="11"/>
    <w:rsid w:val="00C96521"/>
    <w:rPr>
      <w:rFonts w:ascii="Arial" w:eastAsia="MS Gothic" w:hAnsi="Arial" w:cs="Times New Roman"/>
      <w:i/>
      <w:iCs/>
      <w:color w:val="4F81BD"/>
      <w:spacing w:val="15"/>
      <w:sz w:val="24"/>
      <w:szCs w:val="24"/>
      <w:lang w:val="en-GB"/>
    </w:rPr>
  </w:style>
  <w:style w:type="character" w:styleId="Strong">
    <w:name w:val="Strong"/>
    <w:uiPriority w:val="22"/>
    <w:qFormat/>
    <w:locked/>
    <w:rsid w:val="00C96521"/>
    <w:rPr>
      <w:b/>
      <w:bCs/>
    </w:rPr>
  </w:style>
  <w:style w:type="paragraph" w:styleId="NoSpacing">
    <w:name w:val="No Spacing"/>
    <w:basedOn w:val="Normal"/>
    <w:uiPriority w:val="1"/>
    <w:qFormat/>
    <w:rsid w:val="00C96521"/>
    <w:pPr>
      <w:widowControl/>
      <w:autoSpaceDE/>
      <w:autoSpaceDN/>
      <w:adjustRightInd/>
    </w:pPr>
    <w:rPr>
      <w:rFonts w:eastAsia="MS Mincho"/>
      <w:sz w:val="20"/>
      <w:szCs w:val="22"/>
      <w:lang w:val="en-GB" w:eastAsia="ja-JP"/>
    </w:rPr>
  </w:style>
  <w:style w:type="paragraph" w:customStyle="1" w:styleId="Quote1">
    <w:name w:val="Quote1"/>
    <w:basedOn w:val="Normal"/>
    <w:next w:val="Normal"/>
    <w:uiPriority w:val="29"/>
    <w:qFormat/>
    <w:rsid w:val="00C96521"/>
    <w:pPr>
      <w:widowControl/>
      <w:autoSpaceDE/>
      <w:autoSpaceDN/>
      <w:adjustRightInd/>
      <w:spacing w:line="276" w:lineRule="auto"/>
    </w:pPr>
    <w:rPr>
      <w:rFonts w:eastAsia="MS Mincho"/>
      <w:i/>
      <w:iCs/>
      <w:color w:val="000000"/>
      <w:sz w:val="20"/>
      <w:szCs w:val="22"/>
      <w:lang w:val="en-GB" w:eastAsia="ja-JP"/>
    </w:rPr>
  </w:style>
  <w:style w:type="character" w:customStyle="1" w:styleId="QuoteChar">
    <w:name w:val="Quote Char"/>
    <w:basedOn w:val="DefaultParagraphFont"/>
    <w:link w:val="Quote"/>
    <w:uiPriority w:val="29"/>
    <w:rsid w:val="00C96521"/>
    <w:rPr>
      <w:i/>
      <w:iCs/>
      <w:color w:val="000000"/>
      <w:lang w:val="en-GB"/>
    </w:rPr>
  </w:style>
  <w:style w:type="paragraph" w:customStyle="1" w:styleId="IntenseQuote1">
    <w:name w:val="Intense Quote1"/>
    <w:basedOn w:val="Normal"/>
    <w:next w:val="Normal"/>
    <w:uiPriority w:val="30"/>
    <w:qFormat/>
    <w:rsid w:val="00C96521"/>
    <w:pPr>
      <w:widowControl/>
      <w:pBdr>
        <w:bottom w:val="single" w:sz="4" w:space="4" w:color="4F81BD"/>
      </w:pBdr>
      <w:autoSpaceDE/>
      <w:autoSpaceDN/>
      <w:adjustRightInd/>
      <w:spacing w:before="200" w:after="280" w:line="276" w:lineRule="auto"/>
      <w:ind w:left="936" w:right="936"/>
    </w:pPr>
    <w:rPr>
      <w:rFonts w:eastAsia="MS Mincho"/>
      <w:b/>
      <w:bCs/>
      <w:i/>
      <w:iCs/>
      <w:color w:val="4F81BD"/>
      <w:sz w:val="20"/>
      <w:szCs w:val="22"/>
      <w:lang w:val="en-GB" w:eastAsia="ja-JP"/>
    </w:rPr>
  </w:style>
  <w:style w:type="character" w:customStyle="1" w:styleId="IntenseQuoteChar">
    <w:name w:val="Intense Quote Char"/>
    <w:basedOn w:val="DefaultParagraphFont"/>
    <w:link w:val="IntenseQuote"/>
    <w:uiPriority w:val="30"/>
    <w:rsid w:val="00C96521"/>
    <w:rPr>
      <w:b/>
      <w:bCs/>
      <w:i/>
      <w:iCs/>
      <w:color w:val="4F81BD"/>
      <w:lang w:val="en-GB"/>
    </w:rPr>
  </w:style>
  <w:style w:type="character" w:customStyle="1" w:styleId="SubtleEmphasis1">
    <w:name w:val="Subtle Emphasis1"/>
    <w:uiPriority w:val="19"/>
    <w:qFormat/>
    <w:rsid w:val="00C96521"/>
    <w:rPr>
      <w:i/>
      <w:iCs/>
      <w:color w:val="808080"/>
    </w:rPr>
  </w:style>
  <w:style w:type="character" w:customStyle="1" w:styleId="IntenseEmphasis1">
    <w:name w:val="Intense Emphasis1"/>
    <w:uiPriority w:val="21"/>
    <w:qFormat/>
    <w:rsid w:val="00C96521"/>
    <w:rPr>
      <w:b/>
      <w:bCs/>
      <w:i/>
      <w:iCs/>
      <w:color w:val="4F81BD"/>
    </w:rPr>
  </w:style>
  <w:style w:type="character" w:customStyle="1" w:styleId="SubtleReference1">
    <w:name w:val="Subtle Reference1"/>
    <w:basedOn w:val="DefaultParagraphFont"/>
    <w:uiPriority w:val="31"/>
    <w:qFormat/>
    <w:rsid w:val="00C96521"/>
    <w:rPr>
      <w:smallCaps/>
      <w:color w:val="C0504D"/>
      <w:u w:val="single"/>
    </w:rPr>
  </w:style>
  <w:style w:type="character" w:customStyle="1" w:styleId="IntenseReference1">
    <w:name w:val="Intense Reference1"/>
    <w:uiPriority w:val="32"/>
    <w:qFormat/>
    <w:rsid w:val="00C96521"/>
    <w:rPr>
      <w:b/>
      <w:bCs/>
      <w:smallCaps/>
      <w:color w:val="C0504D"/>
      <w:spacing w:val="5"/>
      <w:u w:val="single"/>
    </w:rPr>
  </w:style>
  <w:style w:type="character" w:styleId="BookTitle">
    <w:name w:val="Book Title"/>
    <w:basedOn w:val="DefaultParagraphFont"/>
    <w:uiPriority w:val="33"/>
    <w:qFormat/>
    <w:rsid w:val="00C96521"/>
    <w:rPr>
      <w:b/>
      <w:bCs/>
      <w:smallCaps/>
      <w:spacing w:val="5"/>
    </w:rPr>
  </w:style>
  <w:style w:type="table" w:styleId="TableGrid">
    <w:name w:val="Table Grid"/>
    <w:basedOn w:val="TableNormal"/>
    <w:uiPriority w:val="59"/>
    <w:locked/>
    <w:rsid w:val="00C96521"/>
    <w:rPr>
      <w:rFonts w:ascii="Calibri" w:eastAsia="MS Mincho"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C96521"/>
    <w:pPr>
      <w:widowControl/>
      <w:autoSpaceDE/>
      <w:autoSpaceDN/>
      <w:adjustRightInd/>
      <w:spacing w:before="100" w:beforeAutospacing="1" w:after="100" w:afterAutospacing="1"/>
    </w:pPr>
    <w:rPr>
      <w:rFonts w:ascii="Times New Roman" w:hAnsi="Times New Roman"/>
      <w:sz w:val="24"/>
      <w:lang w:val="en-GB" w:eastAsia="ja-JP"/>
    </w:rPr>
  </w:style>
  <w:style w:type="character" w:customStyle="1" w:styleId="apple-converted-space">
    <w:name w:val="apple-converted-space"/>
    <w:basedOn w:val="DefaultParagraphFont"/>
    <w:rsid w:val="00C96521"/>
  </w:style>
  <w:style w:type="character" w:customStyle="1" w:styleId="personname">
    <w:name w:val="person_name"/>
    <w:basedOn w:val="DefaultParagraphFont"/>
    <w:rsid w:val="00C96521"/>
  </w:style>
  <w:style w:type="paragraph" w:styleId="Revision">
    <w:name w:val="Revision"/>
    <w:hidden/>
    <w:uiPriority w:val="99"/>
    <w:semiHidden/>
    <w:rsid w:val="00C96521"/>
    <w:rPr>
      <w:rFonts w:eastAsia="MS Mincho"/>
      <w:sz w:val="20"/>
      <w:szCs w:val="22"/>
      <w:lang w:val="en-GB" w:eastAsia="ja-JP"/>
    </w:rPr>
  </w:style>
  <w:style w:type="character" w:customStyle="1" w:styleId="st">
    <w:name w:val="st"/>
    <w:basedOn w:val="DefaultParagraphFont"/>
    <w:rsid w:val="00C96521"/>
  </w:style>
  <w:style w:type="paragraph" w:styleId="EndnoteText">
    <w:name w:val="endnote text"/>
    <w:basedOn w:val="Normal"/>
    <w:link w:val="EndnoteTextChar"/>
    <w:uiPriority w:val="99"/>
    <w:semiHidden/>
    <w:unhideWhenUsed/>
    <w:rsid w:val="00C96521"/>
    <w:pPr>
      <w:widowControl/>
      <w:autoSpaceDE/>
      <w:autoSpaceDN/>
      <w:adjustRightInd/>
    </w:pPr>
    <w:rPr>
      <w:rFonts w:eastAsia="MS Mincho"/>
      <w:sz w:val="20"/>
      <w:szCs w:val="20"/>
      <w:lang w:val="en-GB" w:eastAsia="ja-JP"/>
    </w:rPr>
  </w:style>
  <w:style w:type="character" w:customStyle="1" w:styleId="EndnoteTextChar">
    <w:name w:val="Endnote Text Char"/>
    <w:basedOn w:val="DefaultParagraphFont"/>
    <w:link w:val="EndnoteText"/>
    <w:uiPriority w:val="99"/>
    <w:semiHidden/>
    <w:rsid w:val="00C96521"/>
    <w:rPr>
      <w:rFonts w:eastAsia="MS Mincho"/>
      <w:sz w:val="20"/>
      <w:szCs w:val="20"/>
      <w:lang w:val="en-GB" w:eastAsia="ja-JP"/>
    </w:rPr>
  </w:style>
  <w:style w:type="character" w:styleId="EndnoteReference">
    <w:name w:val="endnote reference"/>
    <w:basedOn w:val="DefaultParagraphFont"/>
    <w:uiPriority w:val="99"/>
    <w:semiHidden/>
    <w:unhideWhenUsed/>
    <w:rsid w:val="00C96521"/>
    <w:rPr>
      <w:vertAlign w:val="superscript"/>
    </w:rPr>
  </w:style>
  <w:style w:type="paragraph" w:customStyle="1" w:styleId="xmsolistparagraph">
    <w:name w:val="x_msolistparagraph"/>
    <w:basedOn w:val="Normal"/>
    <w:rsid w:val="00C96521"/>
    <w:pPr>
      <w:widowControl/>
      <w:autoSpaceDE/>
      <w:autoSpaceDN/>
      <w:adjustRightInd/>
      <w:spacing w:before="100" w:beforeAutospacing="1" w:after="100" w:afterAutospacing="1"/>
    </w:pPr>
    <w:rPr>
      <w:rFonts w:ascii="Times New Roman" w:hAnsi="Times New Roman"/>
      <w:sz w:val="24"/>
      <w:lang w:val="en-GB" w:eastAsia="ja-JP"/>
    </w:rPr>
  </w:style>
  <w:style w:type="paragraph" w:customStyle="1" w:styleId="Defra12ptBoldParagraph">
    <w:name w:val="Defra 12pt Bold Paragraph"/>
    <w:basedOn w:val="Normal"/>
    <w:rsid w:val="00C96521"/>
    <w:pPr>
      <w:autoSpaceDE/>
      <w:autoSpaceDN/>
      <w:adjustRightInd/>
      <w:spacing w:after="120" w:line="280" w:lineRule="exact"/>
    </w:pPr>
    <w:rPr>
      <w:b/>
      <w:sz w:val="24"/>
      <w:lang w:val="en-GB"/>
    </w:rPr>
  </w:style>
  <w:style w:type="paragraph" w:customStyle="1" w:styleId="xmsonormal">
    <w:name w:val="x_msonormal"/>
    <w:basedOn w:val="Normal"/>
    <w:rsid w:val="00C96521"/>
    <w:pPr>
      <w:widowControl/>
      <w:autoSpaceDE/>
      <w:autoSpaceDN/>
      <w:adjustRightInd/>
      <w:spacing w:before="100" w:beforeAutospacing="1" w:after="100" w:afterAutospacing="1"/>
    </w:pPr>
    <w:rPr>
      <w:rFonts w:ascii="Times New Roman" w:hAnsi="Times New Roman"/>
      <w:sz w:val="24"/>
      <w:lang w:val="en-GB" w:eastAsia="ja-JP"/>
    </w:rPr>
  </w:style>
  <w:style w:type="character" w:customStyle="1" w:styleId="views-labelviews-label-field-journal-last-page">
    <w:name w:val="views-label views-label-field-journal-last-page"/>
    <w:basedOn w:val="DefaultParagraphFont"/>
    <w:rsid w:val="00C96521"/>
  </w:style>
  <w:style w:type="character" w:customStyle="1" w:styleId="field-content">
    <w:name w:val="field-content"/>
    <w:basedOn w:val="DefaultParagraphFont"/>
    <w:rsid w:val="00C96521"/>
  </w:style>
  <w:style w:type="character" w:customStyle="1" w:styleId="contextualextensionhighlight">
    <w:name w:val="contextualextensionhighlight"/>
    <w:basedOn w:val="DefaultParagraphFont"/>
    <w:rsid w:val="00C96521"/>
  </w:style>
  <w:style w:type="paragraph" w:styleId="Subtitle">
    <w:name w:val="Subtitle"/>
    <w:basedOn w:val="Normal"/>
    <w:next w:val="Normal"/>
    <w:link w:val="SubtitleChar"/>
    <w:uiPriority w:val="11"/>
    <w:qFormat/>
    <w:locked/>
    <w:rsid w:val="00C96521"/>
    <w:pPr>
      <w:numPr>
        <w:ilvl w:val="1"/>
      </w:numPr>
      <w:spacing w:after="160"/>
    </w:pPr>
    <w:rPr>
      <w:rFonts w:eastAsia="MS Gothic"/>
      <w:i/>
      <w:iCs/>
      <w:color w:val="4F81BD"/>
      <w:spacing w:val="15"/>
      <w:sz w:val="24"/>
      <w:lang w:val="en-GB"/>
    </w:rPr>
  </w:style>
  <w:style w:type="character" w:customStyle="1" w:styleId="SubtitleChar1">
    <w:name w:val="Subtitle Char1"/>
    <w:basedOn w:val="DefaultParagraphFont"/>
    <w:rsid w:val="00C96521"/>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C96521"/>
    <w:pPr>
      <w:spacing w:before="200" w:after="160"/>
      <w:ind w:left="864" w:right="864"/>
      <w:jc w:val="center"/>
    </w:pPr>
    <w:rPr>
      <w:i/>
      <w:iCs/>
      <w:color w:val="000000"/>
      <w:lang w:val="en-GB"/>
    </w:rPr>
  </w:style>
  <w:style w:type="character" w:customStyle="1" w:styleId="QuoteChar1">
    <w:name w:val="Quote Char1"/>
    <w:basedOn w:val="DefaultParagraphFont"/>
    <w:uiPriority w:val="29"/>
    <w:rsid w:val="00C96521"/>
    <w:rPr>
      <w:i/>
      <w:iCs/>
      <w:color w:val="404040" w:themeColor="text1" w:themeTint="BF"/>
    </w:rPr>
  </w:style>
  <w:style w:type="paragraph" w:styleId="IntenseQuote">
    <w:name w:val="Intense Quote"/>
    <w:basedOn w:val="Normal"/>
    <w:next w:val="Normal"/>
    <w:link w:val="IntenseQuoteChar"/>
    <w:uiPriority w:val="30"/>
    <w:qFormat/>
    <w:rsid w:val="00C96521"/>
    <w:pPr>
      <w:pBdr>
        <w:top w:val="single" w:sz="4" w:space="10" w:color="5B9BD5" w:themeColor="accent1"/>
        <w:bottom w:val="single" w:sz="4" w:space="10" w:color="5B9BD5" w:themeColor="accent1"/>
      </w:pBdr>
      <w:spacing w:before="360" w:after="360"/>
      <w:ind w:left="864" w:right="864"/>
      <w:jc w:val="center"/>
    </w:pPr>
    <w:rPr>
      <w:b/>
      <w:bCs/>
      <w:i/>
      <w:iCs/>
      <w:color w:val="4F81BD"/>
      <w:lang w:val="en-GB"/>
    </w:rPr>
  </w:style>
  <w:style w:type="character" w:customStyle="1" w:styleId="IntenseQuoteChar1">
    <w:name w:val="Intense Quote Char1"/>
    <w:basedOn w:val="DefaultParagraphFont"/>
    <w:uiPriority w:val="30"/>
    <w:rsid w:val="00C96521"/>
    <w:rPr>
      <w:i/>
      <w:iCs/>
      <w:color w:val="5B9BD5" w:themeColor="accent1"/>
    </w:rPr>
  </w:style>
  <w:style w:type="character" w:styleId="SubtleEmphasis">
    <w:name w:val="Subtle Emphasis"/>
    <w:basedOn w:val="DefaultParagraphFont"/>
    <w:uiPriority w:val="19"/>
    <w:qFormat/>
    <w:rsid w:val="00C96521"/>
    <w:rPr>
      <w:i/>
      <w:iCs/>
      <w:color w:val="404040" w:themeColor="text1" w:themeTint="BF"/>
    </w:rPr>
  </w:style>
  <w:style w:type="character" w:styleId="IntenseEmphasis">
    <w:name w:val="Intense Emphasis"/>
    <w:basedOn w:val="DefaultParagraphFont"/>
    <w:uiPriority w:val="21"/>
    <w:qFormat/>
    <w:rsid w:val="00C96521"/>
    <w:rPr>
      <w:i/>
      <w:iCs/>
      <w:color w:val="5B9BD5" w:themeColor="accent1"/>
    </w:rPr>
  </w:style>
  <w:style w:type="character" w:styleId="SubtleReference">
    <w:name w:val="Subtle Reference"/>
    <w:basedOn w:val="DefaultParagraphFont"/>
    <w:uiPriority w:val="31"/>
    <w:qFormat/>
    <w:rsid w:val="00C96521"/>
    <w:rPr>
      <w:smallCaps/>
      <w:color w:val="5A5A5A" w:themeColor="text1" w:themeTint="A5"/>
    </w:rPr>
  </w:style>
  <w:style w:type="character" w:styleId="IntenseReference">
    <w:name w:val="Intense Reference"/>
    <w:basedOn w:val="DefaultParagraphFont"/>
    <w:uiPriority w:val="32"/>
    <w:qFormat/>
    <w:rsid w:val="00C96521"/>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520925">
      <w:bodyDiv w:val="1"/>
      <w:marLeft w:val="0"/>
      <w:marRight w:val="0"/>
      <w:marTop w:val="0"/>
      <w:marBottom w:val="0"/>
      <w:divBdr>
        <w:top w:val="none" w:sz="0" w:space="0" w:color="auto"/>
        <w:left w:val="none" w:sz="0" w:space="0" w:color="auto"/>
        <w:bottom w:val="none" w:sz="0" w:space="0" w:color="auto"/>
        <w:right w:val="none" w:sz="0" w:space="0" w:color="auto"/>
      </w:divBdr>
    </w:div>
    <w:div w:id="1110203860">
      <w:bodyDiv w:val="1"/>
      <w:marLeft w:val="0"/>
      <w:marRight w:val="0"/>
      <w:marTop w:val="0"/>
      <w:marBottom w:val="0"/>
      <w:divBdr>
        <w:top w:val="none" w:sz="0" w:space="0" w:color="auto"/>
        <w:left w:val="none" w:sz="0" w:space="0" w:color="auto"/>
        <w:bottom w:val="none" w:sz="0" w:space="0" w:color="auto"/>
        <w:right w:val="none" w:sz="0" w:space="0" w:color="auto"/>
      </w:divBdr>
    </w:div>
    <w:div w:id="112939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8.jpeg"/><Relationship Id="rId34" Type="http://schemas.openxmlformats.org/officeDocument/2006/relationships/footer" Target="footer6.xml"/><Relationship Id="rId42" Type="http://schemas.openxmlformats.org/officeDocument/2006/relationships/chart" Target="charts/chart7.xml"/><Relationship Id="rId47" Type="http://schemas.openxmlformats.org/officeDocument/2006/relationships/hyperlink" Target="http://www.birdlife.lt/" TargetMode="External"/><Relationship Id="rId50" Type="http://schemas.openxmlformats.org/officeDocument/2006/relationships/package" Target="embeddings/Microsoft_PowerPoint_Slide.sldx"/><Relationship Id="rId55" Type="http://schemas.openxmlformats.org/officeDocument/2006/relationships/hyperlink" Target="http://www.batumiraptorcount.org/raptor-migration/migration-count-data" TargetMode="External"/><Relationship Id="rId63" Type="http://schemas.openxmlformats.org/officeDocument/2006/relationships/hyperlink" Target="https://msdeccms.gov.mt/en/Documents/Downloads/WBRU/spring%20hunting%202015/SH%202015%20derogation%20report.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13.jpeg"/><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image" Target="media/image18.jpeg"/><Relationship Id="rId58" Type="http://schemas.openxmlformats.org/officeDocument/2006/relationships/hyperlink" Target="http://www.raco.cat/index.php/ButlletiAnellament/index"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uoor.com.ua/eng/legislation/about_hunting" TargetMode="Externa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header" Target="header7.xml"/><Relationship Id="rId30" Type="http://schemas.openxmlformats.org/officeDocument/2006/relationships/chart" Target="charts/chart1.xml"/><Relationship Id="rId35" Type="http://schemas.openxmlformats.org/officeDocument/2006/relationships/footer" Target="footer7.xml"/><Relationship Id="rId43" Type="http://schemas.openxmlformats.org/officeDocument/2006/relationships/chart" Target="charts/chart8.xml"/><Relationship Id="rId48" Type="http://schemas.openxmlformats.org/officeDocument/2006/relationships/image" Target="media/image14.jpeg"/><Relationship Id="rId56" Type="http://schemas.openxmlformats.org/officeDocument/2006/relationships/hyperlink" Target="https://protect-eu.mimecast.com/s/bAQABS6neOhr" TargetMode="External"/><Relationship Id="rId64" Type="http://schemas.openxmlformats.org/officeDocument/2006/relationships/hyperlink" Target="https://msdeccms.gov.mt/en/Documents/Downloads/WBRU/2016/SH%20derogation%20report%202016%209-6.pdf" TargetMode="External"/><Relationship Id="rId8" Type="http://schemas.openxmlformats.org/officeDocument/2006/relationships/image" Target="media/image1.wmf"/><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hyperlink" Target="http://www.rspb.org.uk/community/ourwork/b/biodiversity/archive/2016/08/30/what-we-ve-learnt-from-titan-the-satellite-tagged-turtle-dove.aspx" TargetMode="External"/><Relationship Id="rId20" Type="http://schemas.openxmlformats.org/officeDocument/2006/relationships/image" Target="media/image7.png"/><Relationship Id="rId41" Type="http://schemas.openxmlformats.org/officeDocument/2006/relationships/chart" Target="charts/chart6.xml"/><Relationship Id="rId54" Type="http://schemas.openxmlformats.org/officeDocument/2006/relationships/image" Target="media/image19.jpeg"/><Relationship Id="rId62" Type="http://schemas.openxmlformats.org/officeDocument/2006/relationships/hyperlink" Target="http://onlinelibrary.wiley.com/doi/10.1111/j.1748-7692.1998.tb00688.x/ful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0.jpeg"/><Relationship Id="rId28" Type="http://schemas.openxmlformats.org/officeDocument/2006/relationships/header" Target="header8.xml"/><Relationship Id="rId36" Type="http://schemas.openxmlformats.org/officeDocument/2006/relationships/image" Target="media/image12.png"/><Relationship Id="rId49" Type="http://schemas.openxmlformats.org/officeDocument/2006/relationships/image" Target="media/image15.emf"/><Relationship Id="rId57" Type="http://schemas.openxmlformats.org/officeDocument/2006/relationships/hyperlink" Target="http://www.zzps.rs/novo/index.php?jezik=_en&amp;strana=vest&amp;n=282" TargetMode="External"/><Relationship Id="rId10" Type="http://schemas.openxmlformats.org/officeDocument/2006/relationships/header" Target="header2.xml"/><Relationship Id="rId31" Type="http://schemas.openxmlformats.org/officeDocument/2006/relationships/chart" Target="charts/chart2.xml"/><Relationship Id="rId44" Type="http://schemas.openxmlformats.org/officeDocument/2006/relationships/chart" Target="charts/chart9.xml"/><Relationship Id="rId52" Type="http://schemas.openxmlformats.org/officeDocument/2006/relationships/image" Target="media/image17.jpeg"/><Relationship Id="rId60" Type="http://schemas.openxmlformats.org/officeDocument/2006/relationships/hyperlink" Target="http://www.trafficj.org/publication/08_Illigal_trade_in_wild_birds.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chart" Target="charts/chart4.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CMS%20Body%20-%20COP\COP11\DOCS\Templates\COP11_Template_English_new.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TURTLE%20DOVE\Review%20MP%20-%20management%20plan\MP%20Draft%202%20-%20report\Table%20of%20API%20and%20NIS%20for%20Management%20Plan%20Review.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D:\TURTLE%20DOVE\Review%20MP%20-%20management%20plan\MP%20Draft%202%20-%20report\Table%20of%20API%20and%20NIS%20for%20Management%20Plan%20Review.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Next%20batch\TurtleDove_national%20data%20-%20PECBM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'NIS graph'!$A$2</c:f>
              <c:strCache>
                <c:ptCount val="1"/>
                <c:pt idx="0">
                  <c:v>NIS</c:v>
                </c:pt>
              </c:strCache>
            </c:strRef>
          </c:tx>
          <c:spPr>
            <a:solidFill>
              <a:schemeClr val="bg1">
                <a:lumMod val="75000"/>
              </a:schemeClr>
            </a:solidFill>
          </c:spPr>
          <c:invertIfNegative val="0"/>
          <c:dPt>
            <c:idx val="25"/>
            <c:invertIfNegative val="0"/>
            <c:bubble3D val="0"/>
            <c:spPr>
              <a:solidFill>
                <a:schemeClr val="bg1">
                  <a:lumMod val="50000"/>
                </a:schemeClr>
              </a:solidFill>
            </c:spPr>
            <c:extLst>
              <c:ext xmlns:c16="http://schemas.microsoft.com/office/drawing/2014/chart" uri="{C3380CC4-5D6E-409C-BE32-E72D297353CC}">
                <c16:uniqueId val="{00000001-BD84-4BD9-92FA-5ABA7FE825C6}"/>
              </c:ext>
            </c:extLst>
          </c:dPt>
          <c:cat>
            <c:strRef>
              <c:f>'NIS graph'!$B$1:$AA$1</c:f>
              <c:strCache>
                <c:ptCount val="26"/>
                <c:pt idx="0">
                  <c:v>AT</c:v>
                </c:pt>
                <c:pt idx="1">
                  <c:v>BE</c:v>
                </c:pt>
                <c:pt idx="2">
                  <c:v>BG</c:v>
                </c:pt>
                <c:pt idx="3">
                  <c:v>CY</c:v>
                </c:pt>
                <c:pt idx="4">
                  <c:v>CZ</c:v>
                </c:pt>
                <c:pt idx="5">
                  <c:v>DE</c:v>
                </c:pt>
                <c:pt idx="6">
                  <c:v>DK</c:v>
                </c:pt>
                <c:pt idx="7">
                  <c:v>EE</c:v>
                </c:pt>
                <c:pt idx="8">
                  <c:v>EL</c:v>
                </c:pt>
                <c:pt idx="9">
                  <c:v>ES</c:v>
                </c:pt>
                <c:pt idx="10">
                  <c:v>FR</c:v>
                </c:pt>
                <c:pt idx="11">
                  <c:v>HR</c:v>
                </c:pt>
                <c:pt idx="12">
                  <c:v>HU</c:v>
                </c:pt>
                <c:pt idx="13">
                  <c:v>IT</c:v>
                </c:pt>
                <c:pt idx="14">
                  <c:v>LT</c:v>
                </c:pt>
                <c:pt idx="15">
                  <c:v>LU</c:v>
                </c:pt>
                <c:pt idx="16">
                  <c:v>LV</c:v>
                </c:pt>
                <c:pt idx="17">
                  <c:v>MT</c:v>
                </c:pt>
                <c:pt idx="18">
                  <c:v>NL</c:v>
                </c:pt>
                <c:pt idx="19">
                  <c:v>PL</c:v>
                </c:pt>
                <c:pt idx="20">
                  <c:v>PT</c:v>
                </c:pt>
                <c:pt idx="21">
                  <c:v>RO</c:v>
                </c:pt>
                <c:pt idx="22">
                  <c:v>SI</c:v>
                </c:pt>
                <c:pt idx="23">
                  <c:v>SK</c:v>
                </c:pt>
                <c:pt idx="24">
                  <c:v>UK</c:v>
                </c:pt>
                <c:pt idx="25">
                  <c:v>Average</c:v>
                </c:pt>
              </c:strCache>
            </c:strRef>
          </c:cat>
          <c:val>
            <c:numRef>
              <c:f>'NIS graph'!$B$2:$AA$2</c:f>
              <c:numCache>
                <c:formatCode>0.0</c:formatCode>
                <c:ptCount val="26"/>
                <c:pt idx="0">
                  <c:v>1.3333333333333333</c:v>
                </c:pt>
                <c:pt idx="1">
                  <c:v>2.2000000000000002</c:v>
                </c:pt>
                <c:pt idx="2">
                  <c:v>1.8333333333333333</c:v>
                </c:pt>
                <c:pt idx="3">
                  <c:v>2.0555555555555554</c:v>
                </c:pt>
                <c:pt idx="4">
                  <c:v>1.4</c:v>
                </c:pt>
                <c:pt idx="5">
                  <c:v>2.1578947368421284</c:v>
                </c:pt>
                <c:pt idx="6">
                  <c:v>2</c:v>
                </c:pt>
                <c:pt idx="7">
                  <c:v>1</c:v>
                </c:pt>
                <c:pt idx="8">
                  <c:v>1.8888888888888991</c:v>
                </c:pt>
                <c:pt idx="9">
                  <c:v>1.55</c:v>
                </c:pt>
                <c:pt idx="10">
                  <c:v>2.7727272727273027</c:v>
                </c:pt>
                <c:pt idx="11">
                  <c:v>1</c:v>
                </c:pt>
                <c:pt idx="12">
                  <c:v>1.6</c:v>
                </c:pt>
                <c:pt idx="13">
                  <c:v>1.5</c:v>
                </c:pt>
                <c:pt idx="14">
                  <c:v>1.2</c:v>
                </c:pt>
                <c:pt idx="15">
                  <c:v>1.8</c:v>
                </c:pt>
                <c:pt idx="16">
                  <c:v>2.2000000000000002</c:v>
                </c:pt>
                <c:pt idx="17">
                  <c:v>3.3333333333333335</c:v>
                </c:pt>
                <c:pt idx="18">
                  <c:v>1.6</c:v>
                </c:pt>
                <c:pt idx="19">
                  <c:v>1.6666666666666667</c:v>
                </c:pt>
                <c:pt idx="20">
                  <c:v>1.5909090909090806</c:v>
                </c:pt>
                <c:pt idx="21">
                  <c:v>2.0499999999999998</c:v>
                </c:pt>
                <c:pt idx="22">
                  <c:v>2</c:v>
                </c:pt>
                <c:pt idx="23">
                  <c:v>1.4</c:v>
                </c:pt>
                <c:pt idx="24">
                  <c:v>3</c:v>
                </c:pt>
                <c:pt idx="25" formatCode="General">
                  <c:v>1.9221934254829001</c:v>
                </c:pt>
              </c:numCache>
            </c:numRef>
          </c:val>
          <c:extLst>
            <c:ext xmlns:c16="http://schemas.microsoft.com/office/drawing/2014/chart" uri="{C3380CC4-5D6E-409C-BE32-E72D297353CC}">
              <c16:uniqueId val="{00000002-BD84-4BD9-92FA-5ABA7FE825C6}"/>
            </c:ext>
          </c:extLst>
        </c:ser>
        <c:dLbls>
          <c:showLegendKey val="0"/>
          <c:showVal val="0"/>
          <c:showCatName val="0"/>
          <c:showSerName val="0"/>
          <c:showPercent val="0"/>
          <c:showBubbleSize val="0"/>
        </c:dLbls>
        <c:gapWidth val="55"/>
        <c:overlap val="100"/>
        <c:axId val="66831104"/>
        <c:axId val="66833024"/>
      </c:barChart>
      <c:catAx>
        <c:axId val="66831104"/>
        <c:scaling>
          <c:orientation val="minMax"/>
        </c:scaling>
        <c:delete val="0"/>
        <c:axPos val="b"/>
        <c:title>
          <c:tx>
            <c:rich>
              <a:bodyPr/>
              <a:lstStyle/>
              <a:p>
                <a:pPr>
                  <a:defRPr/>
                </a:pPr>
                <a:r>
                  <a:rPr lang="en-GB"/>
                  <a:t>Member State</a:t>
                </a:r>
              </a:p>
            </c:rich>
          </c:tx>
          <c:overlay val="0"/>
        </c:title>
        <c:numFmt formatCode="General" sourceLinked="0"/>
        <c:majorTickMark val="none"/>
        <c:minorTickMark val="none"/>
        <c:tickLblPos val="nextTo"/>
        <c:crossAx val="66833024"/>
        <c:crosses val="autoZero"/>
        <c:auto val="1"/>
        <c:lblAlgn val="ctr"/>
        <c:lblOffset val="100"/>
        <c:noMultiLvlLbl val="0"/>
      </c:catAx>
      <c:valAx>
        <c:axId val="66833024"/>
        <c:scaling>
          <c:orientation val="minMax"/>
          <c:max val="4"/>
          <c:min val="1"/>
        </c:scaling>
        <c:delete val="0"/>
        <c:axPos val="l"/>
        <c:title>
          <c:tx>
            <c:rich>
              <a:bodyPr/>
              <a:lstStyle/>
              <a:p>
                <a:pPr>
                  <a:defRPr/>
                </a:pPr>
                <a:r>
                  <a:rPr lang="en-GB"/>
                  <a:t>National</a:t>
                </a:r>
                <a:r>
                  <a:rPr lang="en-GB" baseline="0"/>
                  <a:t> Implementation Score (NIS)</a:t>
                </a:r>
                <a:endParaRPr lang="en-GB"/>
              </a:p>
            </c:rich>
          </c:tx>
          <c:overlay val="0"/>
        </c:title>
        <c:numFmt formatCode="0.0" sourceLinked="1"/>
        <c:majorTickMark val="none"/>
        <c:minorTickMark val="none"/>
        <c:tickLblPos val="nextTo"/>
        <c:crossAx val="66831104"/>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75000"/>
              </a:schemeClr>
            </a:solidFill>
          </c:spPr>
          <c:invertIfNegative val="0"/>
          <c:errBars>
            <c:errBarType val="both"/>
            <c:errValType val="cust"/>
            <c:noEndCap val="0"/>
            <c:plus>
              <c:numRef>
                <c:f>Sheet7!$D$2:$D$16</c:f>
                <c:numCache>
                  <c:formatCode>General</c:formatCode>
                  <c:ptCount val="15"/>
                  <c:pt idx="0">
                    <c:v>4.9200000000000021E-2</c:v>
                  </c:pt>
                  <c:pt idx="1">
                    <c:v>3.9199999999999999E-2</c:v>
                  </c:pt>
                  <c:pt idx="2">
                    <c:v>2.1700000000000001E-2</c:v>
                  </c:pt>
                  <c:pt idx="3">
                    <c:v>4.2400000000000014E-2</c:v>
                  </c:pt>
                  <c:pt idx="4">
                    <c:v>1.6600000000000201E-2</c:v>
                  </c:pt>
                  <c:pt idx="5">
                    <c:v>2.2600000000000012E-2</c:v>
                  </c:pt>
                  <c:pt idx="6">
                    <c:v>8.5200000000000026E-2</c:v>
                  </c:pt>
                  <c:pt idx="7">
                    <c:v>2.0600000000000011E-2</c:v>
                  </c:pt>
                  <c:pt idx="8">
                    <c:v>5.8000000000000013E-3</c:v>
                  </c:pt>
                  <c:pt idx="9">
                    <c:v>9.4000000000000247E-3</c:v>
                  </c:pt>
                  <c:pt idx="10">
                    <c:v>3.8199999999999998E-2</c:v>
                  </c:pt>
                  <c:pt idx="11">
                    <c:v>2.7000000000000422E-3</c:v>
                  </c:pt>
                  <c:pt idx="12">
                    <c:v>6.1000000000000004E-3</c:v>
                  </c:pt>
                  <c:pt idx="13">
                    <c:v>2.5999999999999999E-3</c:v>
                  </c:pt>
                  <c:pt idx="14">
                    <c:v>2.3400000000000001E-2</c:v>
                  </c:pt>
                </c:numCache>
              </c:numRef>
            </c:plus>
            <c:minus>
              <c:numRef>
                <c:f>Sheet7!$D$2:$D$16</c:f>
                <c:numCache>
                  <c:formatCode>General</c:formatCode>
                  <c:ptCount val="15"/>
                  <c:pt idx="0">
                    <c:v>4.9200000000000021E-2</c:v>
                  </c:pt>
                  <c:pt idx="1">
                    <c:v>3.9199999999999999E-2</c:v>
                  </c:pt>
                  <c:pt idx="2">
                    <c:v>2.1700000000000001E-2</c:v>
                  </c:pt>
                  <c:pt idx="3">
                    <c:v>4.2400000000000014E-2</c:v>
                  </c:pt>
                  <c:pt idx="4">
                    <c:v>1.6600000000000201E-2</c:v>
                  </c:pt>
                  <c:pt idx="5">
                    <c:v>2.2600000000000012E-2</c:v>
                  </c:pt>
                  <c:pt idx="6">
                    <c:v>8.5200000000000026E-2</c:v>
                  </c:pt>
                  <c:pt idx="7">
                    <c:v>2.0600000000000011E-2</c:v>
                  </c:pt>
                  <c:pt idx="8">
                    <c:v>5.8000000000000013E-3</c:v>
                  </c:pt>
                  <c:pt idx="9">
                    <c:v>9.4000000000000247E-3</c:v>
                  </c:pt>
                  <c:pt idx="10">
                    <c:v>3.8199999999999998E-2</c:v>
                  </c:pt>
                  <c:pt idx="11">
                    <c:v>2.7000000000000422E-3</c:v>
                  </c:pt>
                  <c:pt idx="12">
                    <c:v>6.1000000000000004E-3</c:v>
                  </c:pt>
                  <c:pt idx="13">
                    <c:v>2.5999999999999999E-3</c:v>
                  </c:pt>
                  <c:pt idx="14">
                    <c:v>2.3400000000000001E-2</c:v>
                  </c:pt>
                </c:numCache>
              </c:numRef>
            </c:minus>
          </c:errBars>
          <c:cat>
            <c:strRef>
              <c:f>Sheet7!$B$2:$B$16</c:f>
              <c:strCache>
                <c:ptCount val="15"/>
                <c:pt idx="0">
                  <c:v>Cyprus</c:v>
                </c:pt>
                <c:pt idx="1">
                  <c:v>Romania</c:v>
                </c:pt>
                <c:pt idx="2">
                  <c:v>Bulgaria</c:v>
                </c:pt>
                <c:pt idx="3">
                  <c:v>Greece</c:v>
                </c:pt>
                <c:pt idx="4">
                  <c:v>Estonia</c:v>
                </c:pt>
                <c:pt idx="5">
                  <c:v>Latvia</c:v>
                </c:pt>
                <c:pt idx="6">
                  <c:v>Lithuania</c:v>
                </c:pt>
                <c:pt idx="7">
                  <c:v>Slovakia</c:v>
                </c:pt>
                <c:pt idx="8">
                  <c:v>Hungary</c:v>
                </c:pt>
                <c:pt idx="9">
                  <c:v>Poland</c:v>
                </c:pt>
                <c:pt idx="10">
                  <c:v>Slovenia</c:v>
                </c:pt>
                <c:pt idx="11">
                  <c:v>Czech Republic</c:v>
                </c:pt>
                <c:pt idx="12">
                  <c:v>Austria</c:v>
                </c:pt>
                <c:pt idx="13">
                  <c:v>Italy</c:v>
                </c:pt>
                <c:pt idx="14">
                  <c:v>Switzerland</c:v>
                </c:pt>
              </c:strCache>
            </c:strRef>
          </c:cat>
          <c:val>
            <c:numRef>
              <c:f>Sheet7!$C$2:$C$16</c:f>
              <c:numCache>
                <c:formatCode>General</c:formatCode>
                <c:ptCount val="15"/>
                <c:pt idx="0">
                  <c:v>0.95809999999999995</c:v>
                </c:pt>
                <c:pt idx="1">
                  <c:v>1.0243</c:v>
                </c:pt>
                <c:pt idx="2">
                  <c:v>0.99249999999999949</c:v>
                </c:pt>
                <c:pt idx="3">
                  <c:v>1.0242</c:v>
                </c:pt>
                <c:pt idx="4">
                  <c:v>0.95680000000000065</c:v>
                </c:pt>
                <c:pt idx="5">
                  <c:v>0.97560000000000824</c:v>
                </c:pt>
                <c:pt idx="6">
                  <c:v>0.94110000000000005</c:v>
                </c:pt>
                <c:pt idx="7">
                  <c:v>0.94780000000000064</c:v>
                </c:pt>
                <c:pt idx="8">
                  <c:v>0.9974999999999995</c:v>
                </c:pt>
                <c:pt idx="9">
                  <c:v>0.97319999999999995</c:v>
                </c:pt>
                <c:pt idx="10">
                  <c:v>0.90920000000000001</c:v>
                </c:pt>
                <c:pt idx="11">
                  <c:v>0.97260000000000801</c:v>
                </c:pt>
                <c:pt idx="12">
                  <c:v>0.95690000000000064</c:v>
                </c:pt>
                <c:pt idx="13">
                  <c:v>1.0024999999999857</c:v>
                </c:pt>
                <c:pt idx="14">
                  <c:v>0.94690000000000063</c:v>
                </c:pt>
              </c:numCache>
            </c:numRef>
          </c:val>
          <c:extLst>
            <c:ext xmlns:c16="http://schemas.microsoft.com/office/drawing/2014/chart" uri="{C3380CC4-5D6E-409C-BE32-E72D297353CC}">
              <c16:uniqueId val="{00000000-CFE9-4397-ABB1-79132C88D1F1}"/>
            </c:ext>
          </c:extLst>
        </c:ser>
        <c:dLbls>
          <c:showLegendKey val="0"/>
          <c:showVal val="0"/>
          <c:showCatName val="0"/>
          <c:showSerName val="0"/>
          <c:showPercent val="0"/>
          <c:showBubbleSize val="0"/>
        </c:dLbls>
        <c:gapWidth val="150"/>
        <c:axId val="77053952"/>
        <c:axId val="77055488"/>
      </c:barChart>
      <c:catAx>
        <c:axId val="77053952"/>
        <c:scaling>
          <c:orientation val="minMax"/>
        </c:scaling>
        <c:delete val="0"/>
        <c:axPos val="l"/>
        <c:numFmt formatCode="General" sourceLinked="0"/>
        <c:majorTickMark val="out"/>
        <c:minorTickMark val="none"/>
        <c:tickLblPos val="nextTo"/>
        <c:crossAx val="77055488"/>
        <c:crossesAt val="1"/>
        <c:auto val="1"/>
        <c:lblAlgn val="ctr"/>
        <c:lblOffset val="100"/>
        <c:noMultiLvlLbl val="0"/>
      </c:catAx>
      <c:valAx>
        <c:axId val="77055488"/>
        <c:scaling>
          <c:orientation val="minMax"/>
          <c:max val="1.1500000000000001"/>
          <c:min val="0.85000000000000064"/>
        </c:scaling>
        <c:delete val="0"/>
        <c:axPos val="b"/>
        <c:title>
          <c:tx>
            <c:rich>
              <a:bodyPr/>
              <a:lstStyle/>
              <a:p>
                <a:pPr>
                  <a:defRPr/>
                </a:pPr>
                <a:r>
                  <a:rPr lang="en-US"/>
                  <a:t>Multiplicative trend slope</a:t>
                </a:r>
              </a:p>
            </c:rich>
          </c:tx>
          <c:overlay val="0"/>
        </c:title>
        <c:numFmt formatCode="General" sourceLinked="1"/>
        <c:majorTickMark val="out"/>
        <c:minorTickMark val="none"/>
        <c:tickLblPos val="nextTo"/>
        <c:crossAx val="77053952"/>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Sheet3!$D$1</c:f>
              <c:strCache>
                <c:ptCount val="1"/>
                <c:pt idx="0">
                  <c:v>Slope Multiplicative</c:v>
                </c:pt>
              </c:strCache>
            </c:strRef>
          </c:tx>
          <c:spPr>
            <a:solidFill>
              <a:prstClr val="white">
                <a:lumMod val="85000"/>
              </a:prstClr>
            </a:solidFill>
          </c:spPr>
          <c:invertIfNegative val="0"/>
          <c:dPt>
            <c:idx val="2"/>
            <c:invertIfNegative val="0"/>
            <c:bubble3D val="0"/>
            <c:spPr>
              <a:solidFill>
                <a:schemeClr val="bg1">
                  <a:lumMod val="50000"/>
                </a:schemeClr>
              </a:solidFill>
            </c:spPr>
            <c:extLst>
              <c:ext xmlns:c16="http://schemas.microsoft.com/office/drawing/2014/chart" uri="{C3380CC4-5D6E-409C-BE32-E72D297353CC}">
                <c16:uniqueId val="{00000001-56FE-46DF-9C8E-B51830BD7BA1}"/>
              </c:ext>
            </c:extLst>
          </c:dPt>
          <c:dPt>
            <c:idx val="4"/>
            <c:invertIfNegative val="0"/>
            <c:bubble3D val="0"/>
            <c:spPr>
              <a:solidFill>
                <a:schemeClr val="bg1">
                  <a:lumMod val="50000"/>
                </a:schemeClr>
              </a:solidFill>
            </c:spPr>
            <c:extLst>
              <c:ext xmlns:c16="http://schemas.microsoft.com/office/drawing/2014/chart" uri="{C3380CC4-5D6E-409C-BE32-E72D297353CC}">
                <c16:uniqueId val="{00000003-56FE-46DF-9C8E-B51830BD7BA1}"/>
              </c:ext>
            </c:extLst>
          </c:dPt>
          <c:dPt>
            <c:idx val="5"/>
            <c:invertIfNegative val="0"/>
            <c:bubble3D val="0"/>
            <c:spPr>
              <a:solidFill>
                <a:schemeClr val="bg1">
                  <a:lumMod val="50000"/>
                </a:schemeClr>
              </a:solidFill>
            </c:spPr>
            <c:extLst>
              <c:ext xmlns:c16="http://schemas.microsoft.com/office/drawing/2014/chart" uri="{C3380CC4-5D6E-409C-BE32-E72D297353CC}">
                <c16:uniqueId val="{00000005-56FE-46DF-9C8E-B51830BD7BA1}"/>
              </c:ext>
            </c:extLst>
          </c:dPt>
          <c:dPt>
            <c:idx val="11"/>
            <c:invertIfNegative val="0"/>
            <c:bubble3D val="0"/>
            <c:spPr>
              <a:solidFill>
                <a:schemeClr val="bg1">
                  <a:lumMod val="50000"/>
                </a:schemeClr>
              </a:solidFill>
            </c:spPr>
            <c:extLst>
              <c:ext xmlns:c16="http://schemas.microsoft.com/office/drawing/2014/chart" uri="{C3380CC4-5D6E-409C-BE32-E72D297353CC}">
                <c16:uniqueId val="{00000007-56FE-46DF-9C8E-B51830BD7BA1}"/>
              </c:ext>
            </c:extLst>
          </c:dPt>
          <c:dPt>
            <c:idx val="13"/>
            <c:invertIfNegative val="0"/>
            <c:bubble3D val="0"/>
            <c:spPr>
              <a:solidFill>
                <a:schemeClr val="bg1">
                  <a:lumMod val="50000"/>
                </a:schemeClr>
              </a:solidFill>
            </c:spPr>
            <c:extLst>
              <c:ext xmlns:c16="http://schemas.microsoft.com/office/drawing/2014/chart" uri="{C3380CC4-5D6E-409C-BE32-E72D297353CC}">
                <c16:uniqueId val="{00000009-56FE-46DF-9C8E-B51830BD7BA1}"/>
              </c:ext>
            </c:extLst>
          </c:dPt>
          <c:dPt>
            <c:idx val="20"/>
            <c:invertIfNegative val="0"/>
            <c:bubble3D val="0"/>
            <c:spPr>
              <a:solidFill>
                <a:schemeClr val="bg1">
                  <a:lumMod val="50000"/>
                </a:schemeClr>
              </a:solidFill>
            </c:spPr>
            <c:extLst>
              <c:ext xmlns:c16="http://schemas.microsoft.com/office/drawing/2014/chart" uri="{C3380CC4-5D6E-409C-BE32-E72D297353CC}">
                <c16:uniqueId val="{0000000B-56FE-46DF-9C8E-B51830BD7BA1}"/>
              </c:ext>
            </c:extLst>
          </c:dPt>
          <c:dPt>
            <c:idx val="21"/>
            <c:invertIfNegative val="0"/>
            <c:bubble3D val="0"/>
            <c:spPr>
              <a:solidFill>
                <a:schemeClr val="bg1">
                  <a:lumMod val="50000"/>
                </a:schemeClr>
              </a:solidFill>
            </c:spPr>
            <c:extLst>
              <c:ext xmlns:c16="http://schemas.microsoft.com/office/drawing/2014/chart" uri="{C3380CC4-5D6E-409C-BE32-E72D297353CC}">
                <c16:uniqueId val="{0000000D-56FE-46DF-9C8E-B51830BD7BA1}"/>
              </c:ext>
            </c:extLst>
          </c:dPt>
          <c:errBars>
            <c:errBarType val="both"/>
            <c:errValType val="cust"/>
            <c:noEndCap val="0"/>
            <c:plus>
              <c:numRef>
                <c:f>Sheet3!$E$2:$E$24</c:f>
                <c:numCache>
                  <c:formatCode>General</c:formatCode>
                  <c:ptCount val="23"/>
                  <c:pt idx="0">
                    <c:v>2.3400000000000001E-2</c:v>
                  </c:pt>
                  <c:pt idx="1">
                    <c:v>1.6600000000000201E-2</c:v>
                  </c:pt>
                  <c:pt idx="2">
                    <c:v>8.1000000000000048E-3</c:v>
                  </c:pt>
                  <c:pt idx="3">
                    <c:v>3.8199999999999998E-2</c:v>
                  </c:pt>
                  <c:pt idx="4">
                    <c:v>2.8000000000000052E-3</c:v>
                  </c:pt>
                  <c:pt idx="5">
                    <c:v>4.1999999999999997E-3</c:v>
                  </c:pt>
                  <c:pt idx="6">
                    <c:v>8.5200000000000026E-2</c:v>
                  </c:pt>
                  <c:pt idx="7">
                    <c:v>4.9200000000000021E-2</c:v>
                  </c:pt>
                  <c:pt idx="8">
                    <c:v>6.1000000000000004E-3</c:v>
                  </c:pt>
                  <c:pt idx="9">
                    <c:v>2.0600000000000011E-2</c:v>
                  </c:pt>
                  <c:pt idx="10">
                    <c:v>2.2600000000000012E-2</c:v>
                  </c:pt>
                  <c:pt idx="11">
                    <c:v>5.0000000000000114E-3</c:v>
                  </c:pt>
                  <c:pt idx="12">
                    <c:v>9.4000000000000247E-3</c:v>
                  </c:pt>
                  <c:pt idx="13">
                    <c:v>1.4E-2</c:v>
                  </c:pt>
                  <c:pt idx="14">
                    <c:v>4.2400000000000014E-2</c:v>
                  </c:pt>
                  <c:pt idx="15">
                    <c:v>2.1700000000000001E-2</c:v>
                  </c:pt>
                  <c:pt idx="16">
                    <c:v>2.7000000000000496E-3</c:v>
                  </c:pt>
                  <c:pt idx="17">
                    <c:v>5.8000000000000013E-3</c:v>
                  </c:pt>
                  <c:pt idx="18">
                    <c:v>3.9199999999999999E-2</c:v>
                  </c:pt>
                  <c:pt idx="19">
                    <c:v>2.5999999999999999E-3</c:v>
                  </c:pt>
                  <c:pt idx="20">
                    <c:v>5.7000000000000123E-3</c:v>
                  </c:pt>
                  <c:pt idx="21">
                    <c:v>3.5000000000000491E-3</c:v>
                  </c:pt>
                </c:numCache>
              </c:numRef>
            </c:plus>
            <c:minus>
              <c:numRef>
                <c:f>Sheet3!$E$2:$E$24</c:f>
                <c:numCache>
                  <c:formatCode>General</c:formatCode>
                  <c:ptCount val="23"/>
                  <c:pt idx="0">
                    <c:v>2.3400000000000001E-2</c:v>
                  </c:pt>
                  <c:pt idx="1">
                    <c:v>1.6600000000000201E-2</c:v>
                  </c:pt>
                  <c:pt idx="2">
                    <c:v>8.1000000000000048E-3</c:v>
                  </c:pt>
                  <c:pt idx="3">
                    <c:v>3.8199999999999998E-2</c:v>
                  </c:pt>
                  <c:pt idx="4">
                    <c:v>2.8000000000000052E-3</c:v>
                  </c:pt>
                  <c:pt idx="5">
                    <c:v>4.1999999999999997E-3</c:v>
                  </c:pt>
                  <c:pt idx="6">
                    <c:v>8.5200000000000026E-2</c:v>
                  </c:pt>
                  <c:pt idx="7">
                    <c:v>4.9200000000000021E-2</c:v>
                  </c:pt>
                  <c:pt idx="8">
                    <c:v>6.1000000000000004E-3</c:v>
                  </c:pt>
                  <c:pt idx="9">
                    <c:v>2.0600000000000011E-2</c:v>
                  </c:pt>
                  <c:pt idx="10">
                    <c:v>2.2600000000000012E-2</c:v>
                  </c:pt>
                  <c:pt idx="11">
                    <c:v>5.0000000000000114E-3</c:v>
                  </c:pt>
                  <c:pt idx="12">
                    <c:v>9.4000000000000247E-3</c:v>
                  </c:pt>
                  <c:pt idx="13">
                    <c:v>1.4E-2</c:v>
                  </c:pt>
                  <c:pt idx="14">
                    <c:v>4.2400000000000014E-2</c:v>
                  </c:pt>
                  <c:pt idx="15">
                    <c:v>2.1700000000000001E-2</c:v>
                  </c:pt>
                  <c:pt idx="16">
                    <c:v>2.7000000000000496E-3</c:v>
                  </c:pt>
                  <c:pt idx="17">
                    <c:v>5.8000000000000013E-3</c:v>
                  </c:pt>
                  <c:pt idx="18">
                    <c:v>3.9199999999999999E-2</c:v>
                  </c:pt>
                  <c:pt idx="19">
                    <c:v>2.5999999999999999E-3</c:v>
                  </c:pt>
                  <c:pt idx="20">
                    <c:v>5.7000000000000123E-3</c:v>
                  </c:pt>
                  <c:pt idx="21">
                    <c:v>3.5000000000000491E-3</c:v>
                  </c:pt>
                </c:numCache>
              </c:numRef>
            </c:minus>
          </c:errBars>
          <c:cat>
            <c:strRef>
              <c:f>Sheet3!$C$2:$C$23</c:f>
              <c:strCache>
                <c:ptCount val="22"/>
                <c:pt idx="0">
                  <c:v>Switzerland</c:v>
                </c:pt>
                <c:pt idx="1">
                  <c:v>Estonia</c:v>
                </c:pt>
                <c:pt idx="2">
                  <c:v>Belgium-Wallonia</c:v>
                </c:pt>
                <c:pt idx="3">
                  <c:v>Slovenia</c:v>
                </c:pt>
                <c:pt idx="4">
                  <c:v>United Kingdom</c:v>
                </c:pt>
                <c:pt idx="5">
                  <c:v>Netherlands</c:v>
                </c:pt>
                <c:pt idx="6">
                  <c:v>Lithuania</c:v>
                </c:pt>
                <c:pt idx="7">
                  <c:v>Cyprus</c:v>
                </c:pt>
                <c:pt idx="8">
                  <c:v>Austria</c:v>
                </c:pt>
                <c:pt idx="9">
                  <c:v>Slovakia</c:v>
                </c:pt>
                <c:pt idx="10">
                  <c:v>Latvia</c:v>
                </c:pt>
                <c:pt idx="11">
                  <c:v>Germany</c:v>
                </c:pt>
                <c:pt idx="12">
                  <c:v>Poland</c:v>
                </c:pt>
                <c:pt idx="13">
                  <c:v>Portugal</c:v>
                </c:pt>
                <c:pt idx="14">
                  <c:v>Greece</c:v>
                </c:pt>
                <c:pt idx="15">
                  <c:v>Bulgaria</c:v>
                </c:pt>
                <c:pt idx="16">
                  <c:v>Czech Republic</c:v>
                </c:pt>
                <c:pt idx="17">
                  <c:v>Hungary</c:v>
                </c:pt>
                <c:pt idx="18">
                  <c:v>Romania</c:v>
                </c:pt>
                <c:pt idx="19">
                  <c:v>Italy</c:v>
                </c:pt>
                <c:pt idx="20">
                  <c:v>France</c:v>
                </c:pt>
                <c:pt idx="21">
                  <c:v>Spain</c:v>
                </c:pt>
              </c:strCache>
            </c:strRef>
          </c:cat>
          <c:val>
            <c:numRef>
              <c:f>Sheet3!$D$2:$D$23</c:f>
              <c:numCache>
                <c:formatCode>General</c:formatCode>
                <c:ptCount val="22"/>
                <c:pt idx="0">
                  <c:v>0.94690000000000063</c:v>
                </c:pt>
                <c:pt idx="1">
                  <c:v>0.95680000000000065</c:v>
                </c:pt>
                <c:pt idx="2">
                  <c:v>0.90910000000000002</c:v>
                </c:pt>
                <c:pt idx="3">
                  <c:v>0.90920000000000001</c:v>
                </c:pt>
                <c:pt idx="4">
                  <c:v>0.93730000000000002</c:v>
                </c:pt>
                <c:pt idx="5">
                  <c:v>0.92689999999999995</c:v>
                </c:pt>
                <c:pt idx="6">
                  <c:v>0.94110000000000005</c:v>
                </c:pt>
                <c:pt idx="7">
                  <c:v>0.95809999999999995</c:v>
                </c:pt>
                <c:pt idx="8">
                  <c:v>0.95690000000000064</c:v>
                </c:pt>
                <c:pt idx="9">
                  <c:v>0.94780000000000064</c:v>
                </c:pt>
                <c:pt idx="10">
                  <c:v>0.97560000000000979</c:v>
                </c:pt>
                <c:pt idx="11">
                  <c:v>0.95760000000000944</c:v>
                </c:pt>
                <c:pt idx="12">
                  <c:v>0.97319999999999995</c:v>
                </c:pt>
                <c:pt idx="13">
                  <c:v>0.90129999999999999</c:v>
                </c:pt>
                <c:pt idx="14">
                  <c:v>1.0242</c:v>
                </c:pt>
                <c:pt idx="15">
                  <c:v>0.99249999999999949</c:v>
                </c:pt>
                <c:pt idx="16">
                  <c:v>0.97260000000000946</c:v>
                </c:pt>
                <c:pt idx="17">
                  <c:v>0.9974999999999995</c:v>
                </c:pt>
                <c:pt idx="18">
                  <c:v>1.0243</c:v>
                </c:pt>
                <c:pt idx="19">
                  <c:v>1.0024999999999831</c:v>
                </c:pt>
                <c:pt idx="20">
                  <c:v>0.97980000000000911</c:v>
                </c:pt>
                <c:pt idx="21">
                  <c:v>0.98139999999999949</c:v>
                </c:pt>
              </c:numCache>
            </c:numRef>
          </c:val>
          <c:extLst>
            <c:ext xmlns:c16="http://schemas.microsoft.com/office/drawing/2014/chart" uri="{C3380CC4-5D6E-409C-BE32-E72D297353CC}">
              <c16:uniqueId val="{0000000E-56FE-46DF-9C8E-B51830BD7BA1}"/>
            </c:ext>
          </c:extLst>
        </c:ser>
        <c:dLbls>
          <c:showLegendKey val="0"/>
          <c:showVal val="0"/>
          <c:showCatName val="0"/>
          <c:showSerName val="0"/>
          <c:showPercent val="0"/>
          <c:showBubbleSize val="0"/>
        </c:dLbls>
        <c:gapWidth val="150"/>
        <c:axId val="77964416"/>
        <c:axId val="77965952"/>
      </c:barChart>
      <c:catAx>
        <c:axId val="77964416"/>
        <c:scaling>
          <c:orientation val="minMax"/>
        </c:scaling>
        <c:delete val="0"/>
        <c:axPos val="l"/>
        <c:numFmt formatCode="General" sourceLinked="0"/>
        <c:majorTickMark val="out"/>
        <c:minorTickMark val="none"/>
        <c:tickLblPos val="nextTo"/>
        <c:crossAx val="77965952"/>
        <c:crossesAt val="1"/>
        <c:auto val="1"/>
        <c:lblAlgn val="ctr"/>
        <c:lblOffset val="100"/>
        <c:noMultiLvlLbl val="0"/>
      </c:catAx>
      <c:valAx>
        <c:axId val="77965952"/>
        <c:scaling>
          <c:orientation val="minMax"/>
          <c:max val="1.1500000000000001"/>
          <c:min val="0.85000000000000064"/>
        </c:scaling>
        <c:delete val="0"/>
        <c:axPos val="b"/>
        <c:title>
          <c:tx>
            <c:rich>
              <a:bodyPr/>
              <a:lstStyle/>
              <a:p>
                <a:pPr>
                  <a:defRPr/>
                </a:pPr>
                <a:r>
                  <a:rPr lang="en-GB"/>
                  <a:t>Multiplicative trend slope</a:t>
                </a:r>
              </a:p>
            </c:rich>
          </c:tx>
          <c:overlay val="0"/>
        </c:title>
        <c:numFmt formatCode="General" sourceLinked="1"/>
        <c:majorTickMark val="out"/>
        <c:minorTickMark val="none"/>
        <c:tickLblPos val="nextTo"/>
        <c:crossAx val="77964416"/>
        <c:crosses val="autoZero"/>
        <c:crossBetween val="between"/>
      </c:valAx>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'AIS graph'!$A$2</c:f>
              <c:strCache>
                <c:ptCount val="1"/>
                <c:pt idx="0">
                  <c:v>AIS</c:v>
                </c:pt>
              </c:strCache>
            </c:strRef>
          </c:tx>
          <c:invertIfNegative val="0"/>
          <c:dPt>
            <c:idx val="0"/>
            <c:invertIfNegative val="0"/>
            <c:bubble3D val="0"/>
            <c:spPr>
              <a:solidFill>
                <a:schemeClr val="bg1">
                  <a:lumMod val="75000"/>
                </a:schemeClr>
              </a:solidFill>
            </c:spPr>
            <c:extLst>
              <c:ext xmlns:c16="http://schemas.microsoft.com/office/drawing/2014/chart" uri="{C3380CC4-5D6E-409C-BE32-E72D297353CC}">
                <c16:uniqueId val="{00000001-4C93-485E-86E1-72A10B06D7D6}"/>
              </c:ext>
            </c:extLst>
          </c:dPt>
          <c:dPt>
            <c:idx val="1"/>
            <c:invertIfNegative val="0"/>
            <c:bubble3D val="0"/>
            <c:spPr>
              <a:solidFill>
                <a:schemeClr val="bg1">
                  <a:lumMod val="75000"/>
                </a:schemeClr>
              </a:solidFill>
            </c:spPr>
            <c:extLst>
              <c:ext xmlns:c16="http://schemas.microsoft.com/office/drawing/2014/chart" uri="{C3380CC4-5D6E-409C-BE32-E72D297353CC}">
                <c16:uniqueId val="{00000003-4C93-485E-86E1-72A10B06D7D6}"/>
              </c:ext>
            </c:extLst>
          </c:dPt>
          <c:dPt>
            <c:idx val="2"/>
            <c:invertIfNegative val="0"/>
            <c:bubble3D val="0"/>
            <c:spPr>
              <a:solidFill>
                <a:schemeClr val="bg1">
                  <a:lumMod val="50000"/>
                </a:schemeClr>
              </a:solidFill>
            </c:spPr>
            <c:extLst>
              <c:ext xmlns:c16="http://schemas.microsoft.com/office/drawing/2014/chart" uri="{C3380CC4-5D6E-409C-BE32-E72D297353CC}">
                <c16:uniqueId val="{00000005-4C93-485E-86E1-72A10B06D7D6}"/>
              </c:ext>
            </c:extLst>
          </c:dPt>
          <c:dPt>
            <c:idx val="3"/>
            <c:invertIfNegative val="0"/>
            <c:bubble3D val="0"/>
            <c:spPr>
              <a:solidFill>
                <a:schemeClr val="bg1">
                  <a:lumMod val="75000"/>
                </a:schemeClr>
              </a:solidFill>
            </c:spPr>
            <c:extLst>
              <c:ext xmlns:c16="http://schemas.microsoft.com/office/drawing/2014/chart" uri="{C3380CC4-5D6E-409C-BE32-E72D297353CC}">
                <c16:uniqueId val="{00000007-4C93-485E-86E1-72A10B06D7D6}"/>
              </c:ext>
            </c:extLst>
          </c:dPt>
          <c:dPt>
            <c:idx val="4"/>
            <c:invertIfNegative val="0"/>
            <c:bubble3D val="0"/>
            <c:spPr>
              <a:solidFill>
                <a:schemeClr val="bg1">
                  <a:lumMod val="50000"/>
                </a:schemeClr>
              </a:solidFill>
            </c:spPr>
            <c:extLst>
              <c:ext xmlns:c16="http://schemas.microsoft.com/office/drawing/2014/chart" uri="{C3380CC4-5D6E-409C-BE32-E72D297353CC}">
                <c16:uniqueId val="{00000009-4C93-485E-86E1-72A10B06D7D6}"/>
              </c:ext>
            </c:extLst>
          </c:dPt>
          <c:dPt>
            <c:idx val="5"/>
            <c:invertIfNegative val="0"/>
            <c:bubble3D val="0"/>
            <c:spPr>
              <a:solidFill>
                <a:schemeClr val="bg1">
                  <a:lumMod val="75000"/>
                </a:schemeClr>
              </a:solidFill>
            </c:spPr>
            <c:extLst>
              <c:ext xmlns:c16="http://schemas.microsoft.com/office/drawing/2014/chart" uri="{C3380CC4-5D6E-409C-BE32-E72D297353CC}">
                <c16:uniqueId val="{0000000B-4C93-485E-86E1-72A10B06D7D6}"/>
              </c:ext>
            </c:extLst>
          </c:dPt>
          <c:dPt>
            <c:idx val="6"/>
            <c:invertIfNegative val="0"/>
            <c:bubble3D val="0"/>
            <c:spPr>
              <a:solidFill>
                <a:schemeClr val="bg1">
                  <a:lumMod val="75000"/>
                </a:schemeClr>
              </a:solidFill>
            </c:spPr>
            <c:extLst>
              <c:ext xmlns:c16="http://schemas.microsoft.com/office/drawing/2014/chart" uri="{C3380CC4-5D6E-409C-BE32-E72D297353CC}">
                <c16:uniqueId val="{0000000D-4C93-485E-86E1-72A10B06D7D6}"/>
              </c:ext>
            </c:extLst>
          </c:dPt>
          <c:dPt>
            <c:idx val="7"/>
            <c:invertIfNegative val="0"/>
            <c:bubble3D val="0"/>
            <c:spPr>
              <a:solidFill>
                <a:schemeClr val="bg1">
                  <a:lumMod val="75000"/>
                </a:schemeClr>
              </a:solidFill>
            </c:spPr>
            <c:extLst>
              <c:ext xmlns:c16="http://schemas.microsoft.com/office/drawing/2014/chart" uri="{C3380CC4-5D6E-409C-BE32-E72D297353CC}">
                <c16:uniqueId val="{0000000F-4C93-485E-86E1-72A10B06D7D6}"/>
              </c:ext>
            </c:extLst>
          </c:dPt>
          <c:dPt>
            <c:idx val="8"/>
            <c:invertIfNegative val="0"/>
            <c:bubble3D val="0"/>
            <c:spPr>
              <a:solidFill>
                <a:schemeClr val="bg1">
                  <a:lumMod val="75000"/>
                </a:schemeClr>
              </a:solidFill>
            </c:spPr>
            <c:extLst>
              <c:ext xmlns:c16="http://schemas.microsoft.com/office/drawing/2014/chart" uri="{C3380CC4-5D6E-409C-BE32-E72D297353CC}">
                <c16:uniqueId val="{00000011-4C93-485E-86E1-72A10B06D7D6}"/>
              </c:ext>
            </c:extLst>
          </c:dPt>
          <c:dPt>
            <c:idx val="9"/>
            <c:invertIfNegative val="0"/>
            <c:bubble3D val="0"/>
            <c:spPr>
              <a:solidFill>
                <a:schemeClr val="bg1">
                  <a:lumMod val="75000"/>
                </a:schemeClr>
              </a:solidFill>
            </c:spPr>
            <c:extLst>
              <c:ext xmlns:c16="http://schemas.microsoft.com/office/drawing/2014/chart" uri="{C3380CC4-5D6E-409C-BE32-E72D297353CC}">
                <c16:uniqueId val="{00000013-4C93-485E-86E1-72A10B06D7D6}"/>
              </c:ext>
            </c:extLst>
          </c:dPt>
          <c:cat>
            <c:strRef>
              <c:f>'AIS graph'!$B$1:$K$1</c:f>
              <c:strCache>
                <c:ptCount val="10"/>
                <c:pt idx="0">
                  <c:v>1</c:v>
                </c:pt>
                <c:pt idx="1">
                  <c:v>2</c:v>
                </c:pt>
                <c:pt idx="2">
                  <c:v>3</c:v>
                </c:pt>
                <c:pt idx="3">
                  <c:v>4</c:v>
                </c:pt>
                <c:pt idx="4">
                  <c:v>5</c:v>
                </c:pt>
                <c:pt idx="5">
                  <c:v>6</c:v>
                </c:pt>
                <c:pt idx="6">
                  <c:v>7</c:v>
                </c:pt>
                <c:pt idx="7">
                  <c:v>8</c:v>
                </c:pt>
                <c:pt idx="8">
                  <c:v>9</c:v>
                </c:pt>
                <c:pt idx="9">
                  <c:v>10</c:v>
                </c:pt>
              </c:strCache>
            </c:strRef>
          </c:cat>
          <c:val>
            <c:numRef>
              <c:f>'AIS graph'!$B$2:$K$2</c:f>
              <c:numCache>
                <c:formatCode>0.0</c:formatCode>
                <c:ptCount val="10"/>
                <c:pt idx="0">
                  <c:v>1.5217391304347818</c:v>
                </c:pt>
                <c:pt idx="1">
                  <c:v>3.3636363636363642</c:v>
                </c:pt>
                <c:pt idx="2">
                  <c:v>2.9</c:v>
                </c:pt>
                <c:pt idx="3">
                  <c:v>1</c:v>
                </c:pt>
                <c:pt idx="4">
                  <c:v>1.3636363636363635</c:v>
                </c:pt>
                <c:pt idx="5">
                  <c:v>2.5833333333333401</c:v>
                </c:pt>
                <c:pt idx="6">
                  <c:v>1.6363636363636365</c:v>
                </c:pt>
                <c:pt idx="7">
                  <c:v>1.2857142857142709</c:v>
                </c:pt>
                <c:pt idx="8">
                  <c:v>1.4285714285714286</c:v>
                </c:pt>
                <c:pt idx="9">
                  <c:v>1.4782608695652275</c:v>
                </c:pt>
              </c:numCache>
            </c:numRef>
          </c:val>
          <c:extLst>
            <c:ext xmlns:c16="http://schemas.microsoft.com/office/drawing/2014/chart" uri="{C3380CC4-5D6E-409C-BE32-E72D297353CC}">
              <c16:uniqueId val="{00000014-4C93-485E-86E1-72A10B06D7D6}"/>
            </c:ext>
          </c:extLst>
        </c:ser>
        <c:dLbls>
          <c:showLegendKey val="0"/>
          <c:showVal val="0"/>
          <c:showCatName val="0"/>
          <c:showSerName val="0"/>
          <c:showPercent val="0"/>
          <c:showBubbleSize val="0"/>
        </c:dLbls>
        <c:gapWidth val="150"/>
        <c:axId val="66844544"/>
        <c:axId val="66981888"/>
      </c:barChart>
      <c:catAx>
        <c:axId val="66844544"/>
        <c:scaling>
          <c:orientation val="minMax"/>
        </c:scaling>
        <c:delete val="0"/>
        <c:axPos val="b"/>
        <c:title>
          <c:tx>
            <c:rich>
              <a:bodyPr/>
              <a:lstStyle/>
              <a:p>
                <a:pPr>
                  <a:defRPr/>
                </a:pPr>
                <a:r>
                  <a:rPr lang="en-GB"/>
                  <a:t>Action Code</a:t>
                </a:r>
              </a:p>
            </c:rich>
          </c:tx>
          <c:overlay val="0"/>
        </c:title>
        <c:numFmt formatCode="General" sourceLinked="0"/>
        <c:majorTickMark val="none"/>
        <c:minorTickMark val="none"/>
        <c:tickLblPos val="nextTo"/>
        <c:crossAx val="66981888"/>
        <c:crosses val="autoZero"/>
        <c:auto val="1"/>
        <c:lblAlgn val="ctr"/>
        <c:lblOffset val="100"/>
        <c:noMultiLvlLbl val="0"/>
      </c:catAx>
      <c:valAx>
        <c:axId val="66981888"/>
        <c:scaling>
          <c:orientation val="minMax"/>
        </c:scaling>
        <c:delete val="0"/>
        <c:axPos val="l"/>
        <c:title>
          <c:tx>
            <c:rich>
              <a:bodyPr/>
              <a:lstStyle/>
              <a:p>
                <a:pPr>
                  <a:defRPr/>
                </a:pPr>
                <a:r>
                  <a:rPr lang="en-US"/>
                  <a:t>Average Implementation Score (AIS)</a:t>
                </a:r>
              </a:p>
            </c:rich>
          </c:tx>
          <c:overlay val="0"/>
        </c:title>
        <c:numFmt formatCode="0.0" sourceLinked="1"/>
        <c:majorTickMark val="out"/>
        <c:minorTickMark val="none"/>
        <c:tickLblPos val="nextTo"/>
        <c:crossAx val="66844544"/>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211036203696948E-2"/>
          <c:y val="3.2773786488368664E-2"/>
          <c:w val="0.87444178173380505"/>
          <c:h val="0.74638670166229226"/>
        </c:manualLayout>
      </c:layout>
      <c:lineChart>
        <c:grouping val="standard"/>
        <c:varyColors val="0"/>
        <c:ser>
          <c:idx val="1"/>
          <c:order val="0"/>
          <c:tx>
            <c:strRef>
              <c:f>'Western population'!$A$2</c:f>
              <c:strCache>
                <c:ptCount val="1"/>
                <c:pt idx="0">
                  <c:v>Belgium-Wallonia</c:v>
                </c:pt>
              </c:strCache>
            </c:strRef>
          </c:tx>
          <c:spPr>
            <a:ln>
              <a:solidFill>
                <a:schemeClr val="bg1">
                  <a:lumMod val="75000"/>
                </a:schemeClr>
              </a:solidFill>
              <a:prstDash val="dash"/>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population'!$B$2:$AX$2</c:f>
              <c:numCache>
                <c:formatCode>General</c:formatCode>
                <c:ptCount val="49"/>
                <c:pt idx="24">
                  <c:v>100</c:v>
                </c:pt>
                <c:pt idx="25">
                  <c:v>72</c:v>
                </c:pt>
                <c:pt idx="26">
                  <c:v>65</c:v>
                </c:pt>
                <c:pt idx="27">
                  <c:v>64</c:v>
                </c:pt>
                <c:pt idx="28">
                  <c:v>52</c:v>
                </c:pt>
                <c:pt idx="29">
                  <c:v>54</c:v>
                </c:pt>
                <c:pt idx="30">
                  <c:v>45</c:v>
                </c:pt>
                <c:pt idx="31">
                  <c:v>36</c:v>
                </c:pt>
                <c:pt idx="32">
                  <c:v>45</c:v>
                </c:pt>
                <c:pt idx="33">
                  <c:v>41</c:v>
                </c:pt>
                <c:pt idx="34">
                  <c:v>31</c:v>
                </c:pt>
                <c:pt idx="35">
                  <c:v>35</c:v>
                </c:pt>
                <c:pt idx="36">
                  <c:v>29</c:v>
                </c:pt>
                <c:pt idx="37">
                  <c:v>18</c:v>
                </c:pt>
                <c:pt idx="38">
                  <c:v>37</c:v>
                </c:pt>
                <c:pt idx="39">
                  <c:v>21</c:v>
                </c:pt>
                <c:pt idx="40">
                  <c:v>21</c:v>
                </c:pt>
                <c:pt idx="41">
                  <c:v>30</c:v>
                </c:pt>
                <c:pt idx="42">
                  <c:v>17</c:v>
                </c:pt>
                <c:pt idx="43">
                  <c:v>13</c:v>
                </c:pt>
                <c:pt idx="44">
                  <c:v>10</c:v>
                </c:pt>
                <c:pt idx="45">
                  <c:v>9</c:v>
                </c:pt>
                <c:pt idx="46">
                  <c:v>5</c:v>
                </c:pt>
                <c:pt idx="47">
                  <c:v>10</c:v>
                </c:pt>
                <c:pt idx="48">
                  <c:v>12</c:v>
                </c:pt>
              </c:numCache>
            </c:numRef>
          </c:val>
          <c:smooth val="0"/>
          <c:extLst>
            <c:ext xmlns:c16="http://schemas.microsoft.com/office/drawing/2014/chart" uri="{C3380CC4-5D6E-409C-BE32-E72D297353CC}">
              <c16:uniqueId val="{00000000-A6FA-4428-8BEF-51505C0FD8A1}"/>
            </c:ext>
          </c:extLst>
        </c:ser>
        <c:ser>
          <c:idx val="2"/>
          <c:order val="1"/>
          <c:tx>
            <c:strRef>
              <c:f>'Western population'!$A$3</c:f>
              <c:strCache>
                <c:ptCount val="1"/>
                <c:pt idx="0">
                  <c:v>France</c:v>
                </c:pt>
              </c:strCache>
            </c:strRef>
          </c:tx>
          <c:spPr>
            <a:ln>
              <a:solidFill>
                <a:schemeClr val="bg1">
                  <a:lumMod val="75000"/>
                </a:schemeClr>
              </a:solidFill>
              <a:prstDash val="solid"/>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population'!$B$3:$AX$3</c:f>
              <c:numCache>
                <c:formatCode>General</c:formatCode>
                <c:ptCount val="49"/>
                <c:pt idx="23">
                  <c:v>100</c:v>
                </c:pt>
                <c:pt idx="24">
                  <c:v>111</c:v>
                </c:pt>
                <c:pt idx="25">
                  <c:v>89</c:v>
                </c:pt>
                <c:pt idx="26">
                  <c:v>108</c:v>
                </c:pt>
                <c:pt idx="27">
                  <c:v>111</c:v>
                </c:pt>
                <c:pt idx="28">
                  <c:v>106</c:v>
                </c:pt>
                <c:pt idx="29">
                  <c:v>88</c:v>
                </c:pt>
                <c:pt idx="30">
                  <c:v>89</c:v>
                </c:pt>
                <c:pt idx="31">
                  <c:v>98</c:v>
                </c:pt>
                <c:pt idx="32">
                  <c:v>106</c:v>
                </c:pt>
                <c:pt idx="33">
                  <c:v>112</c:v>
                </c:pt>
                <c:pt idx="34">
                  <c:v>115</c:v>
                </c:pt>
                <c:pt idx="35">
                  <c:v>110</c:v>
                </c:pt>
                <c:pt idx="36">
                  <c:v>90</c:v>
                </c:pt>
                <c:pt idx="37">
                  <c:v>93</c:v>
                </c:pt>
                <c:pt idx="38">
                  <c:v>95</c:v>
                </c:pt>
                <c:pt idx="39">
                  <c:v>97</c:v>
                </c:pt>
                <c:pt idx="40">
                  <c:v>85</c:v>
                </c:pt>
                <c:pt idx="41">
                  <c:v>86</c:v>
                </c:pt>
                <c:pt idx="42">
                  <c:v>83</c:v>
                </c:pt>
                <c:pt idx="43">
                  <c:v>75</c:v>
                </c:pt>
                <c:pt idx="44">
                  <c:v>77</c:v>
                </c:pt>
                <c:pt idx="45">
                  <c:v>74</c:v>
                </c:pt>
                <c:pt idx="46">
                  <c:v>63</c:v>
                </c:pt>
                <c:pt idx="47">
                  <c:v>57</c:v>
                </c:pt>
                <c:pt idx="48">
                  <c:v>57</c:v>
                </c:pt>
              </c:numCache>
            </c:numRef>
          </c:val>
          <c:smooth val="0"/>
          <c:extLst>
            <c:ext xmlns:c16="http://schemas.microsoft.com/office/drawing/2014/chart" uri="{C3380CC4-5D6E-409C-BE32-E72D297353CC}">
              <c16:uniqueId val="{00000001-A6FA-4428-8BEF-51505C0FD8A1}"/>
            </c:ext>
          </c:extLst>
        </c:ser>
        <c:ser>
          <c:idx val="3"/>
          <c:order val="2"/>
          <c:tx>
            <c:strRef>
              <c:f>'Western population'!$A$4</c:f>
              <c:strCache>
                <c:ptCount val="1"/>
                <c:pt idx="0">
                  <c:v>Germany</c:v>
                </c:pt>
              </c:strCache>
            </c:strRef>
          </c:tx>
          <c:spPr>
            <a:ln>
              <a:solidFill>
                <a:schemeClr val="tx1"/>
              </a:solidFill>
              <a:prstDash val="sysDot"/>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population'!$B$4:$AX$4</c:f>
              <c:numCache>
                <c:formatCode>General</c:formatCode>
                <c:ptCount val="49"/>
                <c:pt idx="23">
                  <c:v>100</c:v>
                </c:pt>
                <c:pt idx="24">
                  <c:v>97</c:v>
                </c:pt>
                <c:pt idx="25">
                  <c:v>90</c:v>
                </c:pt>
                <c:pt idx="26">
                  <c:v>115</c:v>
                </c:pt>
                <c:pt idx="27">
                  <c:v>124</c:v>
                </c:pt>
                <c:pt idx="28">
                  <c:v>115</c:v>
                </c:pt>
                <c:pt idx="29">
                  <c:v>134</c:v>
                </c:pt>
                <c:pt idx="30">
                  <c:v>116</c:v>
                </c:pt>
                <c:pt idx="31">
                  <c:v>111</c:v>
                </c:pt>
                <c:pt idx="32">
                  <c:v>106</c:v>
                </c:pt>
                <c:pt idx="33">
                  <c:v>113</c:v>
                </c:pt>
                <c:pt idx="34">
                  <c:v>97</c:v>
                </c:pt>
                <c:pt idx="35">
                  <c:v>96</c:v>
                </c:pt>
                <c:pt idx="36">
                  <c:v>83</c:v>
                </c:pt>
                <c:pt idx="37">
                  <c:v>74</c:v>
                </c:pt>
                <c:pt idx="38">
                  <c:v>95</c:v>
                </c:pt>
                <c:pt idx="39">
                  <c:v>71</c:v>
                </c:pt>
                <c:pt idx="40">
                  <c:v>63</c:v>
                </c:pt>
                <c:pt idx="41">
                  <c:v>73</c:v>
                </c:pt>
                <c:pt idx="42">
                  <c:v>64</c:v>
                </c:pt>
                <c:pt idx="43">
                  <c:v>56</c:v>
                </c:pt>
                <c:pt idx="44">
                  <c:v>50</c:v>
                </c:pt>
                <c:pt idx="45">
                  <c:v>40</c:v>
                </c:pt>
                <c:pt idx="46">
                  <c:v>41</c:v>
                </c:pt>
                <c:pt idx="47">
                  <c:v>45</c:v>
                </c:pt>
                <c:pt idx="48">
                  <c:v>41</c:v>
                </c:pt>
              </c:numCache>
            </c:numRef>
          </c:val>
          <c:smooth val="0"/>
          <c:extLst>
            <c:ext xmlns:c16="http://schemas.microsoft.com/office/drawing/2014/chart" uri="{C3380CC4-5D6E-409C-BE32-E72D297353CC}">
              <c16:uniqueId val="{00000002-A6FA-4428-8BEF-51505C0FD8A1}"/>
            </c:ext>
          </c:extLst>
        </c:ser>
        <c:ser>
          <c:idx val="4"/>
          <c:order val="3"/>
          <c:tx>
            <c:strRef>
              <c:f>'Western population'!$A$5</c:f>
              <c:strCache>
                <c:ptCount val="1"/>
                <c:pt idx="0">
                  <c:v>Netherlands</c:v>
                </c:pt>
              </c:strCache>
            </c:strRef>
          </c:tx>
          <c:spPr>
            <a:ln>
              <a:solidFill>
                <a:schemeClr val="tx1"/>
              </a:solidFill>
              <a:prstDash val="lgDash"/>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population'!$B$5:$AX$5</c:f>
              <c:numCache>
                <c:formatCode>General</c:formatCode>
                <c:ptCount val="49"/>
                <c:pt idx="18">
                  <c:v>150</c:v>
                </c:pt>
                <c:pt idx="19">
                  <c:v>141</c:v>
                </c:pt>
                <c:pt idx="20">
                  <c:v>128</c:v>
                </c:pt>
                <c:pt idx="21">
                  <c:v>119</c:v>
                </c:pt>
                <c:pt idx="22">
                  <c:v>101</c:v>
                </c:pt>
                <c:pt idx="23">
                  <c:v>97</c:v>
                </c:pt>
                <c:pt idx="24">
                  <c:v>100</c:v>
                </c:pt>
                <c:pt idx="25">
                  <c:v>78</c:v>
                </c:pt>
                <c:pt idx="26">
                  <c:v>76</c:v>
                </c:pt>
                <c:pt idx="27">
                  <c:v>77</c:v>
                </c:pt>
                <c:pt idx="28">
                  <c:v>63</c:v>
                </c:pt>
                <c:pt idx="29">
                  <c:v>74</c:v>
                </c:pt>
                <c:pt idx="30">
                  <c:v>72</c:v>
                </c:pt>
                <c:pt idx="31">
                  <c:v>65</c:v>
                </c:pt>
                <c:pt idx="32">
                  <c:v>55</c:v>
                </c:pt>
                <c:pt idx="33">
                  <c:v>44</c:v>
                </c:pt>
                <c:pt idx="34">
                  <c:v>42</c:v>
                </c:pt>
                <c:pt idx="35">
                  <c:v>36</c:v>
                </c:pt>
                <c:pt idx="36">
                  <c:v>33</c:v>
                </c:pt>
                <c:pt idx="37">
                  <c:v>32</c:v>
                </c:pt>
                <c:pt idx="38">
                  <c:v>32</c:v>
                </c:pt>
                <c:pt idx="39">
                  <c:v>33</c:v>
                </c:pt>
                <c:pt idx="40">
                  <c:v>34</c:v>
                </c:pt>
                <c:pt idx="41">
                  <c:v>36</c:v>
                </c:pt>
                <c:pt idx="42">
                  <c:v>27</c:v>
                </c:pt>
                <c:pt idx="43">
                  <c:v>22</c:v>
                </c:pt>
                <c:pt idx="44">
                  <c:v>21</c:v>
                </c:pt>
                <c:pt idx="45">
                  <c:v>20</c:v>
                </c:pt>
                <c:pt idx="46">
                  <c:v>18</c:v>
                </c:pt>
                <c:pt idx="47">
                  <c:v>13</c:v>
                </c:pt>
                <c:pt idx="48">
                  <c:v>13</c:v>
                </c:pt>
              </c:numCache>
            </c:numRef>
          </c:val>
          <c:smooth val="0"/>
          <c:extLst>
            <c:ext xmlns:c16="http://schemas.microsoft.com/office/drawing/2014/chart" uri="{C3380CC4-5D6E-409C-BE32-E72D297353CC}">
              <c16:uniqueId val="{00000003-A6FA-4428-8BEF-51505C0FD8A1}"/>
            </c:ext>
          </c:extLst>
        </c:ser>
        <c:ser>
          <c:idx val="5"/>
          <c:order val="4"/>
          <c:tx>
            <c:strRef>
              <c:f>'Western population'!$A$6</c:f>
              <c:strCache>
                <c:ptCount val="1"/>
                <c:pt idx="0">
                  <c:v>Portugal</c:v>
                </c:pt>
              </c:strCache>
            </c:strRef>
          </c:tx>
          <c:spPr>
            <a:ln>
              <a:solidFill>
                <a:prstClr val="black"/>
              </a:solidFill>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population'!$B$6:$AX$6</c:f>
              <c:numCache>
                <c:formatCode>General</c:formatCode>
                <c:ptCount val="49"/>
                <c:pt idx="38">
                  <c:v>100</c:v>
                </c:pt>
                <c:pt idx="39">
                  <c:v>91</c:v>
                </c:pt>
                <c:pt idx="40">
                  <c:v>79</c:v>
                </c:pt>
                <c:pt idx="41">
                  <c:v>70</c:v>
                </c:pt>
                <c:pt idx="42">
                  <c:v>56</c:v>
                </c:pt>
                <c:pt idx="43">
                  <c:v>48</c:v>
                </c:pt>
                <c:pt idx="44">
                  <c:v>59</c:v>
                </c:pt>
                <c:pt idx="45">
                  <c:v>48</c:v>
                </c:pt>
                <c:pt idx="46">
                  <c:v>36</c:v>
                </c:pt>
                <c:pt idx="47">
                  <c:v>30</c:v>
                </c:pt>
                <c:pt idx="48">
                  <c:v>46</c:v>
                </c:pt>
              </c:numCache>
            </c:numRef>
          </c:val>
          <c:smooth val="0"/>
          <c:extLst>
            <c:ext xmlns:c16="http://schemas.microsoft.com/office/drawing/2014/chart" uri="{C3380CC4-5D6E-409C-BE32-E72D297353CC}">
              <c16:uniqueId val="{00000004-A6FA-4428-8BEF-51505C0FD8A1}"/>
            </c:ext>
          </c:extLst>
        </c:ser>
        <c:ser>
          <c:idx val="6"/>
          <c:order val="5"/>
          <c:tx>
            <c:strRef>
              <c:f>'Western population'!$A$7</c:f>
              <c:strCache>
                <c:ptCount val="1"/>
                <c:pt idx="0">
                  <c:v>Spain</c:v>
                </c:pt>
              </c:strCache>
            </c:strRef>
          </c:tx>
          <c:spPr>
            <a:ln>
              <a:solidFill>
                <a:prstClr val="black"/>
              </a:solidFill>
              <a:prstDash val="sysDash"/>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population'!$B$7:$AX$7</c:f>
              <c:numCache>
                <c:formatCode>General</c:formatCode>
                <c:ptCount val="49"/>
                <c:pt idx="32">
                  <c:v>100</c:v>
                </c:pt>
                <c:pt idx="33">
                  <c:v>92</c:v>
                </c:pt>
                <c:pt idx="34">
                  <c:v>91</c:v>
                </c:pt>
                <c:pt idx="35">
                  <c:v>96</c:v>
                </c:pt>
                <c:pt idx="36">
                  <c:v>94</c:v>
                </c:pt>
                <c:pt idx="37">
                  <c:v>90</c:v>
                </c:pt>
                <c:pt idx="38">
                  <c:v>104</c:v>
                </c:pt>
                <c:pt idx="39">
                  <c:v>100</c:v>
                </c:pt>
                <c:pt idx="40">
                  <c:v>98</c:v>
                </c:pt>
                <c:pt idx="41">
                  <c:v>107</c:v>
                </c:pt>
                <c:pt idx="42">
                  <c:v>89</c:v>
                </c:pt>
                <c:pt idx="43">
                  <c:v>90</c:v>
                </c:pt>
                <c:pt idx="44">
                  <c:v>76</c:v>
                </c:pt>
                <c:pt idx="45">
                  <c:v>80</c:v>
                </c:pt>
                <c:pt idx="46">
                  <c:v>72</c:v>
                </c:pt>
                <c:pt idx="47">
                  <c:v>70</c:v>
                </c:pt>
                <c:pt idx="48">
                  <c:v>75</c:v>
                </c:pt>
              </c:numCache>
            </c:numRef>
          </c:val>
          <c:smooth val="0"/>
          <c:extLst>
            <c:ext xmlns:c16="http://schemas.microsoft.com/office/drawing/2014/chart" uri="{C3380CC4-5D6E-409C-BE32-E72D297353CC}">
              <c16:uniqueId val="{00000005-A6FA-4428-8BEF-51505C0FD8A1}"/>
            </c:ext>
          </c:extLst>
        </c:ser>
        <c:ser>
          <c:idx val="7"/>
          <c:order val="6"/>
          <c:tx>
            <c:strRef>
              <c:f>'Western population'!$A$8</c:f>
              <c:strCache>
                <c:ptCount val="1"/>
                <c:pt idx="0">
                  <c:v>United Kingdom</c:v>
                </c:pt>
              </c:strCache>
            </c:strRef>
          </c:tx>
          <c:spPr>
            <a:ln>
              <a:solidFill>
                <a:schemeClr val="bg1">
                  <a:lumMod val="75000"/>
                </a:schemeClr>
              </a:solidFill>
              <a:prstDash val="sysDot"/>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population'!$B$8:$AX$8</c:f>
              <c:numCache>
                <c:formatCode>General</c:formatCode>
                <c:ptCount val="49"/>
                <c:pt idx="0">
                  <c:v>100</c:v>
                </c:pt>
                <c:pt idx="1">
                  <c:v>96</c:v>
                </c:pt>
                <c:pt idx="2">
                  <c:v>104</c:v>
                </c:pt>
                <c:pt idx="3">
                  <c:v>110</c:v>
                </c:pt>
                <c:pt idx="4">
                  <c:v>114</c:v>
                </c:pt>
                <c:pt idx="5">
                  <c:v>110</c:v>
                </c:pt>
                <c:pt idx="6">
                  <c:v>104</c:v>
                </c:pt>
                <c:pt idx="7">
                  <c:v>106</c:v>
                </c:pt>
                <c:pt idx="8">
                  <c:v>108</c:v>
                </c:pt>
                <c:pt idx="9">
                  <c:v>95</c:v>
                </c:pt>
                <c:pt idx="10">
                  <c:v>119</c:v>
                </c:pt>
                <c:pt idx="11">
                  <c:v>101</c:v>
                </c:pt>
                <c:pt idx="12">
                  <c:v>97</c:v>
                </c:pt>
                <c:pt idx="13">
                  <c:v>103</c:v>
                </c:pt>
                <c:pt idx="14">
                  <c:v>91</c:v>
                </c:pt>
                <c:pt idx="15">
                  <c:v>86</c:v>
                </c:pt>
                <c:pt idx="16">
                  <c:v>78</c:v>
                </c:pt>
                <c:pt idx="17">
                  <c:v>79</c:v>
                </c:pt>
                <c:pt idx="18">
                  <c:v>67</c:v>
                </c:pt>
                <c:pt idx="19">
                  <c:v>60</c:v>
                </c:pt>
                <c:pt idx="20">
                  <c:v>64</c:v>
                </c:pt>
                <c:pt idx="21">
                  <c:v>65</c:v>
                </c:pt>
                <c:pt idx="22">
                  <c:v>50</c:v>
                </c:pt>
                <c:pt idx="23">
                  <c:v>51</c:v>
                </c:pt>
                <c:pt idx="24">
                  <c:v>51</c:v>
                </c:pt>
                <c:pt idx="25">
                  <c:v>42</c:v>
                </c:pt>
                <c:pt idx="26">
                  <c:v>52</c:v>
                </c:pt>
                <c:pt idx="27">
                  <c:v>39</c:v>
                </c:pt>
                <c:pt idx="28">
                  <c:v>36</c:v>
                </c:pt>
                <c:pt idx="29">
                  <c:v>40</c:v>
                </c:pt>
                <c:pt idx="30">
                  <c:v>38</c:v>
                </c:pt>
                <c:pt idx="31">
                  <c:v>33</c:v>
                </c:pt>
                <c:pt idx="32">
                  <c:v>35</c:v>
                </c:pt>
                <c:pt idx="33">
                  <c:v>30</c:v>
                </c:pt>
                <c:pt idx="34">
                  <c:v>30</c:v>
                </c:pt>
                <c:pt idx="35">
                  <c:v>30</c:v>
                </c:pt>
                <c:pt idx="36">
                  <c:v>25</c:v>
                </c:pt>
                <c:pt idx="37">
                  <c:v>23</c:v>
                </c:pt>
                <c:pt idx="38">
                  <c:v>21</c:v>
                </c:pt>
                <c:pt idx="39">
                  <c:v>21</c:v>
                </c:pt>
                <c:pt idx="40">
                  <c:v>15</c:v>
                </c:pt>
                <c:pt idx="41">
                  <c:v>13</c:v>
                </c:pt>
                <c:pt idx="42">
                  <c:v>10</c:v>
                </c:pt>
                <c:pt idx="43">
                  <c:v>10</c:v>
                </c:pt>
                <c:pt idx="44">
                  <c:v>8</c:v>
                </c:pt>
                <c:pt idx="45">
                  <c:v>6</c:v>
                </c:pt>
                <c:pt idx="46">
                  <c:v>4</c:v>
                </c:pt>
                <c:pt idx="47">
                  <c:v>4</c:v>
                </c:pt>
                <c:pt idx="48">
                  <c:v>3</c:v>
                </c:pt>
              </c:numCache>
            </c:numRef>
          </c:val>
          <c:smooth val="0"/>
          <c:extLst>
            <c:ext xmlns:c16="http://schemas.microsoft.com/office/drawing/2014/chart" uri="{C3380CC4-5D6E-409C-BE32-E72D297353CC}">
              <c16:uniqueId val="{00000006-A6FA-4428-8BEF-51505C0FD8A1}"/>
            </c:ext>
          </c:extLst>
        </c:ser>
        <c:dLbls>
          <c:showLegendKey val="0"/>
          <c:showVal val="0"/>
          <c:showCatName val="0"/>
          <c:showSerName val="0"/>
          <c:showPercent val="0"/>
          <c:showBubbleSize val="0"/>
        </c:dLbls>
        <c:smooth val="0"/>
        <c:axId val="67010560"/>
        <c:axId val="67012480"/>
      </c:lineChart>
      <c:catAx>
        <c:axId val="6701056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67012480"/>
        <c:crosses val="autoZero"/>
        <c:auto val="1"/>
        <c:lblAlgn val="ctr"/>
        <c:lblOffset val="100"/>
        <c:noMultiLvlLbl val="0"/>
      </c:catAx>
      <c:valAx>
        <c:axId val="67012480"/>
        <c:scaling>
          <c:orientation val="minMax"/>
        </c:scaling>
        <c:delete val="0"/>
        <c:axPos val="l"/>
        <c:title>
          <c:tx>
            <c:rich>
              <a:bodyPr rot="-5400000" vert="horz"/>
              <a:lstStyle/>
              <a:p>
                <a:pPr>
                  <a:defRPr/>
                </a:pPr>
                <a:r>
                  <a:rPr lang="en-GB"/>
                  <a:t>Population index</a:t>
                </a:r>
              </a:p>
            </c:rich>
          </c:tx>
          <c:overlay val="0"/>
        </c:title>
        <c:numFmt formatCode="General" sourceLinked="1"/>
        <c:majorTickMark val="out"/>
        <c:minorTickMark val="none"/>
        <c:tickLblPos val="nextTo"/>
        <c:crossAx val="67010560"/>
        <c:crosses val="autoZero"/>
        <c:crossBetween val="between"/>
      </c:valAx>
    </c:plotArea>
    <c:legend>
      <c:legendPos val="b"/>
      <c:layout>
        <c:manualLayout>
          <c:xMode val="edge"/>
          <c:yMode val="edge"/>
          <c:x val="0"/>
          <c:y val="0.89904679597977444"/>
          <c:w val="1"/>
          <c:h val="7.3852933017520703E-2"/>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2"/>
          <c:order val="0"/>
          <c:tx>
            <c:strRef>
              <c:f>'ET,LV,LT'!$A$2</c:f>
              <c:strCache>
                <c:ptCount val="1"/>
                <c:pt idx="0">
                  <c:v>Estonia</c:v>
                </c:pt>
              </c:strCache>
            </c:strRef>
          </c:tx>
          <c:spPr>
            <a:ln>
              <a:solidFill>
                <a:schemeClr val="tx1"/>
              </a:solidFill>
              <a:prstDash val="dash"/>
            </a:ln>
          </c:spPr>
          <c:marker>
            <c:symbol val="none"/>
          </c:marker>
          <c:cat>
            <c:numRef>
              <c:f>'ET,LV,LT'!$B$1:$AG$1</c:f>
              <c:numCache>
                <c:formatCode>General</c:formatCode>
                <c:ptCount val="32"/>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numCache>
            </c:numRef>
          </c:cat>
          <c:val>
            <c:numRef>
              <c:f>'ET,LV,LT'!$B$2:$AG$2</c:f>
              <c:numCache>
                <c:formatCode>General</c:formatCode>
                <c:ptCount val="32"/>
                <c:pt idx="0">
                  <c:v>71</c:v>
                </c:pt>
                <c:pt idx="1">
                  <c:v>100</c:v>
                </c:pt>
                <c:pt idx="2">
                  <c:v>92</c:v>
                </c:pt>
                <c:pt idx="3">
                  <c:v>107</c:v>
                </c:pt>
                <c:pt idx="4">
                  <c:v>99</c:v>
                </c:pt>
                <c:pt idx="5">
                  <c:v>114</c:v>
                </c:pt>
                <c:pt idx="6">
                  <c:v>124</c:v>
                </c:pt>
                <c:pt idx="7">
                  <c:v>124</c:v>
                </c:pt>
                <c:pt idx="8">
                  <c:v>84</c:v>
                </c:pt>
                <c:pt idx="9">
                  <c:v>86</c:v>
                </c:pt>
                <c:pt idx="10">
                  <c:v>106</c:v>
                </c:pt>
                <c:pt idx="11">
                  <c:v>68</c:v>
                </c:pt>
                <c:pt idx="12">
                  <c:v>90</c:v>
                </c:pt>
                <c:pt idx="13">
                  <c:v>127</c:v>
                </c:pt>
                <c:pt idx="14">
                  <c:v>87</c:v>
                </c:pt>
                <c:pt idx="15">
                  <c:v>39</c:v>
                </c:pt>
                <c:pt idx="16">
                  <c:v>69</c:v>
                </c:pt>
                <c:pt idx="17">
                  <c:v>47</c:v>
                </c:pt>
                <c:pt idx="18">
                  <c:v>69</c:v>
                </c:pt>
                <c:pt idx="19">
                  <c:v>69</c:v>
                </c:pt>
                <c:pt idx="20">
                  <c:v>44</c:v>
                </c:pt>
                <c:pt idx="21">
                  <c:v>66</c:v>
                </c:pt>
                <c:pt idx="22">
                  <c:v>62</c:v>
                </c:pt>
                <c:pt idx="23">
                  <c:v>30</c:v>
                </c:pt>
                <c:pt idx="24">
                  <c:v>91</c:v>
                </c:pt>
                <c:pt idx="25">
                  <c:v>38</c:v>
                </c:pt>
                <c:pt idx="26">
                  <c:v>35</c:v>
                </c:pt>
                <c:pt idx="27">
                  <c:v>37</c:v>
                </c:pt>
                <c:pt idx="28">
                  <c:v>42</c:v>
                </c:pt>
                <c:pt idx="29">
                  <c:v>28</c:v>
                </c:pt>
                <c:pt idx="30">
                  <c:v>48</c:v>
                </c:pt>
                <c:pt idx="31">
                  <c:v>20</c:v>
                </c:pt>
              </c:numCache>
            </c:numRef>
          </c:val>
          <c:smooth val="0"/>
          <c:extLst>
            <c:ext xmlns:c16="http://schemas.microsoft.com/office/drawing/2014/chart" uri="{C3380CC4-5D6E-409C-BE32-E72D297353CC}">
              <c16:uniqueId val="{00000000-7227-423F-9FEC-0A87F8032834}"/>
            </c:ext>
          </c:extLst>
        </c:ser>
        <c:ser>
          <c:idx val="3"/>
          <c:order val="1"/>
          <c:tx>
            <c:strRef>
              <c:f>'ET,LV,LT'!$A$3</c:f>
              <c:strCache>
                <c:ptCount val="1"/>
                <c:pt idx="0">
                  <c:v>Latvia</c:v>
                </c:pt>
              </c:strCache>
            </c:strRef>
          </c:tx>
          <c:spPr>
            <a:ln>
              <a:solidFill>
                <a:prstClr val="black"/>
              </a:solidFill>
            </a:ln>
          </c:spPr>
          <c:marker>
            <c:symbol val="none"/>
          </c:marker>
          <c:cat>
            <c:numRef>
              <c:f>'ET,LV,LT'!$B$1:$AG$1</c:f>
              <c:numCache>
                <c:formatCode>General</c:formatCode>
                <c:ptCount val="32"/>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numCache>
            </c:numRef>
          </c:cat>
          <c:val>
            <c:numRef>
              <c:f>'ET,LV,LT'!$B$3:$AG$3</c:f>
              <c:numCache>
                <c:formatCode>General</c:formatCode>
                <c:ptCount val="32"/>
                <c:pt idx="12">
                  <c:v>100</c:v>
                </c:pt>
                <c:pt idx="13">
                  <c:v>110</c:v>
                </c:pt>
                <c:pt idx="14">
                  <c:v>60</c:v>
                </c:pt>
                <c:pt idx="15">
                  <c:v>110</c:v>
                </c:pt>
                <c:pt idx="16">
                  <c:v>170</c:v>
                </c:pt>
                <c:pt idx="17">
                  <c:v>90</c:v>
                </c:pt>
                <c:pt idx="18">
                  <c:v>120</c:v>
                </c:pt>
                <c:pt idx="19">
                  <c:v>50</c:v>
                </c:pt>
                <c:pt idx="20">
                  <c:v>110</c:v>
                </c:pt>
                <c:pt idx="21">
                  <c:v>50</c:v>
                </c:pt>
                <c:pt idx="22">
                  <c:v>128</c:v>
                </c:pt>
                <c:pt idx="23">
                  <c:v>92</c:v>
                </c:pt>
                <c:pt idx="24">
                  <c:v>94</c:v>
                </c:pt>
                <c:pt idx="25">
                  <c:v>98</c:v>
                </c:pt>
                <c:pt idx="26">
                  <c:v>73</c:v>
                </c:pt>
                <c:pt idx="27">
                  <c:v>90</c:v>
                </c:pt>
                <c:pt idx="28">
                  <c:v>94</c:v>
                </c:pt>
                <c:pt idx="29">
                  <c:v>118</c:v>
                </c:pt>
                <c:pt idx="30">
                  <c:v>73</c:v>
                </c:pt>
                <c:pt idx="31">
                  <c:v>16</c:v>
                </c:pt>
              </c:numCache>
            </c:numRef>
          </c:val>
          <c:smooth val="0"/>
          <c:extLst>
            <c:ext xmlns:c16="http://schemas.microsoft.com/office/drawing/2014/chart" uri="{C3380CC4-5D6E-409C-BE32-E72D297353CC}">
              <c16:uniqueId val="{00000001-7227-423F-9FEC-0A87F8032834}"/>
            </c:ext>
          </c:extLst>
        </c:ser>
        <c:ser>
          <c:idx val="0"/>
          <c:order val="2"/>
          <c:tx>
            <c:strRef>
              <c:f>'ET,LV,LT'!$A$4</c:f>
              <c:strCache>
                <c:ptCount val="1"/>
                <c:pt idx="0">
                  <c:v>Lithuania</c:v>
                </c:pt>
              </c:strCache>
            </c:strRef>
          </c:tx>
          <c:spPr>
            <a:ln>
              <a:solidFill>
                <a:schemeClr val="bg1">
                  <a:lumMod val="75000"/>
                </a:schemeClr>
              </a:solidFill>
              <a:prstDash val="solid"/>
            </a:ln>
          </c:spPr>
          <c:marker>
            <c:symbol val="none"/>
          </c:marker>
          <c:cat>
            <c:numRef>
              <c:f>'ET,LV,LT'!$B$1:$AG$1</c:f>
              <c:numCache>
                <c:formatCode>General</c:formatCode>
                <c:ptCount val="32"/>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numCache>
            </c:numRef>
          </c:cat>
          <c:val>
            <c:numRef>
              <c:f>'ET,LV,LT'!$B$4:$AG$4</c:f>
              <c:numCache>
                <c:formatCode>General</c:formatCode>
                <c:ptCount val="32"/>
                <c:pt idx="28">
                  <c:v>100</c:v>
                </c:pt>
                <c:pt idx="29">
                  <c:v>99</c:v>
                </c:pt>
                <c:pt idx="30">
                  <c:v>128</c:v>
                </c:pt>
                <c:pt idx="31">
                  <c:v>75</c:v>
                </c:pt>
              </c:numCache>
            </c:numRef>
          </c:val>
          <c:smooth val="0"/>
          <c:extLst>
            <c:ext xmlns:c16="http://schemas.microsoft.com/office/drawing/2014/chart" uri="{C3380CC4-5D6E-409C-BE32-E72D297353CC}">
              <c16:uniqueId val="{00000002-7227-423F-9FEC-0A87F8032834}"/>
            </c:ext>
          </c:extLst>
        </c:ser>
        <c:ser>
          <c:idx val="4"/>
          <c:order val="3"/>
          <c:tx>
            <c:strRef>
              <c:f>'ET,LV,LT'!$A$5</c:f>
              <c:strCache>
                <c:ptCount val="1"/>
                <c:pt idx="0">
                  <c:v>Poland</c:v>
                </c:pt>
              </c:strCache>
            </c:strRef>
          </c:tx>
          <c:spPr>
            <a:ln>
              <a:solidFill>
                <a:schemeClr val="bg1">
                  <a:lumMod val="75000"/>
                </a:schemeClr>
              </a:solidFill>
              <a:prstDash val="dash"/>
            </a:ln>
          </c:spPr>
          <c:marker>
            <c:symbol val="none"/>
          </c:marker>
          <c:cat>
            <c:numRef>
              <c:f>'ET,LV,LT'!$B$1:$AG$1</c:f>
              <c:numCache>
                <c:formatCode>General</c:formatCode>
                <c:ptCount val="32"/>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numCache>
            </c:numRef>
          </c:cat>
          <c:val>
            <c:numRef>
              <c:f>'ET,LV,LT'!$B$5:$AG$5</c:f>
              <c:numCache>
                <c:formatCode>General</c:formatCode>
                <c:ptCount val="32"/>
                <c:pt idx="18">
                  <c:v>100</c:v>
                </c:pt>
                <c:pt idx="19">
                  <c:v>81</c:v>
                </c:pt>
                <c:pt idx="20">
                  <c:v>108</c:v>
                </c:pt>
                <c:pt idx="21">
                  <c:v>101</c:v>
                </c:pt>
                <c:pt idx="22">
                  <c:v>70</c:v>
                </c:pt>
                <c:pt idx="23">
                  <c:v>79</c:v>
                </c:pt>
                <c:pt idx="24">
                  <c:v>79</c:v>
                </c:pt>
                <c:pt idx="25">
                  <c:v>80</c:v>
                </c:pt>
                <c:pt idx="26">
                  <c:v>96</c:v>
                </c:pt>
                <c:pt idx="27">
                  <c:v>78</c:v>
                </c:pt>
                <c:pt idx="28">
                  <c:v>66</c:v>
                </c:pt>
                <c:pt idx="29">
                  <c:v>72</c:v>
                </c:pt>
                <c:pt idx="30">
                  <c:v>64</c:v>
                </c:pt>
                <c:pt idx="31">
                  <c:v>66</c:v>
                </c:pt>
              </c:numCache>
            </c:numRef>
          </c:val>
          <c:smooth val="0"/>
          <c:extLst>
            <c:ext xmlns:c16="http://schemas.microsoft.com/office/drawing/2014/chart" uri="{C3380CC4-5D6E-409C-BE32-E72D297353CC}">
              <c16:uniqueId val="{00000003-7227-423F-9FEC-0A87F8032834}"/>
            </c:ext>
          </c:extLst>
        </c:ser>
        <c:dLbls>
          <c:showLegendKey val="0"/>
          <c:showVal val="0"/>
          <c:showCatName val="0"/>
          <c:showSerName val="0"/>
          <c:showPercent val="0"/>
          <c:showBubbleSize val="0"/>
        </c:dLbls>
        <c:smooth val="0"/>
        <c:axId val="67031808"/>
        <c:axId val="67033728"/>
      </c:lineChart>
      <c:catAx>
        <c:axId val="67031808"/>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67033728"/>
        <c:crosses val="autoZero"/>
        <c:auto val="1"/>
        <c:lblAlgn val="ctr"/>
        <c:lblOffset val="100"/>
        <c:noMultiLvlLbl val="0"/>
      </c:catAx>
      <c:valAx>
        <c:axId val="67033728"/>
        <c:scaling>
          <c:orientation val="minMax"/>
        </c:scaling>
        <c:delete val="0"/>
        <c:axPos val="l"/>
        <c:title>
          <c:tx>
            <c:rich>
              <a:bodyPr rot="-5400000" vert="horz"/>
              <a:lstStyle/>
              <a:p>
                <a:pPr>
                  <a:defRPr/>
                </a:pPr>
                <a:r>
                  <a:rPr lang="en-GB"/>
                  <a:t>Population index</a:t>
                </a:r>
              </a:p>
            </c:rich>
          </c:tx>
          <c:overlay val="0"/>
        </c:title>
        <c:numFmt formatCode="General" sourceLinked="1"/>
        <c:majorTickMark val="out"/>
        <c:minorTickMark val="none"/>
        <c:tickLblPos val="nextTo"/>
        <c:crossAx val="6703180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2"/>
          <c:order val="0"/>
          <c:tx>
            <c:strRef>
              <c:f>'AT,CZ,HU,IT,PL,SK,CH'!$A$2</c:f>
              <c:strCache>
                <c:ptCount val="1"/>
                <c:pt idx="0">
                  <c:v>Austria</c:v>
                </c:pt>
              </c:strCache>
            </c:strRef>
          </c:tx>
          <c:spPr>
            <a:ln>
              <a:solidFill>
                <a:schemeClr val="tx1"/>
              </a:solidFill>
              <a:prstDash val="sysDash"/>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'AT,CZ,HU,IT,PL,SK,CH'!$B$2:$AH$2</c:f>
              <c:numCache>
                <c:formatCode>General</c:formatCode>
                <c:ptCount val="33"/>
                <c:pt idx="16">
                  <c:v>100</c:v>
                </c:pt>
                <c:pt idx="17">
                  <c:v>108</c:v>
                </c:pt>
                <c:pt idx="18">
                  <c:v>99</c:v>
                </c:pt>
                <c:pt idx="19">
                  <c:v>109</c:v>
                </c:pt>
                <c:pt idx="20">
                  <c:v>103</c:v>
                </c:pt>
                <c:pt idx="21">
                  <c:v>93</c:v>
                </c:pt>
                <c:pt idx="22">
                  <c:v>77</c:v>
                </c:pt>
                <c:pt idx="23">
                  <c:v>83</c:v>
                </c:pt>
                <c:pt idx="24">
                  <c:v>66</c:v>
                </c:pt>
                <c:pt idx="25">
                  <c:v>75</c:v>
                </c:pt>
                <c:pt idx="26">
                  <c:v>75</c:v>
                </c:pt>
                <c:pt idx="27">
                  <c:v>75</c:v>
                </c:pt>
                <c:pt idx="28">
                  <c:v>72</c:v>
                </c:pt>
                <c:pt idx="29">
                  <c:v>63</c:v>
                </c:pt>
                <c:pt idx="30">
                  <c:v>57</c:v>
                </c:pt>
                <c:pt idx="31">
                  <c:v>68</c:v>
                </c:pt>
                <c:pt idx="32">
                  <c:v>44</c:v>
                </c:pt>
              </c:numCache>
            </c:numRef>
          </c:val>
          <c:smooth val="0"/>
          <c:extLst>
            <c:ext xmlns:c16="http://schemas.microsoft.com/office/drawing/2014/chart" uri="{C3380CC4-5D6E-409C-BE32-E72D297353CC}">
              <c16:uniqueId val="{00000000-330C-422F-A141-D92C79993112}"/>
            </c:ext>
          </c:extLst>
        </c:ser>
        <c:ser>
          <c:idx val="3"/>
          <c:order val="1"/>
          <c:tx>
            <c:strRef>
              <c:f>'AT,CZ,HU,IT,PL,SK,CH'!$A$3</c:f>
              <c:strCache>
                <c:ptCount val="1"/>
                <c:pt idx="0">
                  <c:v>Czech Republic</c:v>
                </c:pt>
              </c:strCache>
            </c:strRef>
          </c:tx>
          <c:spPr>
            <a:ln>
              <a:solidFill>
                <a:schemeClr val="tx1"/>
              </a:solidFill>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'AT,CZ,HU,IT,PL,SK,CH'!$B$3:$AH$3</c:f>
              <c:numCache>
                <c:formatCode>General</c:formatCode>
                <c:ptCount val="33"/>
                <c:pt idx="0">
                  <c:v>100</c:v>
                </c:pt>
                <c:pt idx="1">
                  <c:v>118</c:v>
                </c:pt>
                <c:pt idx="2">
                  <c:v>112</c:v>
                </c:pt>
                <c:pt idx="3">
                  <c:v>87</c:v>
                </c:pt>
                <c:pt idx="4">
                  <c:v>105</c:v>
                </c:pt>
                <c:pt idx="5">
                  <c:v>84</c:v>
                </c:pt>
                <c:pt idx="6">
                  <c:v>73</c:v>
                </c:pt>
                <c:pt idx="7">
                  <c:v>89</c:v>
                </c:pt>
                <c:pt idx="8">
                  <c:v>90</c:v>
                </c:pt>
                <c:pt idx="9">
                  <c:v>79</c:v>
                </c:pt>
                <c:pt idx="10">
                  <c:v>79</c:v>
                </c:pt>
                <c:pt idx="11">
                  <c:v>96</c:v>
                </c:pt>
                <c:pt idx="12">
                  <c:v>96</c:v>
                </c:pt>
                <c:pt idx="13">
                  <c:v>86</c:v>
                </c:pt>
                <c:pt idx="14">
                  <c:v>80</c:v>
                </c:pt>
                <c:pt idx="15">
                  <c:v>88</c:v>
                </c:pt>
                <c:pt idx="16">
                  <c:v>61</c:v>
                </c:pt>
                <c:pt idx="17">
                  <c:v>68</c:v>
                </c:pt>
                <c:pt idx="18">
                  <c:v>68</c:v>
                </c:pt>
                <c:pt idx="19">
                  <c:v>60</c:v>
                </c:pt>
                <c:pt idx="20">
                  <c:v>60</c:v>
                </c:pt>
                <c:pt idx="21">
                  <c:v>60</c:v>
                </c:pt>
                <c:pt idx="22">
                  <c:v>54</c:v>
                </c:pt>
                <c:pt idx="23">
                  <c:v>52</c:v>
                </c:pt>
                <c:pt idx="24">
                  <c:v>55</c:v>
                </c:pt>
                <c:pt idx="25">
                  <c:v>57</c:v>
                </c:pt>
                <c:pt idx="26">
                  <c:v>50</c:v>
                </c:pt>
                <c:pt idx="27">
                  <c:v>55</c:v>
                </c:pt>
                <c:pt idx="28">
                  <c:v>62</c:v>
                </c:pt>
                <c:pt idx="29">
                  <c:v>51</c:v>
                </c:pt>
                <c:pt idx="30">
                  <c:v>48</c:v>
                </c:pt>
                <c:pt idx="31">
                  <c:v>42</c:v>
                </c:pt>
                <c:pt idx="32">
                  <c:v>38</c:v>
                </c:pt>
              </c:numCache>
            </c:numRef>
          </c:val>
          <c:smooth val="0"/>
          <c:extLst>
            <c:ext xmlns:c16="http://schemas.microsoft.com/office/drawing/2014/chart" uri="{C3380CC4-5D6E-409C-BE32-E72D297353CC}">
              <c16:uniqueId val="{00000001-330C-422F-A141-D92C79993112}"/>
            </c:ext>
          </c:extLst>
        </c:ser>
        <c:ser>
          <c:idx val="4"/>
          <c:order val="2"/>
          <c:tx>
            <c:strRef>
              <c:f>'AT,CZ,HU,IT,PL,SK,CH'!$A$4</c:f>
              <c:strCache>
                <c:ptCount val="1"/>
                <c:pt idx="0">
                  <c:v>Hungary</c:v>
                </c:pt>
              </c:strCache>
            </c:strRef>
          </c:tx>
          <c:spPr>
            <a:ln>
              <a:solidFill>
                <a:schemeClr val="bg1">
                  <a:lumMod val="75000"/>
                </a:schemeClr>
              </a:solidFill>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'AT,CZ,HU,IT,PL,SK,CH'!$B$4:$AH$4</c:f>
              <c:numCache>
                <c:formatCode>General</c:formatCode>
                <c:ptCount val="33"/>
                <c:pt idx="17">
                  <c:v>100</c:v>
                </c:pt>
                <c:pt idx="18">
                  <c:v>100</c:v>
                </c:pt>
                <c:pt idx="19">
                  <c:v>106</c:v>
                </c:pt>
                <c:pt idx="20">
                  <c:v>106</c:v>
                </c:pt>
                <c:pt idx="21">
                  <c:v>127</c:v>
                </c:pt>
                <c:pt idx="22">
                  <c:v>101</c:v>
                </c:pt>
                <c:pt idx="23">
                  <c:v>113</c:v>
                </c:pt>
                <c:pt idx="24">
                  <c:v>91</c:v>
                </c:pt>
                <c:pt idx="25">
                  <c:v>101</c:v>
                </c:pt>
                <c:pt idx="26">
                  <c:v>106</c:v>
                </c:pt>
                <c:pt idx="27">
                  <c:v>120</c:v>
                </c:pt>
                <c:pt idx="28">
                  <c:v>97</c:v>
                </c:pt>
                <c:pt idx="29">
                  <c:v>91</c:v>
                </c:pt>
                <c:pt idx="30">
                  <c:v>106</c:v>
                </c:pt>
                <c:pt idx="31">
                  <c:v>106</c:v>
                </c:pt>
                <c:pt idx="32">
                  <c:v>100</c:v>
                </c:pt>
              </c:numCache>
            </c:numRef>
          </c:val>
          <c:smooth val="0"/>
          <c:extLst>
            <c:ext xmlns:c16="http://schemas.microsoft.com/office/drawing/2014/chart" uri="{C3380CC4-5D6E-409C-BE32-E72D297353CC}">
              <c16:uniqueId val="{00000002-330C-422F-A141-D92C79993112}"/>
            </c:ext>
          </c:extLst>
        </c:ser>
        <c:ser>
          <c:idx val="5"/>
          <c:order val="3"/>
          <c:tx>
            <c:strRef>
              <c:f>'AT,CZ,HU,IT,PL,SK,CH'!$A$5</c:f>
              <c:strCache>
                <c:ptCount val="1"/>
                <c:pt idx="0">
                  <c:v>Italy</c:v>
                </c:pt>
              </c:strCache>
            </c:strRef>
          </c:tx>
          <c:spPr>
            <a:ln>
              <a:solidFill>
                <a:schemeClr val="bg1">
                  <a:lumMod val="75000"/>
                </a:schemeClr>
              </a:solidFill>
              <a:prstDash val="dash"/>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'AT,CZ,HU,IT,PL,SK,CH'!$B$5:$AH$5</c:f>
              <c:numCache>
                <c:formatCode>General</c:formatCode>
                <c:ptCount val="33"/>
                <c:pt idx="18">
                  <c:v>100</c:v>
                </c:pt>
                <c:pt idx="19">
                  <c:v>105</c:v>
                </c:pt>
                <c:pt idx="20">
                  <c:v>96</c:v>
                </c:pt>
                <c:pt idx="21">
                  <c:v>107</c:v>
                </c:pt>
                <c:pt idx="22">
                  <c:v>117</c:v>
                </c:pt>
                <c:pt idx="23">
                  <c:v>110</c:v>
                </c:pt>
                <c:pt idx="24">
                  <c:v>103</c:v>
                </c:pt>
                <c:pt idx="25">
                  <c:v>104</c:v>
                </c:pt>
                <c:pt idx="26">
                  <c:v>108</c:v>
                </c:pt>
                <c:pt idx="27">
                  <c:v>115</c:v>
                </c:pt>
                <c:pt idx="28">
                  <c:v>113</c:v>
                </c:pt>
                <c:pt idx="29">
                  <c:v>110</c:v>
                </c:pt>
                <c:pt idx="30">
                  <c:v>111</c:v>
                </c:pt>
                <c:pt idx="31">
                  <c:v>109</c:v>
                </c:pt>
                <c:pt idx="32">
                  <c:v>95</c:v>
                </c:pt>
              </c:numCache>
            </c:numRef>
          </c:val>
          <c:smooth val="0"/>
          <c:extLst>
            <c:ext xmlns:c16="http://schemas.microsoft.com/office/drawing/2014/chart" uri="{C3380CC4-5D6E-409C-BE32-E72D297353CC}">
              <c16:uniqueId val="{00000003-330C-422F-A141-D92C79993112}"/>
            </c:ext>
          </c:extLst>
        </c:ser>
        <c:ser>
          <c:idx val="6"/>
          <c:order val="4"/>
          <c:tx>
            <c:strRef>
              <c:f>'AT,CZ,HU,IT,PL,SK,CH'!$A$6</c:f>
              <c:strCache>
                <c:ptCount val="1"/>
                <c:pt idx="0">
                  <c:v>Slovakia</c:v>
                </c:pt>
              </c:strCache>
            </c:strRef>
          </c:tx>
          <c:spPr>
            <a:ln>
              <a:solidFill>
                <a:schemeClr val="bg1">
                  <a:lumMod val="75000"/>
                </a:schemeClr>
              </a:solidFill>
              <a:prstDash val="sysDash"/>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'AT,CZ,HU,IT,PL,SK,CH'!$B$6:$AH$6</c:f>
              <c:numCache>
                <c:formatCode>General</c:formatCode>
                <c:ptCount val="33"/>
                <c:pt idx="23">
                  <c:v>100</c:v>
                </c:pt>
                <c:pt idx="24">
                  <c:v>91</c:v>
                </c:pt>
                <c:pt idx="25">
                  <c:v>80</c:v>
                </c:pt>
                <c:pt idx="26">
                  <c:v>78</c:v>
                </c:pt>
                <c:pt idx="27">
                  <c:v>95</c:v>
                </c:pt>
                <c:pt idx="28">
                  <c:v>80</c:v>
                </c:pt>
                <c:pt idx="29">
                  <c:v>58</c:v>
                </c:pt>
                <c:pt idx="30">
                  <c:v>72</c:v>
                </c:pt>
                <c:pt idx="31">
                  <c:v>68</c:v>
                </c:pt>
                <c:pt idx="32">
                  <c:v>55</c:v>
                </c:pt>
              </c:numCache>
            </c:numRef>
          </c:val>
          <c:smooth val="0"/>
          <c:extLst>
            <c:ext xmlns:c16="http://schemas.microsoft.com/office/drawing/2014/chart" uri="{C3380CC4-5D6E-409C-BE32-E72D297353CC}">
              <c16:uniqueId val="{00000004-330C-422F-A141-D92C79993112}"/>
            </c:ext>
          </c:extLst>
        </c:ser>
        <c:ser>
          <c:idx val="7"/>
          <c:order val="5"/>
          <c:tx>
            <c:strRef>
              <c:f>'AT,CZ,HU,IT,PL,SK,CH'!$A$7</c:f>
              <c:strCache>
                <c:ptCount val="1"/>
                <c:pt idx="0">
                  <c:v>Slovenia</c:v>
                </c:pt>
              </c:strCache>
            </c:strRef>
          </c:tx>
          <c:spPr>
            <a:ln>
              <a:solidFill>
                <a:schemeClr val="tx1"/>
              </a:solidFill>
              <a:prstDash val="sysDot"/>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'AT,CZ,HU,IT,PL,SK,CH'!$B$7:$AH$7</c:f>
              <c:numCache>
                <c:formatCode>General</c:formatCode>
                <c:ptCount val="33"/>
                <c:pt idx="25">
                  <c:v>100</c:v>
                </c:pt>
                <c:pt idx="26">
                  <c:v>161</c:v>
                </c:pt>
                <c:pt idx="27">
                  <c:v>143</c:v>
                </c:pt>
                <c:pt idx="28">
                  <c:v>109</c:v>
                </c:pt>
                <c:pt idx="29">
                  <c:v>59</c:v>
                </c:pt>
                <c:pt idx="30">
                  <c:v>89</c:v>
                </c:pt>
                <c:pt idx="31">
                  <c:v>76</c:v>
                </c:pt>
                <c:pt idx="32">
                  <c:v>73</c:v>
                </c:pt>
              </c:numCache>
            </c:numRef>
          </c:val>
          <c:smooth val="0"/>
          <c:extLst>
            <c:ext xmlns:c16="http://schemas.microsoft.com/office/drawing/2014/chart" uri="{C3380CC4-5D6E-409C-BE32-E72D297353CC}">
              <c16:uniqueId val="{00000005-330C-422F-A141-D92C79993112}"/>
            </c:ext>
          </c:extLst>
        </c:ser>
        <c:ser>
          <c:idx val="0"/>
          <c:order val="6"/>
          <c:tx>
            <c:strRef>
              <c:f>'AT,CZ,HU,IT,PL,SK,CH'!$A$8</c:f>
              <c:strCache>
                <c:ptCount val="1"/>
                <c:pt idx="0">
                  <c:v>Switzerland</c:v>
                </c:pt>
              </c:strCache>
            </c:strRef>
          </c:tx>
          <c:spPr>
            <a:ln>
              <a:solidFill>
                <a:prstClr val="black"/>
              </a:solidFill>
              <a:prstDash val="dash"/>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'AT,CZ,HU,IT,PL,SK,CH'!$B$8:$AH$8</c:f>
              <c:numCache>
                <c:formatCode>General</c:formatCode>
                <c:ptCount val="33"/>
                <c:pt idx="17">
                  <c:v>100</c:v>
                </c:pt>
                <c:pt idx="18">
                  <c:v>99</c:v>
                </c:pt>
                <c:pt idx="19">
                  <c:v>36</c:v>
                </c:pt>
                <c:pt idx="20">
                  <c:v>90</c:v>
                </c:pt>
                <c:pt idx="21">
                  <c:v>41</c:v>
                </c:pt>
                <c:pt idx="22">
                  <c:v>63</c:v>
                </c:pt>
                <c:pt idx="23">
                  <c:v>77</c:v>
                </c:pt>
                <c:pt idx="24">
                  <c:v>27</c:v>
                </c:pt>
                <c:pt idx="25">
                  <c:v>68</c:v>
                </c:pt>
                <c:pt idx="26">
                  <c:v>77</c:v>
                </c:pt>
                <c:pt idx="27">
                  <c:v>59</c:v>
                </c:pt>
                <c:pt idx="28">
                  <c:v>77</c:v>
                </c:pt>
                <c:pt idx="29">
                  <c:v>77</c:v>
                </c:pt>
                <c:pt idx="30">
                  <c:v>14</c:v>
                </c:pt>
                <c:pt idx="31">
                  <c:v>45</c:v>
                </c:pt>
                <c:pt idx="32">
                  <c:v>27</c:v>
                </c:pt>
              </c:numCache>
            </c:numRef>
          </c:val>
          <c:smooth val="0"/>
          <c:extLst>
            <c:ext xmlns:c16="http://schemas.microsoft.com/office/drawing/2014/chart" uri="{C3380CC4-5D6E-409C-BE32-E72D297353CC}">
              <c16:uniqueId val="{00000006-330C-422F-A141-D92C79993112}"/>
            </c:ext>
          </c:extLst>
        </c:ser>
        <c:dLbls>
          <c:showLegendKey val="0"/>
          <c:showVal val="0"/>
          <c:showCatName val="0"/>
          <c:showSerName val="0"/>
          <c:showPercent val="0"/>
          <c:showBubbleSize val="0"/>
        </c:dLbls>
        <c:smooth val="0"/>
        <c:axId val="67390464"/>
        <c:axId val="67404928"/>
      </c:lineChart>
      <c:catAx>
        <c:axId val="6739046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67404928"/>
        <c:crosses val="autoZero"/>
        <c:auto val="1"/>
        <c:lblAlgn val="ctr"/>
        <c:lblOffset val="100"/>
        <c:noMultiLvlLbl val="0"/>
      </c:catAx>
      <c:valAx>
        <c:axId val="67404928"/>
        <c:scaling>
          <c:orientation val="minMax"/>
        </c:scaling>
        <c:delete val="0"/>
        <c:axPos val="l"/>
        <c:title>
          <c:tx>
            <c:rich>
              <a:bodyPr rot="-5400000" vert="horz"/>
              <a:lstStyle/>
              <a:p>
                <a:pPr>
                  <a:defRPr/>
                </a:pPr>
                <a:r>
                  <a:rPr lang="en-GB"/>
                  <a:t>Population index</a:t>
                </a:r>
              </a:p>
            </c:rich>
          </c:tx>
          <c:overlay val="0"/>
        </c:title>
        <c:numFmt formatCode="General" sourceLinked="1"/>
        <c:majorTickMark val="out"/>
        <c:minorTickMark val="none"/>
        <c:tickLblPos val="nextTo"/>
        <c:crossAx val="6739046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2"/>
          <c:order val="0"/>
          <c:tx>
            <c:strRef>
              <c:f>'BG,CY,RO'!$A$2</c:f>
              <c:strCache>
                <c:ptCount val="1"/>
                <c:pt idx="0">
                  <c:v>Bulgaria</c:v>
                </c:pt>
              </c:strCache>
            </c:strRef>
          </c:tx>
          <c:spPr>
            <a:ln>
              <a:solidFill>
                <a:schemeClr val="bg1">
                  <a:lumMod val="75000"/>
                </a:schemeClr>
              </a:solidFill>
            </a:ln>
          </c:spPr>
          <c:marker>
            <c:symbol val="none"/>
          </c:marker>
          <c:cat>
            <c:numRef>
              <c:f>'BG,CY,RO'!$B$1:$K$1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'BG,CY,RO'!$B$2:$K$2</c:f>
              <c:numCache>
                <c:formatCode>General</c:formatCode>
                <c:ptCount val="10"/>
                <c:pt idx="0">
                  <c:v>100</c:v>
                </c:pt>
                <c:pt idx="1">
                  <c:v>108</c:v>
                </c:pt>
                <c:pt idx="2">
                  <c:v>79</c:v>
                </c:pt>
                <c:pt idx="3">
                  <c:v>93</c:v>
                </c:pt>
                <c:pt idx="4">
                  <c:v>114</c:v>
                </c:pt>
                <c:pt idx="5">
                  <c:v>84</c:v>
                </c:pt>
                <c:pt idx="6">
                  <c:v>82</c:v>
                </c:pt>
                <c:pt idx="7">
                  <c:v>99</c:v>
                </c:pt>
                <c:pt idx="8">
                  <c:v>108</c:v>
                </c:pt>
                <c:pt idx="9">
                  <c:v>83</c:v>
                </c:pt>
              </c:numCache>
            </c:numRef>
          </c:val>
          <c:smooth val="0"/>
          <c:extLst>
            <c:ext xmlns:c16="http://schemas.microsoft.com/office/drawing/2014/chart" uri="{C3380CC4-5D6E-409C-BE32-E72D297353CC}">
              <c16:uniqueId val="{00000000-A55C-4296-96DC-698B259FAFF0}"/>
            </c:ext>
          </c:extLst>
        </c:ser>
        <c:ser>
          <c:idx val="3"/>
          <c:order val="1"/>
          <c:tx>
            <c:strRef>
              <c:f>'BG,CY,RO'!$A$3</c:f>
              <c:strCache>
                <c:ptCount val="1"/>
                <c:pt idx="0">
                  <c:v>Cyprus</c:v>
                </c:pt>
              </c:strCache>
            </c:strRef>
          </c:tx>
          <c:spPr>
            <a:ln>
              <a:solidFill>
                <a:prstClr val="black"/>
              </a:solidFill>
            </a:ln>
          </c:spPr>
          <c:marker>
            <c:symbol val="none"/>
          </c:marker>
          <c:cat>
            <c:numRef>
              <c:f>'BG,CY,RO'!$B$1:$K$1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'BG,CY,RO'!$B$3:$K$3</c:f>
              <c:numCache>
                <c:formatCode>General</c:formatCode>
                <c:ptCount val="10"/>
                <c:pt idx="1">
                  <c:v>100</c:v>
                </c:pt>
                <c:pt idx="2">
                  <c:v>80</c:v>
                </c:pt>
                <c:pt idx="3">
                  <c:v>72</c:v>
                </c:pt>
                <c:pt idx="4">
                  <c:v>73</c:v>
                </c:pt>
                <c:pt idx="5">
                  <c:v>112</c:v>
                </c:pt>
                <c:pt idx="6">
                  <c:v>113</c:v>
                </c:pt>
                <c:pt idx="7">
                  <c:v>161</c:v>
                </c:pt>
                <c:pt idx="8">
                  <c:v>66</c:v>
                </c:pt>
                <c:pt idx="9">
                  <c:v>36</c:v>
                </c:pt>
              </c:numCache>
            </c:numRef>
          </c:val>
          <c:smooth val="0"/>
          <c:extLst>
            <c:ext xmlns:c16="http://schemas.microsoft.com/office/drawing/2014/chart" uri="{C3380CC4-5D6E-409C-BE32-E72D297353CC}">
              <c16:uniqueId val="{00000001-A55C-4296-96DC-698B259FAFF0}"/>
            </c:ext>
          </c:extLst>
        </c:ser>
        <c:ser>
          <c:idx val="0"/>
          <c:order val="2"/>
          <c:tx>
            <c:strRef>
              <c:f>'BG,CY,RO'!$A$4</c:f>
              <c:strCache>
                <c:ptCount val="1"/>
                <c:pt idx="0">
                  <c:v>Greece</c:v>
                </c:pt>
              </c:strCache>
            </c:strRef>
          </c:tx>
          <c:spPr>
            <a:ln>
              <a:solidFill>
                <a:schemeClr val="bg1">
                  <a:lumMod val="75000"/>
                </a:schemeClr>
              </a:solidFill>
              <a:prstDash val="sysDash"/>
            </a:ln>
          </c:spPr>
          <c:marker>
            <c:symbol val="none"/>
          </c:marker>
          <c:cat>
            <c:numRef>
              <c:f>'BG,CY,RO'!$B$1:$K$1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'BG,CY,RO'!$B$4:$K$4</c:f>
              <c:numCache>
                <c:formatCode>General</c:formatCode>
                <c:ptCount val="10"/>
                <c:pt idx="2">
                  <c:v>100</c:v>
                </c:pt>
                <c:pt idx="3">
                  <c:v>85</c:v>
                </c:pt>
                <c:pt idx="4">
                  <c:v>100</c:v>
                </c:pt>
                <c:pt idx="5">
                  <c:v>101</c:v>
                </c:pt>
                <c:pt idx="6">
                  <c:v>151</c:v>
                </c:pt>
                <c:pt idx="7">
                  <c:v>104</c:v>
                </c:pt>
                <c:pt idx="8">
                  <c:v>90</c:v>
                </c:pt>
                <c:pt idx="9">
                  <c:v>119</c:v>
                </c:pt>
              </c:numCache>
            </c:numRef>
          </c:val>
          <c:smooth val="0"/>
          <c:extLst>
            <c:ext xmlns:c16="http://schemas.microsoft.com/office/drawing/2014/chart" uri="{C3380CC4-5D6E-409C-BE32-E72D297353CC}">
              <c16:uniqueId val="{00000002-A55C-4296-96DC-698B259FAFF0}"/>
            </c:ext>
          </c:extLst>
        </c:ser>
        <c:ser>
          <c:idx val="4"/>
          <c:order val="3"/>
          <c:tx>
            <c:strRef>
              <c:f>'BG,CY,RO'!$A$5</c:f>
              <c:strCache>
                <c:ptCount val="1"/>
                <c:pt idx="0">
                  <c:v>Romania</c:v>
                </c:pt>
              </c:strCache>
            </c:strRef>
          </c:tx>
          <c:spPr>
            <a:ln>
              <a:solidFill>
                <a:schemeClr val="tx1"/>
              </a:solidFill>
              <a:prstDash val="sysDash"/>
            </a:ln>
          </c:spPr>
          <c:marker>
            <c:symbol val="none"/>
          </c:marker>
          <c:cat>
            <c:numRef>
              <c:f>'BG,CY,RO'!$B$1:$K$1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'BG,CY,RO'!$B$5:$K$5</c:f>
              <c:numCache>
                <c:formatCode>General</c:formatCode>
                <c:ptCount val="10"/>
                <c:pt idx="2">
                  <c:v>100</c:v>
                </c:pt>
                <c:pt idx="3">
                  <c:v>78</c:v>
                </c:pt>
                <c:pt idx="4">
                  <c:v>72</c:v>
                </c:pt>
                <c:pt idx="5">
                  <c:v>72</c:v>
                </c:pt>
                <c:pt idx="6">
                  <c:v>124</c:v>
                </c:pt>
                <c:pt idx="7">
                  <c:v>112</c:v>
                </c:pt>
                <c:pt idx="8">
                  <c:v>88</c:v>
                </c:pt>
                <c:pt idx="9">
                  <c:v>94</c:v>
                </c:pt>
              </c:numCache>
            </c:numRef>
          </c:val>
          <c:smooth val="0"/>
          <c:extLst>
            <c:ext xmlns:c16="http://schemas.microsoft.com/office/drawing/2014/chart" uri="{C3380CC4-5D6E-409C-BE32-E72D297353CC}">
              <c16:uniqueId val="{00000003-A55C-4296-96DC-698B259FAFF0}"/>
            </c:ext>
          </c:extLst>
        </c:ser>
        <c:dLbls>
          <c:showLegendKey val="0"/>
          <c:showVal val="0"/>
          <c:showCatName val="0"/>
          <c:showSerName val="0"/>
          <c:showPercent val="0"/>
          <c:showBubbleSize val="0"/>
        </c:dLbls>
        <c:smooth val="0"/>
        <c:axId val="67419136"/>
        <c:axId val="67433600"/>
      </c:lineChart>
      <c:catAx>
        <c:axId val="6741913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67433600"/>
        <c:crosses val="autoZero"/>
        <c:auto val="1"/>
        <c:lblAlgn val="ctr"/>
        <c:lblOffset val="100"/>
        <c:noMultiLvlLbl val="0"/>
      </c:catAx>
      <c:valAx>
        <c:axId val="67433600"/>
        <c:scaling>
          <c:orientation val="minMax"/>
        </c:scaling>
        <c:delete val="0"/>
        <c:axPos val="l"/>
        <c:title>
          <c:tx>
            <c:rich>
              <a:bodyPr rot="-5400000" vert="horz"/>
              <a:lstStyle/>
              <a:p>
                <a:pPr>
                  <a:defRPr/>
                </a:pPr>
                <a:r>
                  <a:rPr lang="en-US"/>
                  <a:t>Population index</a:t>
                </a:r>
              </a:p>
            </c:rich>
          </c:tx>
          <c:overlay val="0"/>
        </c:title>
        <c:numFmt formatCode="General" sourceLinked="1"/>
        <c:majorTickMark val="out"/>
        <c:minorTickMark val="none"/>
        <c:tickLblPos val="nextTo"/>
        <c:crossAx val="6741913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'Top 5 only'!$C$2</c:f>
              <c:strCache>
                <c:ptCount val="1"/>
                <c:pt idx="0">
                  <c:v>France</c:v>
                </c:pt>
              </c:strCache>
            </c:strRef>
          </c:tx>
          <c:spPr>
            <a:ln>
              <a:solidFill>
                <a:schemeClr val="bg1">
                  <a:lumMod val="75000"/>
                </a:schemeClr>
              </a:solidFill>
            </a:ln>
          </c:spPr>
          <c:marker>
            <c:symbol val="none"/>
          </c:marker>
          <c:cat>
            <c:numRef>
              <c:f>'Top 5 only'!$D$1:$AC$1</c:f>
              <c:numCache>
                <c:formatCode>General</c:formatCod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numCache>
            </c:numRef>
          </c:cat>
          <c:val>
            <c:numRef>
              <c:f>'Top 5 only'!$D$2:$AC$2</c:f>
              <c:numCache>
                <c:formatCode>General</c:formatCode>
                <c:ptCount val="26"/>
                <c:pt idx="0">
                  <c:v>100</c:v>
                </c:pt>
                <c:pt idx="1">
                  <c:v>111</c:v>
                </c:pt>
                <c:pt idx="2">
                  <c:v>89</c:v>
                </c:pt>
                <c:pt idx="3">
                  <c:v>108</c:v>
                </c:pt>
                <c:pt idx="4">
                  <c:v>111</c:v>
                </c:pt>
                <c:pt idx="5">
                  <c:v>106</c:v>
                </c:pt>
                <c:pt idx="6">
                  <c:v>88</c:v>
                </c:pt>
                <c:pt idx="7">
                  <c:v>89</c:v>
                </c:pt>
                <c:pt idx="8">
                  <c:v>98</c:v>
                </c:pt>
                <c:pt idx="9">
                  <c:v>106</c:v>
                </c:pt>
                <c:pt idx="10">
                  <c:v>112</c:v>
                </c:pt>
                <c:pt idx="11">
                  <c:v>115</c:v>
                </c:pt>
                <c:pt idx="12">
                  <c:v>110</c:v>
                </c:pt>
                <c:pt idx="13">
                  <c:v>90</c:v>
                </c:pt>
                <c:pt idx="14">
                  <c:v>93</c:v>
                </c:pt>
                <c:pt idx="15">
                  <c:v>95</c:v>
                </c:pt>
                <c:pt idx="16">
                  <c:v>97</c:v>
                </c:pt>
                <c:pt idx="17">
                  <c:v>85</c:v>
                </c:pt>
                <c:pt idx="18">
                  <c:v>86</c:v>
                </c:pt>
                <c:pt idx="19">
                  <c:v>83</c:v>
                </c:pt>
                <c:pt idx="20">
                  <c:v>75</c:v>
                </c:pt>
                <c:pt idx="21">
                  <c:v>77</c:v>
                </c:pt>
                <c:pt idx="22">
                  <c:v>74</c:v>
                </c:pt>
                <c:pt idx="23">
                  <c:v>63</c:v>
                </c:pt>
                <c:pt idx="24">
                  <c:v>57</c:v>
                </c:pt>
                <c:pt idx="25">
                  <c:v>57</c:v>
                </c:pt>
              </c:numCache>
            </c:numRef>
          </c:val>
          <c:smooth val="0"/>
          <c:extLst>
            <c:ext xmlns:c16="http://schemas.microsoft.com/office/drawing/2014/chart" uri="{C3380CC4-5D6E-409C-BE32-E72D297353CC}">
              <c16:uniqueId val="{00000000-F06B-478C-AA52-BC6EB1C2B821}"/>
            </c:ext>
          </c:extLst>
        </c:ser>
        <c:ser>
          <c:idx val="2"/>
          <c:order val="1"/>
          <c:tx>
            <c:strRef>
              <c:f>'Top 5 only'!$C$3</c:f>
              <c:strCache>
                <c:ptCount val="1"/>
                <c:pt idx="0">
                  <c:v>Hungary</c:v>
                </c:pt>
              </c:strCache>
            </c:strRef>
          </c:tx>
          <c:spPr>
            <a:ln>
              <a:solidFill>
                <a:schemeClr val="bg1">
                  <a:lumMod val="75000"/>
                </a:schemeClr>
              </a:solidFill>
              <a:prstDash val="sysDash"/>
            </a:ln>
          </c:spPr>
          <c:marker>
            <c:symbol val="none"/>
          </c:marker>
          <c:cat>
            <c:numRef>
              <c:f>'Top 5 only'!$D$1:$AC$1</c:f>
              <c:numCache>
                <c:formatCode>General</c:formatCod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numCache>
            </c:numRef>
          </c:cat>
          <c:val>
            <c:numRef>
              <c:f>'Top 5 only'!$D$3:$AC$3</c:f>
              <c:numCache>
                <c:formatCode>General</c:formatCode>
                <c:ptCount val="26"/>
                <c:pt idx="10">
                  <c:v>100</c:v>
                </c:pt>
                <c:pt idx="11">
                  <c:v>100</c:v>
                </c:pt>
                <c:pt idx="12">
                  <c:v>106</c:v>
                </c:pt>
                <c:pt idx="13">
                  <c:v>106</c:v>
                </c:pt>
                <c:pt idx="14">
                  <c:v>127</c:v>
                </c:pt>
                <c:pt idx="15">
                  <c:v>101</c:v>
                </c:pt>
                <c:pt idx="16">
                  <c:v>113</c:v>
                </c:pt>
                <c:pt idx="17">
                  <c:v>91</c:v>
                </c:pt>
                <c:pt idx="18">
                  <c:v>101</c:v>
                </c:pt>
                <c:pt idx="19">
                  <c:v>106</c:v>
                </c:pt>
                <c:pt idx="20">
                  <c:v>120</c:v>
                </c:pt>
                <c:pt idx="21">
                  <c:v>97</c:v>
                </c:pt>
                <c:pt idx="22">
                  <c:v>91</c:v>
                </c:pt>
                <c:pt idx="23">
                  <c:v>106</c:v>
                </c:pt>
                <c:pt idx="24">
                  <c:v>106</c:v>
                </c:pt>
                <c:pt idx="25">
                  <c:v>100</c:v>
                </c:pt>
              </c:numCache>
            </c:numRef>
          </c:val>
          <c:smooth val="0"/>
          <c:extLst>
            <c:ext xmlns:c16="http://schemas.microsoft.com/office/drawing/2014/chart" uri="{C3380CC4-5D6E-409C-BE32-E72D297353CC}">
              <c16:uniqueId val="{00000001-F06B-478C-AA52-BC6EB1C2B821}"/>
            </c:ext>
          </c:extLst>
        </c:ser>
        <c:ser>
          <c:idx val="3"/>
          <c:order val="2"/>
          <c:tx>
            <c:strRef>
              <c:f>'Top 5 only'!$C$4</c:f>
              <c:strCache>
                <c:ptCount val="1"/>
                <c:pt idx="0">
                  <c:v>Italy</c:v>
                </c:pt>
              </c:strCache>
            </c:strRef>
          </c:tx>
          <c:spPr>
            <a:ln>
              <a:solidFill>
                <a:schemeClr val="tx1"/>
              </a:solidFill>
            </a:ln>
          </c:spPr>
          <c:marker>
            <c:symbol val="none"/>
          </c:marker>
          <c:cat>
            <c:numRef>
              <c:f>'Top 5 only'!$D$1:$AC$1</c:f>
              <c:numCache>
                <c:formatCode>General</c:formatCod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numCache>
            </c:numRef>
          </c:cat>
          <c:val>
            <c:numRef>
              <c:f>'Top 5 only'!$D$4:$AC$4</c:f>
              <c:numCache>
                <c:formatCode>General</c:formatCode>
                <c:ptCount val="26"/>
                <c:pt idx="11">
                  <c:v>100</c:v>
                </c:pt>
                <c:pt idx="12">
                  <c:v>105</c:v>
                </c:pt>
                <c:pt idx="13">
                  <c:v>96</c:v>
                </c:pt>
                <c:pt idx="14">
                  <c:v>107</c:v>
                </c:pt>
                <c:pt idx="15">
                  <c:v>117</c:v>
                </c:pt>
                <c:pt idx="16">
                  <c:v>110</c:v>
                </c:pt>
                <c:pt idx="17">
                  <c:v>103</c:v>
                </c:pt>
                <c:pt idx="18">
                  <c:v>104</c:v>
                </c:pt>
                <c:pt idx="19">
                  <c:v>108</c:v>
                </c:pt>
                <c:pt idx="20">
                  <c:v>115</c:v>
                </c:pt>
                <c:pt idx="21">
                  <c:v>113</c:v>
                </c:pt>
                <c:pt idx="22">
                  <c:v>110</c:v>
                </c:pt>
                <c:pt idx="23">
                  <c:v>111</c:v>
                </c:pt>
                <c:pt idx="24">
                  <c:v>109</c:v>
                </c:pt>
                <c:pt idx="25">
                  <c:v>95</c:v>
                </c:pt>
              </c:numCache>
            </c:numRef>
          </c:val>
          <c:smooth val="0"/>
          <c:extLst>
            <c:ext xmlns:c16="http://schemas.microsoft.com/office/drawing/2014/chart" uri="{C3380CC4-5D6E-409C-BE32-E72D297353CC}">
              <c16:uniqueId val="{00000002-F06B-478C-AA52-BC6EB1C2B821}"/>
            </c:ext>
          </c:extLst>
        </c:ser>
        <c:ser>
          <c:idx val="4"/>
          <c:order val="3"/>
          <c:tx>
            <c:strRef>
              <c:f>'Top 5 only'!$C$5</c:f>
              <c:strCache>
                <c:ptCount val="1"/>
                <c:pt idx="0">
                  <c:v>Romania</c:v>
                </c:pt>
              </c:strCache>
            </c:strRef>
          </c:tx>
          <c:spPr>
            <a:ln>
              <a:solidFill>
                <a:schemeClr val="tx1"/>
              </a:solidFill>
              <a:prstDash val="sysDot"/>
            </a:ln>
          </c:spPr>
          <c:marker>
            <c:symbol val="none"/>
          </c:marker>
          <c:cat>
            <c:numRef>
              <c:f>'Top 5 only'!$D$1:$AC$1</c:f>
              <c:numCache>
                <c:formatCode>General</c:formatCod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numCache>
            </c:numRef>
          </c:cat>
          <c:val>
            <c:numRef>
              <c:f>'Top 5 only'!$D$5:$AC$5</c:f>
              <c:numCache>
                <c:formatCode>General</c:formatCode>
                <c:ptCount val="26"/>
                <c:pt idx="18">
                  <c:v>100</c:v>
                </c:pt>
                <c:pt idx="19">
                  <c:v>78</c:v>
                </c:pt>
                <c:pt idx="20">
                  <c:v>72</c:v>
                </c:pt>
                <c:pt idx="21">
                  <c:v>72</c:v>
                </c:pt>
                <c:pt idx="22">
                  <c:v>124</c:v>
                </c:pt>
                <c:pt idx="23">
                  <c:v>112</c:v>
                </c:pt>
                <c:pt idx="24">
                  <c:v>88</c:v>
                </c:pt>
                <c:pt idx="25">
                  <c:v>94</c:v>
                </c:pt>
              </c:numCache>
            </c:numRef>
          </c:val>
          <c:smooth val="0"/>
          <c:extLst>
            <c:ext xmlns:c16="http://schemas.microsoft.com/office/drawing/2014/chart" uri="{C3380CC4-5D6E-409C-BE32-E72D297353CC}">
              <c16:uniqueId val="{00000003-F06B-478C-AA52-BC6EB1C2B821}"/>
            </c:ext>
          </c:extLst>
        </c:ser>
        <c:ser>
          <c:idx val="5"/>
          <c:order val="4"/>
          <c:tx>
            <c:strRef>
              <c:f>'Top 5 only'!$C$6</c:f>
              <c:strCache>
                <c:ptCount val="1"/>
                <c:pt idx="0">
                  <c:v>Spain</c:v>
                </c:pt>
              </c:strCache>
            </c:strRef>
          </c:tx>
          <c:spPr>
            <a:ln>
              <a:solidFill>
                <a:schemeClr val="tx1"/>
              </a:solidFill>
              <a:prstDash val="sysDash"/>
            </a:ln>
          </c:spPr>
          <c:marker>
            <c:symbol val="none"/>
          </c:marker>
          <c:cat>
            <c:numRef>
              <c:f>'Top 5 only'!$D$1:$AC$1</c:f>
              <c:numCache>
                <c:formatCode>General</c:formatCod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numCache>
            </c:numRef>
          </c:cat>
          <c:val>
            <c:numRef>
              <c:f>'Top 5 only'!$D$6:$AC$6</c:f>
              <c:numCache>
                <c:formatCode>General</c:formatCode>
                <c:ptCount val="26"/>
                <c:pt idx="9">
                  <c:v>100</c:v>
                </c:pt>
                <c:pt idx="10">
                  <c:v>92</c:v>
                </c:pt>
                <c:pt idx="11">
                  <c:v>91</c:v>
                </c:pt>
                <c:pt idx="12">
                  <c:v>96</c:v>
                </c:pt>
                <c:pt idx="13">
                  <c:v>94</c:v>
                </c:pt>
                <c:pt idx="14">
                  <c:v>90</c:v>
                </c:pt>
                <c:pt idx="15">
                  <c:v>104</c:v>
                </c:pt>
                <c:pt idx="16">
                  <c:v>100</c:v>
                </c:pt>
                <c:pt idx="17">
                  <c:v>98</c:v>
                </c:pt>
                <c:pt idx="18">
                  <c:v>107</c:v>
                </c:pt>
                <c:pt idx="19">
                  <c:v>89</c:v>
                </c:pt>
                <c:pt idx="20">
                  <c:v>90</c:v>
                </c:pt>
                <c:pt idx="21">
                  <c:v>76</c:v>
                </c:pt>
                <c:pt idx="22">
                  <c:v>80</c:v>
                </c:pt>
                <c:pt idx="23">
                  <c:v>72</c:v>
                </c:pt>
                <c:pt idx="24">
                  <c:v>70</c:v>
                </c:pt>
                <c:pt idx="25">
                  <c:v>75</c:v>
                </c:pt>
              </c:numCache>
            </c:numRef>
          </c:val>
          <c:smooth val="0"/>
          <c:extLst>
            <c:ext xmlns:c16="http://schemas.microsoft.com/office/drawing/2014/chart" uri="{C3380CC4-5D6E-409C-BE32-E72D297353CC}">
              <c16:uniqueId val="{00000004-F06B-478C-AA52-BC6EB1C2B821}"/>
            </c:ext>
          </c:extLst>
        </c:ser>
        <c:dLbls>
          <c:showLegendKey val="0"/>
          <c:showVal val="0"/>
          <c:showCatName val="0"/>
          <c:showSerName val="0"/>
          <c:showPercent val="0"/>
          <c:showBubbleSize val="0"/>
        </c:dLbls>
        <c:smooth val="0"/>
        <c:axId val="76382208"/>
        <c:axId val="76384128"/>
      </c:lineChart>
      <c:catAx>
        <c:axId val="76382208"/>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76384128"/>
        <c:crosses val="autoZero"/>
        <c:auto val="1"/>
        <c:lblAlgn val="ctr"/>
        <c:lblOffset val="100"/>
        <c:noMultiLvlLbl val="0"/>
      </c:catAx>
      <c:valAx>
        <c:axId val="76384128"/>
        <c:scaling>
          <c:orientation val="minMax"/>
        </c:scaling>
        <c:delete val="0"/>
        <c:axPos val="l"/>
        <c:title>
          <c:tx>
            <c:rich>
              <a:bodyPr rot="-5400000" vert="horz"/>
              <a:lstStyle/>
              <a:p>
                <a:pPr>
                  <a:defRPr/>
                </a:pPr>
                <a:r>
                  <a:rPr lang="en-US"/>
                  <a:t>Population index</a:t>
                </a:r>
              </a:p>
            </c:rich>
          </c:tx>
          <c:overlay val="0"/>
        </c:title>
        <c:numFmt formatCode="General" sourceLinked="1"/>
        <c:majorTickMark val="out"/>
        <c:minorTickMark val="none"/>
        <c:tickLblPos val="nextTo"/>
        <c:crossAx val="7638220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Sheet5!$C$2</c:f>
              <c:strCache>
                <c:ptCount val="1"/>
                <c:pt idx="0">
                  <c:v>Belgium-Wallonia</c:v>
                </c:pt>
              </c:strCache>
            </c:strRef>
          </c:tx>
          <c:spPr>
            <a:ln>
              <a:solidFill>
                <a:schemeClr val="bg1">
                  <a:lumMod val="75000"/>
                </a:schemeClr>
              </a:solidFill>
              <a:prstDash val="sysDash"/>
            </a:ln>
          </c:spPr>
          <c:marker>
            <c:symbol val="none"/>
          </c:marker>
          <c:cat>
            <c:numRef>
              <c:f>Sheet5!$D$1:$AZ$1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Sheet5!$D$2:$AZ$2</c:f>
              <c:numCache>
                <c:formatCode>General</c:formatCode>
                <c:ptCount val="49"/>
                <c:pt idx="24">
                  <c:v>100</c:v>
                </c:pt>
                <c:pt idx="25">
                  <c:v>72</c:v>
                </c:pt>
                <c:pt idx="26">
                  <c:v>65</c:v>
                </c:pt>
                <c:pt idx="27">
                  <c:v>64</c:v>
                </c:pt>
                <c:pt idx="28">
                  <c:v>52</c:v>
                </c:pt>
                <c:pt idx="29">
                  <c:v>54</c:v>
                </c:pt>
                <c:pt idx="30">
                  <c:v>45</c:v>
                </c:pt>
                <c:pt idx="31">
                  <c:v>36</c:v>
                </c:pt>
                <c:pt idx="32">
                  <c:v>45</c:v>
                </c:pt>
                <c:pt idx="33">
                  <c:v>41</c:v>
                </c:pt>
                <c:pt idx="34">
                  <c:v>31</c:v>
                </c:pt>
                <c:pt idx="35">
                  <c:v>35</c:v>
                </c:pt>
                <c:pt idx="36">
                  <c:v>29</c:v>
                </c:pt>
                <c:pt idx="37">
                  <c:v>18</c:v>
                </c:pt>
                <c:pt idx="38">
                  <c:v>37</c:v>
                </c:pt>
                <c:pt idx="39">
                  <c:v>21</c:v>
                </c:pt>
                <c:pt idx="40">
                  <c:v>21</c:v>
                </c:pt>
                <c:pt idx="41">
                  <c:v>30</c:v>
                </c:pt>
                <c:pt idx="42">
                  <c:v>17</c:v>
                </c:pt>
                <c:pt idx="43">
                  <c:v>13</c:v>
                </c:pt>
                <c:pt idx="44">
                  <c:v>10</c:v>
                </c:pt>
                <c:pt idx="45">
                  <c:v>9</c:v>
                </c:pt>
                <c:pt idx="46">
                  <c:v>5</c:v>
                </c:pt>
                <c:pt idx="47">
                  <c:v>10</c:v>
                </c:pt>
                <c:pt idx="48">
                  <c:v>12</c:v>
                </c:pt>
              </c:numCache>
            </c:numRef>
          </c:val>
          <c:smooth val="0"/>
          <c:extLst>
            <c:ext xmlns:c16="http://schemas.microsoft.com/office/drawing/2014/chart" uri="{C3380CC4-5D6E-409C-BE32-E72D297353CC}">
              <c16:uniqueId val="{00000000-E135-4159-9593-FC5B91106ED6}"/>
            </c:ext>
          </c:extLst>
        </c:ser>
        <c:ser>
          <c:idx val="2"/>
          <c:order val="1"/>
          <c:tx>
            <c:strRef>
              <c:f>Sheet5!$C$3</c:f>
              <c:strCache>
                <c:ptCount val="1"/>
                <c:pt idx="0">
                  <c:v>Netherlands</c:v>
                </c:pt>
              </c:strCache>
            </c:strRef>
          </c:tx>
          <c:spPr>
            <a:ln>
              <a:solidFill>
                <a:schemeClr val="tx1"/>
              </a:solidFill>
              <a:prstDash val="sysDot"/>
            </a:ln>
          </c:spPr>
          <c:marker>
            <c:symbol val="none"/>
          </c:marker>
          <c:cat>
            <c:numRef>
              <c:f>Sheet5!$D$1:$AZ$1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Sheet5!$D$3:$AZ$3</c:f>
              <c:numCache>
                <c:formatCode>General</c:formatCode>
                <c:ptCount val="49"/>
                <c:pt idx="18">
                  <c:v>150</c:v>
                </c:pt>
                <c:pt idx="19">
                  <c:v>141</c:v>
                </c:pt>
                <c:pt idx="20">
                  <c:v>128</c:v>
                </c:pt>
                <c:pt idx="21">
                  <c:v>119</c:v>
                </c:pt>
                <c:pt idx="22">
                  <c:v>101</c:v>
                </c:pt>
                <c:pt idx="23">
                  <c:v>97</c:v>
                </c:pt>
                <c:pt idx="24">
                  <c:v>100</c:v>
                </c:pt>
                <c:pt idx="25">
                  <c:v>78</c:v>
                </c:pt>
                <c:pt idx="26">
                  <c:v>76</c:v>
                </c:pt>
                <c:pt idx="27">
                  <c:v>77</c:v>
                </c:pt>
                <c:pt idx="28">
                  <c:v>63</c:v>
                </c:pt>
                <c:pt idx="29">
                  <c:v>74</c:v>
                </c:pt>
                <c:pt idx="30">
                  <c:v>72</c:v>
                </c:pt>
                <c:pt idx="31">
                  <c:v>65</c:v>
                </c:pt>
                <c:pt idx="32">
                  <c:v>55</c:v>
                </c:pt>
                <c:pt idx="33">
                  <c:v>44</c:v>
                </c:pt>
                <c:pt idx="34">
                  <c:v>42</c:v>
                </c:pt>
                <c:pt idx="35">
                  <c:v>36</c:v>
                </c:pt>
                <c:pt idx="36">
                  <c:v>33</c:v>
                </c:pt>
                <c:pt idx="37">
                  <c:v>32</c:v>
                </c:pt>
                <c:pt idx="38">
                  <c:v>32</c:v>
                </c:pt>
                <c:pt idx="39">
                  <c:v>33</c:v>
                </c:pt>
                <c:pt idx="40">
                  <c:v>34</c:v>
                </c:pt>
                <c:pt idx="41">
                  <c:v>36</c:v>
                </c:pt>
                <c:pt idx="42">
                  <c:v>27</c:v>
                </c:pt>
                <c:pt idx="43">
                  <c:v>22</c:v>
                </c:pt>
                <c:pt idx="44">
                  <c:v>21</c:v>
                </c:pt>
                <c:pt idx="45">
                  <c:v>20</c:v>
                </c:pt>
                <c:pt idx="46">
                  <c:v>18</c:v>
                </c:pt>
                <c:pt idx="47">
                  <c:v>13</c:v>
                </c:pt>
                <c:pt idx="48">
                  <c:v>13</c:v>
                </c:pt>
              </c:numCache>
            </c:numRef>
          </c:val>
          <c:smooth val="0"/>
          <c:extLst>
            <c:ext xmlns:c16="http://schemas.microsoft.com/office/drawing/2014/chart" uri="{C3380CC4-5D6E-409C-BE32-E72D297353CC}">
              <c16:uniqueId val="{00000001-E135-4159-9593-FC5B91106ED6}"/>
            </c:ext>
          </c:extLst>
        </c:ser>
        <c:ser>
          <c:idx val="3"/>
          <c:order val="2"/>
          <c:tx>
            <c:strRef>
              <c:f>Sheet5!$C$4</c:f>
              <c:strCache>
                <c:ptCount val="1"/>
                <c:pt idx="0">
                  <c:v>Portugal</c:v>
                </c:pt>
              </c:strCache>
            </c:strRef>
          </c:tx>
          <c:spPr>
            <a:ln>
              <a:solidFill>
                <a:schemeClr val="tx1"/>
              </a:solidFill>
              <a:prstDash val="sysDash"/>
            </a:ln>
          </c:spPr>
          <c:marker>
            <c:symbol val="none"/>
          </c:marker>
          <c:cat>
            <c:numRef>
              <c:f>Sheet5!$D$1:$AZ$1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Sheet5!$D$4:$AZ$4</c:f>
              <c:numCache>
                <c:formatCode>General</c:formatCode>
                <c:ptCount val="49"/>
                <c:pt idx="38">
                  <c:v>100</c:v>
                </c:pt>
                <c:pt idx="39">
                  <c:v>91</c:v>
                </c:pt>
                <c:pt idx="40">
                  <c:v>79</c:v>
                </c:pt>
                <c:pt idx="41">
                  <c:v>70</c:v>
                </c:pt>
                <c:pt idx="42">
                  <c:v>56</c:v>
                </c:pt>
                <c:pt idx="43">
                  <c:v>48</c:v>
                </c:pt>
                <c:pt idx="44">
                  <c:v>59</c:v>
                </c:pt>
                <c:pt idx="45">
                  <c:v>48</c:v>
                </c:pt>
                <c:pt idx="46">
                  <c:v>36</c:v>
                </c:pt>
                <c:pt idx="47">
                  <c:v>30</c:v>
                </c:pt>
                <c:pt idx="48">
                  <c:v>46</c:v>
                </c:pt>
              </c:numCache>
            </c:numRef>
          </c:val>
          <c:smooth val="0"/>
          <c:extLst>
            <c:ext xmlns:c16="http://schemas.microsoft.com/office/drawing/2014/chart" uri="{C3380CC4-5D6E-409C-BE32-E72D297353CC}">
              <c16:uniqueId val="{00000002-E135-4159-9593-FC5B91106ED6}"/>
            </c:ext>
          </c:extLst>
        </c:ser>
        <c:ser>
          <c:idx val="4"/>
          <c:order val="3"/>
          <c:tx>
            <c:strRef>
              <c:f>Sheet5!$C$5</c:f>
              <c:strCache>
                <c:ptCount val="1"/>
                <c:pt idx="0">
                  <c:v>Slovenia</c:v>
                </c:pt>
              </c:strCache>
            </c:strRef>
          </c:tx>
          <c:spPr>
            <a:ln>
              <a:solidFill>
                <a:schemeClr val="bg1">
                  <a:lumMod val="75000"/>
                </a:schemeClr>
              </a:solidFill>
            </a:ln>
          </c:spPr>
          <c:marker>
            <c:symbol val="none"/>
          </c:marker>
          <c:cat>
            <c:numRef>
              <c:f>Sheet5!$D$1:$AZ$1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Sheet5!$D$5:$AZ$5</c:f>
              <c:numCache>
                <c:formatCode>General</c:formatCode>
                <c:ptCount val="49"/>
                <c:pt idx="41">
                  <c:v>100</c:v>
                </c:pt>
                <c:pt idx="42">
                  <c:v>161</c:v>
                </c:pt>
                <c:pt idx="43">
                  <c:v>143</c:v>
                </c:pt>
                <c:pt idx="44">
                  <c:v>109</c:v>
                </c:pt>
                <c:pt idx="45">
                  <c:v>59</c:v>
                </c:pt>
                <c:pt idx="46">
                  <c:v>89</c:v>
                </c:pt>
                <c:pt idx="47">
                  <c:v>76</c:v>
                </c:pt>
                <c:pt idx="48">
                  <c:v>73</c:v>
                </c:pt>
              </c:numCache>
            </c:numRef>
          </c:val>
          <c:smooth val="0"/>
          <c:extLst>
            <c:ext xmlns:c16="http://schemas.microsoft.com/office/drawing/2014/chart" uri="{C3380CC4-5D6E-409C-BE32-E72D297353CC}">
              <c16:uniqueId val="{00000003-E135-4159-9593-FC5B91106ED6}"/>
            </c:ext>
          </c:extLst>
        </c:ser>
        <c:ser>
          <c:idx val="5"/>
          <c:order val="4"/>
          <c:tx>
            <c:strRef>
              <c:f>Sheet5!$C$6</c:f>
              <c:strCache>
                <c:ptCount val="1"/>
                <c:pt idx="0">
                  <c:v>United Kingdom</c:v>
                </c:pt>
              </c:strCache>
            </c:strRef>
          </c:tx>
          <c:spPr>
            <a:ln>
              <a:solidFill>
                <a:prstClr val="black"/>
              </a:solidFill>
            </a:ln>
          </c:spPr>
          <c:marker>
            <c:symbol val="none"/>
          </c:marker>
          <c:cat>
            <c:numRef>
              <c:f>Sheet5!$D$1:$AZ$1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Sheet5!$D$6:$AZ$6</c:f>
              <c:numCache>
                <c:formatCode>General</c:formatCode>
                <c:ptCount val="49"/>
                <c:pt idx="0">
                  <c:v>100</c:v>
                </c:pt>
                <c:pt idx="1">
                  <c:v>96</c:v>
                </c:pt>
                <c:pt idx="2">
                  <c:v>104</c:v>
                </c:pt>
                <c:pt idx="3">
                  <c:v>110</c:v>
                </c:pt>
                <c:pt idx="4">
                  <c:v>114</c:v>
                </c:pt>
                <c:pt idx="5">
                  <c:v>110</c:v>
                </c:pt>
                <c:pt idx="6">
                  <c:v>104</c:v>
                </c:pt>
                <c:pt idx="7">
                  <c:v>106</c:v>
                </c:pt>
                <c:pt idx="8">
                  <c:v>108</c:v>
                </c:pt>
                <c:pt idx="9">
                  <c:v>95</c:v>
                </c:pt>
                <c:pt idx="10">
                  <c:v>119</c:v>
                </c:pt>
                <c:pt idx="11">
                  <c:v>101</c:v>
                </c:pt>
                <c:pt idx="12">
                  <c:v>97</c:v>
                </c:pt>
                <c:pt idx="13">
                  <c:v>103</c:v>
                </c:pt>
                <c:pt idx="14">
                  <c:v>91</c:v>
                </c:pt>
                <c:pt idx="15">
                  <c:v>86</c:v>
                </c:pt>
                <c:pt idx="16">
                  <c:v>78</c:v>
                </c:pt>
                <c:pt idx="17">
                  <c:v>79</c:v>
                </c:pt>
                <c:pt idx="18">
                  <c:v>67</c:v>
                </c:pt>
                <c:pt idx="19">
                  <c:v>60</c:v>
                </c:pt>
                <c:pt idx="20">
                  <c:v>64</c:v>
                </c:pt>
                <c:pt idx="21">
                  <c:v>65</c:v>
                </c:pt>
                <c:pt idx="22">
                  <c:v>50</c:v>
                </c:pt>
                <c:pt idx="23">
                  <c:v>51</c:v>
                </c:pt>
                <c:pt idx="24">
                  <c:v>51</c:v>
                </c:pt>
                <c:pt idx="25">
                  <c:v>42</c:v>
                </c:pt>
                <c:pt idx="26">
                  <c:v>52</c:v>
                </c:pt>
                <c:pt idx="27">
                  <c:v>39</c:v>
                </c:pt>
                <c:pt idx="28">
                  <c:v>36</c:v>
                </c:pt>
                <c:pt idx="29">
                  <c:v>40</c:v>
                </c:pt>
                <c:pt idx="30">
                  <c:v>38</c:v>
                </c:pt>
                <c:pt idx="31">
                  <c:v>33</c:v>
                </c:pt>
                <c:pt idx="32">
                  <c:v>35</c:v>
                </c:pt>
                <c:pt idx="33">
                  <c:v>30</c:v>
                </c:pt>
                <c:pt idx="34">
                  <c:v>30</c:v>
                </c:pt>
                <c:pt idx="35">
                  <c:v>30</c:v>
                </c:pt>
                <c:pt idx="36">
                  <c:v>25</c:v>
                </c:pt>
                <c:pt idx="37">
                  <c:v>23</c:v>
                </c:pt>
                <c:pt idx="38">
                  <c:v>21</c:v>
                </c:pt>
                <c:pt idx="39">
                  <c:v>21</c:v>
                </c:pt>
                <c:pt idx="40">
                  <c:v>15</c:v>
                </c:pt>
                <c:pt idx="41">
                  <c:v>13</c:v>
                </c:pt>
                <c:pt idx="42">
                  <c:v>10</c:v>
                </c:pt>
                <c:pt idx="43">
                  <c:v>10</c:v>
                </c:pt>
                <c:pt idx="44">
                  <c:v>8</c:v>
                </c:pt>
                <c:pt idx="45">
                  <c:v>6</c:v>
                </c:pt>
                <c:pt idx="46">
                  <c:v>4</c:v>
                </c:pt>
                <c:pt idx="47">
                  <c:v>4</c:v>
                </c:pt>
                <c:pt idx="48">
                  <c:v>3</c:v>
                </c:pt>
              </c:numCache>
            </c:numRef>
          </c:val>
          <c:smooth val="0"/>
          <c:extLst>
            <c:ext xmlns:c16="http://schemas.microsoft.com/office/drawing/2014/chart" uri="{C3380CC4-5D6E-409C-BE32-E72D297353CC}">
              <c16:uniqueId val="{00000004-E135-4159-9593-FC5B91106ED6}"/>
            </c:ext>
          </c:extLst>
        </c:ser>
        <c:dLbls>
          <c:showLegendKey val="0"/>
          <c:showVal val="0"/>
          <c:showCatName val="0"/>
          <c:showSerName val="0"/>
          <c:showPercent val="0"/>
          <c:showBubbleSize val="0"/>
        </c:dLbls>
        <c:smooth val="0"/>
        <c:axId val="76411648"/>
        <c:axId val="76413568"/>
      </c:lineChart>
      <c:catAx>
        <c:axId val="76411648"/>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76413568"/>
        <c:crosses val="autoZero"/>
        <c:auto val="1"/>
        <c:lblAlgn val="ctr"/>
        <c:lblOffset val="100"/>
        <c:noMultiLvlLbl val="0"/>
      </c:catAx>
      <c:valAx>
        <c:axId val="76413568"/>
        <c:scaling>
          <c:orientation val="minMax"/>
        </c:scaling>
        <c:delete val="0"/>
        <c:axPos val="l"/>
        <c:title>
          <c:tx>
            <c:rich>
              <a:bodyPr rot="-5400000" vert="horz"/>
              <a:lstStyle/>
              <a:p>
                <a:pPr>
                  <a:defRPr/>
                </a:pPr>
                <a:r>
                  <a:rPr lang="en-US"/>
                  <a:t>Population index</a:t>
                </a:r>
              </a:p>
            </c:rich>
          </c:tx>
          <c:overlay val="0"/>
        </c:title>
        <c:numFmt formatCode="General" sourceLinked="1"/>
        <c:majorTickMark val="out"/>
        <c:minorTickMark val="none"/>
        <c:tickLblPos val="nextTo"/>
        <c:crossAx val="7641164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Sheet6!$D$1</c:f>
              <c:strCache>
                <c:ptCount val="1"/>
                <c:pt idx="0">
                  <c:v>Slope Multiplicative</c:v>
                </c:pt>
              </c:strCache>
            </c:strRef>
          </c:tx>
          <c:spPr>
            <a:solidFill>
              <a:schemeClr val="bg1">
                <a:lumMod val="75000"/>
              </a:schemeClr>
            </a:solidFill>
          </c:spPr>
          <c:invertIfNegative val="0"/>
          <c:errBars>
            <c:errBarType val="both"/>
            <c:errValType val="cust"/>
            <c:noEndCap val="0"/>
            <c:plus>
              <c:numRef>
                <c:f>Sheet6!$E$2:$E$8</c:f>
                <c:numCache>
                  <c:formatCode>General</c:formatCode>
                  <c:ptCount val="7"/>
                  <c:pt idx="0">
                    <c:v>3.5000000000000413E-3</c:v>
                  </c:pt>
                  <c:pt idx="1">
                    <c:v>1.4E-2</c:v>
                  </c:pt>
                  <c:pt idx="2">
                    <c:v>5.7000000000000123E-3</c:v>
                  </c:pt>
                  <c:pt idx="3">
                    <c:v>5.0000000000000114E-3</c:v>
                  </c:pt>
                  <c:pt idx="4">
                    <c:v>8.1000000000000048E-3</c:v>
                  </c:pt>
                  <c:pt idx="5">
                    <c:v>2.8000000000000052E-3</c:v>
                  </c:pt>
                  <c:pt idx="6">
                    <c:v>4.1999999999999997E-3</c:v>
                  </c:pt>
                </c:numCache>
              </c:numRef>
            </c:plus>
            <c:minus>
              <c:numRef>
                <c:f>Sheet6!$E$2:$E$8</c:f>
                <c:numCache>
                  <c:formatCode>General</c:formatCode>
                  <c:ptCount val="7"/>
                  <c:pt idx="0">
                    <c:v>3.5000000000000413E-3</c:v>
                  </c:pt>
                  <c:pt idx="1">
                    <c:v>1.4E-2</c:v>
                  </c:pt>
                  <c:pt idx="2">
                    <c:v>5.7000000000000123E-3</c:v>
                  </c:pt>
                  <c:pt idx="3">
                    <c:v>5.0000000000000114E-3</c:v>
                  </c:pt>
                  <c:pt idx="4">
                    <c:v>8.1000000000000048E-3</c:v>
                  </c:pt>
                  <c:pt idx="5">
                    <c:v>2.8000000000000052E-3</c:v>
                  </c:pt>
                  <c:pt idx="6">
                    <c:v>4.1999999999999997E-3</c:v>
                  </c:pt>
                </c:numCache>
              </c:numRef>
            </c:minus>
          </c:errBars>
          <c:cat>
            <c:strRef>
              <c:f>Sheet6!$C$2:$C$8</c:f>
              <c:strCache>
                <c:ptCount val="7"/>
                <c:pt idx="0">
                  <c:v>Spain</c:v>
                </c:pt>
                <c:pt idx="1">
                  <c:v>Portugal</c:v>
                </c:pt>
                <c:pt idx="2">
                  <c:v>France</c:v>
                </c:pt>
                <c:pt idx="3">
                  <c:v>Germany</c:v>
                </c:pt>
                <c:pt idx="4">
                  <c:v>Belgium-Wallonia</c:v>
                </c:pt>
                <c:pt idx="5">
                  <c:v>United Kingdom</c:v>
                </c:pt>
                <c:pt idx="6">
                  <c:v>Netherlands</c:v>
                </c:pt>
              </c:strCache>
            </c:strRef>
          </c:cat>
          <c:val>
            <c:numRef>
              <c:f>Sheet6!$D$2:$D$8</c:f>
              <c:numCache>
                <c:formatCode>General</c:formatCode>
                <c:ptCount val="7"/>
                <c:pt idx="0">
                  <c:v>0.98139999999999949</c:v>
                </c:pt>
                <c:pt idx="1">
                  <c:v>0.90129999999999999</c:v>
                </c:pt>
                <c:pt idx="2">
                  <c:v>0.97980000000000778</c:v>
                </c:pt>
                <c:pt idx="3">
                  <c:v>0.957600000000008</c:v>
                </c:pt>
                <c:pt idx="4">
                  <c:v>0.90910000000000002</c:v>
                </c:pt>
                <c:pt idx="5">
                  <c:v>0.93730000000000002</c:v>
                </c:pt>
                <c:pt idx="6">
                  <c:v>0.92689999999999995</c:v>
                </c:pt>
              </c:numCache>
            </c:numRef>
          </c:val>
          <c:extLst>
            <c:ext xmlns:c16="http://schemas.microsoft.com/office/drawing/2014/chart" uri="{C3380CC4-5D6E-409C-BE32-E72D297353CC}">
              <c16:uniqueId val="{00000000-88AB-4FA9-8089-A5AF34641D22}"/>
            </c:ext>
          </c:extLst>
        </c:ser>
        <c:dLbls>
          <c:showLegendKey val="0"/>
          <c:showVal val="0"/>
          <c:showCatName val="0"/>
          <c:showSerName val="0"/>
          <c:showPercent val="0"/>
          <c:showBubbleSize val="0"/>
        </c:dLbls>
        <c:gapWidth val="150"/>
        <c:axId val="77023872"/>
        <c:axId val="77033856"/>
      </c:barChart>
      <c:catAx>
        <c:axId val="77023872"/>
        <c:scaling>
          <c:orientation val="minMax"/>
        </c:scaling>
        <c:delete val="0"/>
        <c:axPos val="l"/>
        <c:numFmt formatCode="General" sourceLinked="0"/>
        <c:majorTickMark val="out"/>
        <c:minorTickMark val="none"/>
        <c:tickLblPos val="nextTo"/>
        <c:crossAx val="77033856"/>
        <c:crossesAt val="1"/>
        <c:auto val="1"/>
        <c:lblAlgn val="ctr"/>
        <c:lblOffset val="100"/>
        <c:noMultiLvlLbl val="0"/>
      </c:catAx>
      <c:valAx>
        <c:axId val="77033856"/>
        <c:scaling>
          <c:orientation val="minMax"/>
          <c:max val="1.1500000000000001"/>
          <c:min val="0.85000000000000064"/>
        </c:scaling>
        <c:delete val="0"/>
        <c:axPos val="b"/>
        <c:title>
          <c:tx>
            <c:rich>
              <a:bodyPr/>
              <a:lstStyle/>
              <a:p>
                <a:pPr>
                  <a:defRPr/>
                </a:pPr>
                <a:r>
                  <a:rPr lang="en-US"/>
                  <a:t>Multiplicative trend slope</a:t>
                </a:r>
              </a:p>
            </c:rich>
          </c:tx>
          <c:overlay val="0"/>
        </c:title>
        <c:numFmt formatCode="General" sourceLinked="1"/>
        <c:majorTickMark val="out"/>
        <c:minorTickMark val="none"/>
        <c:tickLblPos val="nextTo"/>
        <c:crossAx val="77023872"/>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252E2-3E39-480B-B827-7EE2C9AA1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COP11_Template_English_new</Template>
  <TotalTime>3</TotalTime>
  <Pages>115</Pages>
  <Words>48240</Words>
  <Characters>282473</Characters>
  <Application>Microsoft Office Word</Application>
  <DocSecurity>0</DocSecurity>
  <Lines>2353</Lines>
  <Paragraphs>660</Paragraphs>
  <ScaleCrop>false</ScaleCrop>
  <HeadingPairs>
    <vt:vector size="2" baseType="variant">
      <vt:variant>
        <vt:lpstr>Title</vt:lpstr>
      </vt:variant>
      <vt:variant>
        <vt:i4>1</vt:i4>
      </vt:variant>
    </vt:vector>
  </HeadingPairs>
  <TitlesOfParts>
    <vt:vector size="1" baseType="lpstr">
      <vt:lpstr>17TH MEETING OF THE</vt:lpstr>
    </vt:vector>
  </TitlesOfParts>
  <Company>United Nations Volunteers (UNV) programme</Company>
  <LinksUpToDate>false</LinksUpToDate>
  <CharactersWithSpaces>330053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17TH MEETING OF THE</dc:title>
  <dc:subject/>
  <dc:creator>barbara.schoenberg@cms.int</dc:creator>
  <cp:keywords/>
  <cp:lastModifiedBy>CMS Secretariat</cp:lastModifiedBy>
  <cp:revision>5</cp:revision>
  <cp:lastPrinted>2017-05-26T08:14:00Z</cp:lastPrinted>
  <dcterms:created xsi:type="dcterms:W3CDTF">2017-05-26T07:51:00Z</dcterms:created>
  <dcterms:modified xsi:type="dcterms:W3CDTF">2017-05-26T08:14:00Z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